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[Amendment No. 1]</w:t>
      </w:r>
    </w:p>
    <w:p>
      <w:pPr>
        <w:spacing w:after="0" w:line="11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2, 2005</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91"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700" w:type="dxa"/>
            <w:vAlign w:val="bottom"/>
          </w:tcPr>
          <w:p>
            <w:pPr>
              <w:spacing w:after="0"/>
              <w:rPr>
                <w:sz w:val="17"/>
                <w:szCs w:val="17"/>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87"/>
              </w:rPr>
              <w:t>Commission file number 0-1088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KELLY SERVICES,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180" w:type="dxa"/>
            <w:vAlign w:val="bottom"/>
          </w:tcPr>
          <w:p>
            <w:pPr>
              <w:jc w:val="center"/>
              <w:ind w:right="2884"/>
              <w:spacing w:after="0"/>
              <w:rPr>
                <w:sz w:val="20"/>
                <w:szCs w:val="20"/>
                <w:color w:val="auto"/>
              </w:rPr>
            </w:pPr>
            <w:r>
              <w:rPr>
                <w:rFonts w:ascii="Arial" w:cs="Arial" w:eastAsia="Arial" w:hAnsi="Arial"/>
                <w:sz w:val="18"/>
                <w:szCs w:val="18"/>
                <w:b w:val="1"/>
                <w:bCs w:val="1"/>
                <w:color w:val="auto"/>
                <w:w w:val="88"/>
              </w:rPr>
              <w:t>Delaware</w:t>
            </w:r>
          </w:p>
        </w:tc>
        <w:tc>
          <w:tcPr>
            <w:tcW w:w="2360" w:type="dxa"/>
            <w:vAlign w:val="bottom"/>
          </w:tcPr>
          <w:p>
            <w:pPr>
              <w:jc w:val="right"/>
              <w:ind w:right="622"/>
              <w:spacing w:after="0"/>
              <w:rPr>
                <w:sz w:val="20"/>
                <w:szCs w:val="20"/>
                <w:color w:val="auto"/>
              </w:rPr>
            </w:pPr>
            <w:r>
              <w:rPr>
                <w:rFonts w:ascii="Arial" w:cs="Arial" w:eastAsia="Arial" w:hAnsi="Arial"/>
                <w:sz w:val="18"/>
                <w:szCs w:val="18"/>
                <w:b w:val="1"/>
                <w:bCs w:val="1"/>
                <w:color w:val="auto"/>
              </w:rPr>
              <w:t>38-1510762</w:t>
            </w:r>
          </w:p>
        </w:tc>
      </w:tr>
      <w:tr>
        <w:trPr>
          <w:trHeight w:val="149"/>
        </w:trPr>
        <w:tc>
          <w:tcPr>
            <w:tcW w:w="6180" w:type="dxa"/>
            <w:vAlign w:val="bottom"/>
          </w:tcPr>
          <w:p>
            <w:pPr>
              <w:jc w:val="center"/>
              <w:ind w:right="29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r>
      <w:tr>
        <w:trPr>
          <w:trHeight w:val="174"/>
        </w:trPr>
        <w:tc>
          <w:tcPr>
            <w:tcW w:w="6180" w:type="dxa"/>
            <w:vAlign w:val="bottom"/>
          </w:tcPr>
          <w:p>
            <w:pPr>
              <w:jc w:val="center"/>
              <w:ind w:right="2904"/>
              <w:spacing w:after="0"/>
              <w:rPr>
                <w:sz w:val="20"/>
                <w:szCs w:val="20"/>
                <w:color w:val="auto"/>
              </w:rPr>
            </w:pPr>
            <w:r>
              <w:rPr>
                <w:rFonts w:ascii="Arial" w:cs="Arial" w:eastAsia="Arial" w:hAnsi="Arial"/>
                <w:sz w:val="14"/>
                <w:szCs w:val="14"/>
                <w:b w:val="1"/>
                <w:bCs w:val="1"/>
                <w:color w:val="auto"/>
                <w:w w:val="88"/>
              </w:rPr>
              <w:t>incorporation or organization)</w:t>
            </w:r>
          </w:p>
        </w:tc>
        <w:tc>
          <w:tcPr>
            <w:tcW w:w="2360" w:type="dxa"/>
            <w:vAlign w:val="bottom"/>
          </w:tcPr>
          <w:p>
            <w:pPr>
              <w:spacing w:after="0"/>
              <w:rPr>
                <w:sz w:val="15"/>
                <w:szCs w:val="15"/>
                <w:color w:val="auto"/>
              </w:rPr>
            </w:pPr>
          </w:p>
        </w:tc>
      </w:tr>
      <w:tr>
        <w:trPr>
          <w:trHeight w:val="420"/>
        </w:trPr>
        <w:tc>
          <w:tcPr>
            <w:tcW w:w="6180" w:type="dxa"/>
            <w:vAlign w:val="bottom"/>
          </w:tcPr>
          <w:p>
            <w:pPr>
              <w:jc w:val="center"/>
              <w:ind w:right="2884"/>
              <w:spacing w:after="0"/>
              <w:rPr>
                <w:sz w:val="20"/>
                <w:szCs w:val="20"/>
                <w:color w:val="auto"/>
              </w:rPr>
            </w:pPr>
            <w:r>
              <w:rPr>
                <w:rFonts w:ascii="Arial" w:cs="Arial" w:eastAsia="Arial" w:hAnsi="Arial"/>
                <w:sz w:val="18"/>
                <w:szCs w:val="18"/>
                <w:b w:val="1"/>
                <w:bCs w:val="1"/>
                <w:color w:val="auto"/>
                <w:w w:val="88"/>
              </w:rPr>
              <w:t>999 West Big Beaver Road, Troy, Michigan</w:t>
            </w:r>
          </w:p>
        </w:tc>
        <w:tc>
          <w:tcPr>
            <w:tcW w:w="2360" w:type="dxa"/>
            <w:vAlign w:val="bottom"/>
          </w:tcPr>
          <w:p>
            <w:pPr>
              <w:jc w:val="right"/>
              <w:ind w:right="822"/>
              <w:spacing w:after="0"/>
              <w:rPr>
                <w:sz w:val="20"/>
                <w:szCs w:val="20"/>
                <w:color w:val="auto"/>
              </w:rPr>
            </w:pPr>
            <w:r>
              <w:rPr>
                <w:rFonts w:ascii="Arial" w:cs="Arial" w:eastAsia="Arial" w:hAnsi="Arial"/>
                <w:sz w:val="18"/>
                <w:szCs w:val="18"/>
                <w:b w:val="1"/>
                <w:bCs w:val="1"/>
                <w:color w:val="auto"/>
              </w:rPr>
              <w:t>48084</w:t>
            </w:r>
          </w:p>
        </w:tc>
      </w:tr>
      <w:tr>
        <w:trPr>
          <w:trHeight w:val="174"/>
        </w:trPr>
        <w:tc>
          <w:tcPr>
            <w:tcW w:w="6180" w:type="dxa"/>
            <w:vAlign w:val="bottom"/>
          </w:tcPr>
          <w:p>
            <w:pPr>
              <w:jc w:val="center"/>
              <w:ind w:right="2884"/>
              <w:spacing w:after="0"/>
              <w:rPr>
                <w:sz w:val="20"/>
                <w:szCs w:val="20"/>
                <w:color w:val="auto"/>
              </w:rPr>
            </w:pPr>
            <w:r>
              <w:rPr>
                <w:rFonts w:ascii="Arial" w:cs="Arial" w:eastAsia="Arial" w:hAnsi="Arial"/>
                <w:sz w:val="14"/>
                <w:szCs w:val="14"/>
                <w:b w:val="1"/>
                <w:bCs w:val="1"/>
                <w:color w:val="auto"/>
                <w:w w:val="87"/>
              </w:rPr>
              <w:t>(Address of Principal Executive Office)</w:t>
            </w:r>
          </w:p>
        </w:tc>
        <w:tc>
          <w:tcPr>
            <w:tcW w:w="2360" w:type="dxa"/>
            <w:vAlign w:val="bottom"/>
          </w:tcPr>
          <w:p>
            <w:pPr>
              <w:jc w:val="center"/>
              <w:ind w:left="6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180" w:type="dxa"/>
            <w:vAlign w:val="bottom"/>
          </w:tcPr>
          <w:p>
            <w:pPr>
              <w:jc w:val="right"/>
              <w:ind w:right="1104"/>
              <w:spacing w:after="0"/>
              <w:rPr>
                <w:sz w:val="20"/>
                <w:szCs w:val="20"/>
                <w:color w:val="auto"/>
              </w:rPr>
            </w:pPr>
            <w:r>
              <w:rPr>
                <w:rFonts w:ascii="Arial" w:cs="Arial" w:eastAsia="Arial" w:hAnsi="Arial"/>
                <w:sz w:val="18"/>
                <w:szCs w:val="18"/>
                <w:b w:val="1"/>
                <w:bCs w:val="1"/>
                <w:color w:val="auto"/>
              </w:rPr>
              <w:t>(248) 362-4444</w:t>
            </w:r>
          </w:p>
        </w:tc>
        <w:tc>
          <w:tcPr>
            <w:tcW w:w="2360" w:type="dxa"/>
            <w:vAlign w:val="bottom"/>
          </w:tcPr>
          <w:p>
            <w:pPr>
              <w:spacing w:after="0"/>
              <w:rPr>
                <w:sz w:val="24"/>
                <w:szCs w:val="24"/>
                <w:color w:val="auto"/>
              </w:rPr>
            </w:pPr>
          </w:p>
        </w:tc>
      </w:tr>
      <w:tr>
        <w:trPr>
          <w:trHeight w:val="174"/>
        </w:trPr>
        <w:tc>
          <w:tcPr>
            <w:tcW w:w="6180" w:type="dxa"/>
            <w:vAlign w:val="bottom"/>
          </w:tcPr>
          <w:p>
            <w:pPr>
              <w:jc w:val="center"/>
              <w:ind w:left="264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360" w:type="dxa"/>
            <w:vAlign w:val="bottom"/>
          </w:tcPr>
          <w:p>
            <w:pPr>
              <w:spacing w:after="0"/>
              <w:rPr>
                <w:sz w:val="15"/>
                <w:szCs w:val="15"/>
                <w:color w:val="auto"/>
              </w:rPr>
            </w:pPr>
          </w:p>
        </w:tc>
      </w:tr>
    </w:tbl>
    <w:p>
      <w:pPr>
        <w:spacing w:after="0" w:line="1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9" w:lineRule="exact"/>
        <w:rPr>
          <w:sz w:val="24"/>
          <w:szCs w:val="24"/>
          <w:color w:val="auto"/>
        </w:rPr>
      </w:pPr>
    </w:p>
    <w:tbl>
      <w:tblPr>
        <w:tblLayout w:type="fixed"/>
        <w:tblInd w:w="2200" w:type="dxa"/>
        <w:tblCellMar>
          <w:top w:w="0" w:type="dxa"/>
          <w:left w:w="0" w:type="dxa"/>
          <w:bottom w:w="0" w:type="dxa"/>
          <w:right w:w="0" w:type="dxa"/>
        </w:tblCellMar>
      </w:tblPr>
      <w:tr>
        <w:trPr>
          <w:trHeight w:val="174"/>
        </w:trPr>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600" w:type="dxa"/>
            <w:vAlign w:val="bottom"/>
          </w:tcPr>
          <w:p>
            <w:pPr>
              <w:spacing w:after="0"/>
              <w:rPr>
                <w:sz w:val="15"/>
                <w:szCs w:val="15"/>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95"/>
        </w:trPr>
        <w:tc>
          <w:tcPr>
            <w:tcW w:w="132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r>
      <w:tr>
        <w:trPr>
          <w:trHeight w:val="303"/>
        </w:trPr>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Class A Common</w:t>
            </w:r>
          </w:p>
        </w:tc>
        <w:tc>
          <w:tcPr>
            <w:tcW w:w="36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5"/>
              </w:rPr>
              <w:t>NASDAQ/NMS</w:t>
            </w:r>
          </w:p>
        </w:tc>
      </w:tr>
      <w:tr>
        <w:trPr>
          <w:trHeight w:val="228"/>
        </w:trPr>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Class B Common</w:t>
            </w:r>
          </w:p>
        </w:tc>
        <w:tc>
          <w:tcPr>
            <w:tcW w:w="360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5"/>
              </w:rPr>
              <w:t>NASDAQ/NMS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780" w:val="left"/>
          <w:tab w:leader="none" w:pos="94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$553,532,880.</w:t>
      </w:r>
    </w:p>
    <w:p>
      <w:pPr>
        <w:spacing w:after="0" w:line="12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Registrant had 32,041,257 shares of Class A and 3,472,598 of Class B common stock, par value $1.00, outstanding as of February 10, 2005.</w:t>
      </w:r>
    </w:p>
    <w:p>
      <w:pPr>
        <w:spacing w:after="0" w:line="17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proxy statement of the registrant with respect to its 2005 Annual Meeting of Stockholders is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Subsequent to the issuance of the Company’s fiscal 2004 financial statements, the Company’s management determined that its lease-related accounting policies needed to be revised. On April 25, 2005 management concluded, with the concurrence of the Audit Committee of the Board of Directors, that the Company would restate its financial statements for the fiscal years ended December 29, 2002, December 28, 2003 and January 2, 2005. Accordingly, this filing includes the Company’s financial statements for the fiscal years ended December 29, 2002, December 28, 2003 and January 2, 2005 and related disclosures as described in Note 2 to the consolidated financial statements, including the selected financial data included herein as of and for the fiscal years 2004, 2003, 2002, 2001 and 2000.</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correcting its accounting for operating leases to recognize scheduled rent increases on a straight-line basis over the lease term. Previously, the Company recorded rent expense as incurred. In addition, the Company has recorded allowances provided by landlords for leasehold improvements as deferred rent in the balance sheet and as operating cash flow in the statement of cash flows. Previously, these amounts had been recorded as reductions of property and equipment in the balance sheet and as reductions of capital expenditures in the statement of cash flows. In addition, as part of the restatement process, the Company has also recorded certain other adjustments, as more fully described in Note 2 to the financial statements. The Company does not believe that any of the adjustments are material to any of the periods presented.</w:t>
      </w:r>
    </w:p>
    <w:p>
      <w:pPr>
        <w:spacing w:after="0" w:line="1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Except for the foregoing amended information, this Form 10-K/A continues to describe conditions as of the date of the original filing, and we have not updated the disclosures contained herein to reflect events that occurred at a later date. Other events occurring after the original filing or other disclosures necessary to reflect subsequent events have been or will be addressed in reports filed with the Securities and Exchange Commission (“SEC”) subsequent to the date of the original filing.</w:t>
      </w:r>
    </w:p>
    <w:p>
      <w:pPr>
        <w:spacing w:after="0" w:line="13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not amended and do not intend to amend our previously filed Annual Reports on Form 10-K or our Quarterly Reports on Form 10-Q for periods affected by the restatement. For this reason, the consolidated financial statements, auditors’ reports and related financial information for the affected period contained in such reports should no longer be relied upon. Selected quarterly financial data, included in this Form 10-K/A, has been restated.</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convenience of the reader, this Form 10-K/A sets forth the original filing in its entirety. However, this Form 10-K/A only amends and restates Items 6, 7, 8 and 9A of Part II and Item 15 of Part IV of the original filing. In each case, solely as a result of, and to reflect the restatement, and no other information in the original filing is amended hereby. The foregoing items have not been updated to reflect other events occurring after the original filing or to modify or update those disclosures affected by subsequent events. In addition, pursuant to the rules of the SEC, Item 15 of Part IV of the original filing has been amended to contain the consent of our independent registered public accounting firm and currently dated certifications from our Chief Executive Officer and Chief Financial Officer are attached to this Form 10-K/A as Exhibits 23, 31.1, 31.2, 32.1 and 32.2, respectively.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DESCRIPTION OF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History and Development of Business</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Founded by William R. Kelly in 1946, Kelly Services, Inc. (“Kelly” or the “Company”) has provided staffing solutions to customers in a variety of industries throughout its 58-year history. Kelly’s range of staffing solutions and geographic coverage has grown steadily over the years to match the needs of its customers. Today, Kelly is the second largest staffing company in the United States and fifth largest in the world.</w:t>
      </w:r>
    </w:p>
    <w:p>
      <w:pPr>
        <w:spacing w:after="0" w:line="127"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Kelly has evolved from a United States-based company concentrating primarily on traditional office services into a global staffing leader with a breadth of specialty businesses. Kelly now assigns professional and technical employees in the fields of finance and accounting, education, engineering, information technology, legal, science, health and home care.</w:t>
      </w:r>
    </w:p>
    <w:p>
      <w:pPr>
        <w:spacing w:after="0" w:line="12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Kelly is the world’s largest scientific staffing provider, and it ranks among the leaders in information technology, engineering and financial staffing. These specialty service lines complement Kelly’s traditional expertise in office services, call center, light industrial and electronic assembly staffing. Kelly also offers innovative staff management solutions for its customers, including staff leasing, outsourcing, consulting, recruitment and vendor management services.</w:t>
      </w:r>
    </w:p>
    <w:p>
      <w:pPr>
        <w:sectPr>
          <w:pgSz w:w="11900" w:h="16838" w:orient="portrait"/>
          <w:cols w:equalWidth="0" w:num="1">
            <w:col w:w="11420"/>
          </w:cols>
          <w:pgMar w:left="240" w:top="2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Headquartered in Troy, Michigan, Kelly serves over 100,000 customers in 27 countries. Kelly provides employment for over 700,000 employees annually to a variety of customers around the globe—including more than 90 percent of the Fortune 500 companies.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Geographic Breadth of Services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Kelly offers staffing solutions to a diversified group of customers through approximately 2,600 stand-alone, customer on-site and co-located offices in the United States, the Americas (Canada, Puerto Rico and Mexico); Europe (Belgium, Denmark, France, Germany, Hungary, Ireland, Italy, Luxembourg, the Netherlands, Norway, Russia, Spain, Sweden, Switzerland and the United Kingdom); and the Asia-Pacific region (Australia, Hong Kong, India, Indonesia, Malaysia, New Zealand, the Philippines, Singapore and Thailand).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Business Segments</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Kelly’s operations are divided into three principal business segments: </w:t>
      </w:r>
      <w:r>
        <w:rPr>
          <w:rFonts w:ascii="Arial" w:cs="Arial" w:eastAsia="Arial" w:hAnsi="Arial"/>
          <w:sz w:val="18"/>
          <w:szCs w:val="18"/>
          <w:b w:val="1"/>
          <w:bCs w:val="1"/>
          <w:i w:val="1"/>
          <w:iCs w:val="1"/>
          <w:color w:val="auto"/>
        </w:rPr>
        <w:t>U.S. Commercial Staffing; Professional, Technical and Staffing Alternatives (PTSA);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International.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Commercial Staffing</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Kelly’s U.S. Commercial Staffing segment includes: </w:t>
      </w:r>
      <w:r>
        <w:rPr>
          <w:rFonts w:ascii="Arial" w:cs="Arial" w:eastAsia="Arial" w:hAnsi="Arial"/>
          <w:sz w:val="18"/>
          <w:szCs w:val="18"/>
          <w:i w:val="1"/>
          <w:iCs w:val="1"/>
          <w:color w:val="auto"/>
        </w:rPr>
        <w:t>Kelly Office Services</w:t>
      </w:r>
      <w:r>
        <w:rPr>
          <w:rFonts w:ascii="Arial" w:cs="Arial" w:eastAsia="Arial" w:hAnsi="Arial"/>
          <w:sz w:val="18"/>
          <w:szCs w:val="18"/>
          <w:color w:val="auto"/>
        </w:rPr>
        <w:t xml:space="preserve">, offering trained employees who work in word processing and data entry, and as administrative support staff; </w:t>
      </w:r>
      <w:r>
        <w:rPr>
          <w:rFonts w:ascii="Arial" w:cs="Arial" w:eastAsia="Arial" w:hAnsi="Arial"/>
          <w:sz w:val="18"/>
          <w:szCs w:val="18"/>
          <w:i w:val="1"/>
          <w:iCs w:val="1"/>
          <w:color w:val="auto"/>
        </w:rPr>
        <w:t>KellyConnect</w:t>
      </w:r>
      <w:r>
        <w:rPr>
          <w:rFonts w:ascii="Arial" w:cs="Arial" w:eastAsia="Arial" w:hAnsi="Arial"/>
          <w:sz w:val="18"/>
          <w:szCs w:val="18"/>
          <w:color w:val="auto"/>
        </w:rPr>
        <w:t xml:space="preserve">, providing staff for call centers, technical support hotlines and telemarketing units; </w:t>
      </w:r>
      <w:r>
        <w:rPr>
          <w:rFonts w:ascii="Arial" w:cs="Arial" w:eastAsia="Arial" w:hAnsi="Arial"/>
          <w:sz w:val="18"/>
          <w:szCs w:val="18"/>
          <w:i w:val="1"/>
          <w:iCs w:val="1"/>
          <w:color w:val="auto"/>
        </w:rPr>
        <w:t>Kelly Educational Staffing</w:t>
      </w:r>
      <w:r>
        <w:rPr>
          <w:rFonts w:ascii="Arial" w:cs="Arial" w:eastAsia="Arial" w:hAnsi="Arial"/>
          <w:sz w:val="18"/>
          <w:szCs w:val="18"/>
          <w:color w:val="auto"/>
        </w:rPr>
        <w:t xml:space="preserve">, the first nationwide program supplying qualified substitute teachers; </w:t>
      </w:r>
      <w:r>
        <w:rPr>
          <w:rFonts w:ascii="Arial" w:cs="Arial" w:eastAsia="Arial" w:hAnsi="Arial"/>
          <w:sz w:val="18"/>
          <w:szCs w:val="18"/>
          <w:i w:val="1"/>
          <w:iCs w:val="1"/>
          <w:color w:val="auto"/>
        </w:rPr>
        <w:t>Kelly Merchandising Services</w:t>
      </w:r>
      <w:r>
        <w:rPr>
          <w:rFonts w:ascii="Arial" w:cs="Arial" w:eastAsia="Arial" w:hAnsi="Arial"/>
          <w:sz w:val="18"/>
          <w:szCs w:val="18"/>
          <w:color w:val="auto"/>
        </w:rPr>
        <w:t xml:space="preserve">, including support staff for seminars, sales and trade shows; </w:t>
      </w:r>
      <w:r>
        <w:rPr>
          <w:rFonts w:ascii="Arial" w:cs="Arial" w:eastAsia="Arial" w:hAnsi="Arial"/>
          <w:sz w:val="18"/>
          <w:szCs w:val="18"/>
          <w:i w:val="1"/>
          <w:iCs w:val="1"/>
          <w:color w:val="auto"/>
        </w:rPr>
        <w:t>Kelly</w:t>
      </w:r>
      <w:r>
        <w:rPr>
          <w:rFonts w:ascii="Arial" w:cs="Arial" w:eastAsia="Arial" w:hAnsi="Arial"/>
          <w:sz w:val="18"/>
          <w:szCs w:val="18"/>
          <w:color w:val="auto"/>
        </w:rPr>
        <w:t xml:space="preserve"> </w:t>
      </w:r>
      <w:r>
        <w:rPr>
          <w:rFonts w:ascii="Arial" w:cs="Arial" w:eastAsia="Arial" w:hAnsi="Arial"/>
          <w:sz w:val="18"/>
          <w:szCs w:val="18"/>
          <w:i w:val="1"/>
          <w:iCs w:val="1"/>
          <w:color w:val="auto"/>
        </w:rPr>
        <w:t>Electronic Assembly Services</w:t>
      </w:r>
      <w:r>
        <w:rPr>
          <w:rFonts w:ascii="Arial" w:cs="Arial" w:eastAsia="Arial" w:hAnsi="Arial"/>
          <w:sz w:val="18"/>
          <w:szCs w:val="18"/>
          <w:color w:val="auto"/>
        </w:rPr>
        <w:t>, providing technicians to serve the automotive, aerospace and pharmaceutical industries;</w:t>
      </w:r>
      <w:r>
        <w:rPr>
          <w:rFonts w:ascii="Arial" w:cs="Arial" w:eastAsia="Arial" w:hAnsi="Arial"/>
          <w:sz w:val="18"/>
          <w:szCs w:val="18"/>
          <w:i w:val="1"/>
          <w:iCs w:val="1"/>
          <w:color w:val="auto"/>
        </w:rPr>
        <w:t xml:space="preserve"> Kelly Light Industrial Services</w:t>
      </w:r>
      <w:r>
        <w:rPr>
          <w:rFonts w:ascii="Arial" w:cs="Arial" w:eastAsia="Arial" w:hAnsi="Arial"/>
          <w:sz w:val="18"/>
          <w:szCs w:val="18"/>
          <w:color w:val="auto"/>
        </w:rPr>
        <w:t>, placing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staff experienced in facilities management, materials handling and more; </w:t>
      </w:r>
      <w:r>
        <w:rPr>
          <w:rFonts w:ascii="Arial" w:cs="Arial" w:eastAsia="Arial" w:hAnsi="Arial"/>
          <w:sz w:val="18"/>
          <w:szCs w:val="18"/>
          <w:i w:val="1"/>
          <w:iCs w:val="1"/>
          <w:color w:val="auto"/>
        </w:rPr>
        <w:t>KellySelect</w:t>
      </w:r>
      <w:r>
        <w:rPr>
          <w:rFonts w:ascii="Arial" w:cs="Arial" w:eastAsia="Arial" w:hAnsi="Arial"/>
          <w:sz w:val="18"/>
          <w:szCs w:val="18"/>
          <w:color w:val="auto"/>
        </w:rPr>
        <w:t xml:space="preserve">, a temporary to full-time service that provides both customers and temporary staff the opportunity to evaluate the relationship before making a full-time employment decision; and </w:t>
      </w:r>
      <w:r>
        <w:rPr>
          <w:rFonts w:ascii="Arial" w:cs="Arial" w:eastAsia="Arial" w:hAnsi="Arial"/>
          <w:sz w:val="18"/>
          <w:szCs w:val="18"/>
          <w:i w:val="1"/>
          <w:iCs w:val="1"/>
          <w:color w:val="auto"/>
        </w:rPr>
        <w:t>KellyDirect</w:t>
      </w:r>
      <w:r>
        <w:rPr>
          <w:rFonts w:ascii="Arial" w:cs="Arial" w:eastAsia="Arial" w:hAnsi="Arial"/>
          <w:sz w:val="18"/>
          <w:szCs w:val="18"/>
          <w:color w:val="auto"/>
        </w:rPr>
        <w:t>, a permanent placement service used across all business units in the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Technical and Staffing Alternatives (PTSA)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Kelly’s PTSA segment is comprised of the Professional and Technical Staffing group and the Staffing Alternatives group.</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The Professional and Technical Staffing group consists of a number of industry-specific services including: </w:t>
      </w:r>
      <w:r>
        <w:rPr>
          <w:rFonts w:ascii="Arial" w:cs="Arial" w:eastAsia="Arial" w:hAnsi="Arial"/>
          <w:sz w:val="16"/>
          <w:szCs w:val="16"/>
          <w:i w:val="1"/>
          <w:iCs w:val="1"/>
          <w:color w:val="auto"/>
        </w:rPr>
        <w:t>Kelly Automotive Services Group</w:t>
      </w:r>
      <w:r>
        <w:rPr>
          <w:rFonts w:ascii="Arial" w:cs="Arial" w:eastAsia="Arial" w:hAnsi="Arial"/>
          <w:sz w:val="16"/>
          <w:szCs w:val="16"/>
          <w:color w:val="auto"/>
        </w:rPr>
        <w:t xml:space="preserve">, placing employees in a variety of technical, non-technical and administrative positions in major automotive manufacturers and their suppliers; </w:t>
      </w:r>
      <w:r>
        <w:rPr>
          <w:rFonts w:ascii="Arial" w:cs="Arial" w:eastAsia="Arial" w:hAnsi="Arial"/>
          <w:sz w:val="16"/>
          <w:szCs w:val="16"/>
          <w:i w:val="1"/>
          <w:iCs w:val="1"/>
          <w:color w:val="auto"/>
        </w:rPr>
        <w:t>Kelly Engineering Resources</w:t>
      </w:r>
      <w:r>
        <w:rPr>
          <w:rFonts w:ascii="Arial" w:cs="Arial" w:eastAsia="Arial" w:hAnsi="Arial"/>
          <w:sz w:val="16"/>
          <w:szCs w:val="16"/>
          <w:color w:val="auto"/>
        </w:rPr>
        <w:t xml:space="preserve">, supplying engineering professionals across all disciplines including aeronautical, chemical, civil/structural, electrical/instrumentation, environmental, industrial, mechanical, petroleum, pharmaceutical, quality and telecommunications; </w:t>
      </w:r>
      <w:r>
        <w:rPr>
          <w:rFonts w:ascii="Arial" w:cs="Arial" w:eastAsia="Arial" w:hAnsi="Arial"/>
          <w:sz w:val="16"/>
          <w:szCs w:val="16"/>
          <w:i w:val="1"/>
          <w:iCs w:val="1"/>
          <w:color w:val="auto"/>
        </w:rPr>
        <w:t>Kelly FedSecure</w:t>
      </w:r>
      <w:r>
        <w:rPr>
          <w:rFonts w:ascii="Arial" w:cs="Arial" w:eastAsia="Arial" w:hAnsi="Arial"/>
          <w:sz w:val="16"/>
          <w:szCs w:val="16"/>
          <w:color w:val="auto"/>
        </w:rPr>
        <w:t xml:space="preserve">, placing professionals across all skills in jobs requiring security clearances; </w:t>
      </w:r>
      <w:r>
        <w:rPr>
          <w:rFonts w:ascii="Arial" w:cs="Arial" w:eastAsia="Arial" w:hAnsi="Arial"/>
          <w:sz w:val="16"/>
          <w:szCs w:val="16"/>
          <w:i w:val="1"/>
          <w:iCs w:val="1"/>
          <w:color w:val="auto"/>
        </w:rPr>
        <w:t>Kelly Financial Resources</w:t>
      </w:r>
      <w:r>
        <w:rPr>
          <w:rFonts w:ascii="Arial" w:cs="Arial" w:eastAsia="Arial" w:hAnsi="Arial"/>
          <w:sz w:val="16"/>
          <w:szCs w:val="16"/>
          <w:color w:val="auto"/>
        </w:rPr>
        <w:t xml:space="preserve">, serving the needs of corporate finance departments, accounting firms and financial institutions with professional and support personnel; </w:t>
      </w:r>
      <w:r>
        <w:rPr>
          <w:rFonts w:ascii="Arial" w:cs="Arial" w:eastAsia="Arial" w:hAnsi="Arial"/>
          <w:sz w:val="16"/>
          <w:szCs w:val="16"/>
          <w:i w:val="1"/>
          <w:iCs w:val="1"/>
          <w:color w:val="auto"/>
        </w:rPr>
        <w:t>Kelly Healthcare Resources</w:t>
      </w:r>
      <w:r>
        <w:rPr>
          <w:rFonts w:ascii="Arial" w:cs="Arial" w:eastAsia="Arial" w:hAnsi="Arial"/>
          <w:sz w:val="16"/>
          <w:szCs w:val="16"/>
          <w:color w:val="auto"/>
        </w:rPr>
        <w:t xml:space="preserve">, servicing all levels of healthcare specialists and professionals to work in hospitals, ambulatory care centers, HMOs and other health insurance companies; </w:t>
      </w:r>
      <w:r>
        <w:rPr>
          <w:rFonts w:ascii="Arial" w:cs="Arial" w:eastAsia="Arial" w:hAnsi="Arial"/>
          <w:sz w:val="16"/>
          <w:szCs w:val="16"/>
          <w:i w:val="1"/>
          <w:iCs w:val="1"/>
          <w:color w:val="auto"/>
        </w:rPr>
        <w:t>Kelly Home Care Services</w:t>
      </w:r>
      <w:r>
        <w:rPr>
          <w:rFonts w:ascii="Arial" w:cs="Arial" w:eastAsia="Arial" w:hAnsi="Arial"/>
          <w:sz w:val="16"/>
          <w:szCs w:val="16"/>
          <w:color w:val="auto"/>
        </w:rPr>
        <w:t xml:space="preserve">, providing in-home care for the elderly, disabled and those recovering from illness or injury; </w:t>
      </w:r>
      <w:r>
        <w:rPr>
          <w:rFonts w:ascii="Arial" w:cs="Arial" w:eastAsia="Arial" w:hAnsi="Arial"/>
          <w:sz w:val="16"/>
          <w:szCs w:val="16"/>
          <w:i w:val="1"/>
          <w:iCs w:val="1"/>
          <w:color w:val="auto"/>
        </w:rPr>
        <w:t>Kelly IT Resources</w:t>
      </w:r>
      <w:r>
        <w:rPr>
          <w:rFonts w:ascii="Arial" w:cs="Arial" w:eastAsia="Arial" w:hAnsi="Arial"/>
          <w:sz w:val="16"/>
          <w:szCs w:val="16"/>
          <w:color w:val="auto"/>
        </w:rPr>
        <w:t xml:space="preserve">, placing information technology specialists across all IT disciplines; </w:t>
      </w:r>
      <w:r>
        <w:rPr>
          <w:rFonts w:ascii="Arial" w:cs="Arial" w:eastAsia="Arial" w:hAnsi="Arial"/>
          <w:sz w:val="16"/>
          <w:szCs w:val="16"/>
          <w:i w:val="1"/>
          <w:iCs w:val="1"/>
          <w:color w:val="auto"/>
        </w:rPr>
        <w:t>Kelly Law Registry</w:t>
      </w:r>
      <w:r>
        <w:rPr>
          <w:rFonts w:ascii="Arial" w:cs="Arial" w:eastAsia="Arial" w:hAnsi="Arial"/>
          <w:sz w:val="16"/>
          <w:szCs w:val="16"/>
          <w:color w:val="auto"/>
        </w:rPr>
        <w:t xml:space="preserve">, placing legal professionals including attorneys, paralegals, contract administrators, compliance specialists and legal administrators; and </w:t>
      </w:r>
      <w:r>
        <w:rPr>
          <w:rFonts w:ascii="Arial" w:cs="Arial" w:eastAsia="Arial" w:hAnsi="Arial"/>
          <w:sz w:val="16"/>
          <w:szCs w:val="16"/>
          <w:i w:val="1"/>
          <w:iCs w:val="1"/>
          <w:color w:val="auto"/>
        </w:rPr>
        <w:t>Kelly Scientific Resources</w:t>
      </w:r>
      <w:r>
        <w:rPr>
          <w:rFonts w:ascii="Arial" w:cs="Arial" w:eastAsia="Arial" w:hAnsi="Arial"/>
          <w:sz w:val="16"/>
          <w:szCs w:val="16"/>
          <w:color w:val="auto"/>
        </w:rPr>
        <w:t>, providing entry-level to Ph.D. professionals to a broad spectrum of scientific and clinical research industries.</w:t>
      </w:r>
    </w:p>
    <w:p>
      <w:pPr>
        <w:spacing w:after="0" w:line="10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The Staffing Alternatives group includes: </w:t>
      </w:r>
      <w:r>
        <w:rPr>
          <w:rFonts w:ascii="Arial" w:cs="Arial" w:eastAsia="Arial" w:hAnsi="Arial"/>
          <w:sz w:val="16"/>
          <w:szCs w:val="16"/>
          <w:i w:val="1"/>
          <w:iCs w:val="1"/>
          <w:color w:val="auto"/>
        </w:rPr>
        <w:t>HRfirst</w:t>
      </w:r>
      <w:r>
        <w:rPr>
          <w:rFonts w:ascii="Arial" w:cs="Arial" w:eastAsia="Arial" w:hAnsi="Arial"/>
          <w:sz w:val="16"/>
          <w:szCs w:val="16"/>
          <w:color w:val="auto"/>
        </w:rPr>
        <w:t xml:space="preserve">, specializing in human resources consulting and developing employment process outsourcing programs; </w:t>
      </w:r>
      <w:r>
        <w:rPr>
          <w:rFonts w:ascii="Arial" w:cs="Arial" w:eastAsia="Arial" w:hAnsi="Arial"/>
          <w:sz w:val="16"/>
          <w:szCs w:val="16"/>
          <w:i w:val="1"/>
          <w:iCs w:val="1"/>
          <w:color w:val="auto"/>
        </w:rPr>
        <w:t>Kelly</w:t>
      </w:r>
      <w:r>
        <w:rPr>
          <w:rFonts w:ascii="Arial" w:cs="Arial" w:eastAsia="Arial" w:hAnsi="Arial"/>
          <w:sz w:val="16"/>
          <w:szCs w:val="16"/>
          <w:color w:val="auto"/>
        </w:rPr>
        <w:t xml:space="preserve"> </w:t>
      </w:r>
      <w:r>
        <w:rPr>
          <w:rFonts w:ascii="Arial" w:cs="Arial" w:eastAsia="Arial" w:hAnsi="Arial"/>
          <w:sz w:val="16"/>
          <w:szCs w:val="16"/>
          <w:i w:val="1"/>
          <w:iCs w:val="1"/>
          <w:color w:val="auto"/>
        </w:rPr>
        <w:t>HR Consulting</w:t>
      </w:r>
      <w:r>
        <w:rPr>
          <w:rFonts w:ascii="Arial" w:cs="Arial" w:eastAsia="Arial" w:hAnsi="Arial"/>
          <w:sz w:val="16"/>
          <w:szCs w:val="16"/>
          <w:color w:val="auto"/>
        </w:rPr>
        <w:t>, helping clients with strategic staffing, training, compensation and benefits;</w:t>
      </w:r>
      <w:r>
        <w:rPr>
          <w:rFonts w:ascii="Arial" w:cs="Arial" w:eastAsia="Arial" w:hAnsi="Arial"/>
          <w:sz w:val="16"/>
          <w:szCs w:val="16"/>
          <w:i w:val="1"/>
          <w:iCs w:val="1"/>
          <w:color w:val="auto"/>
        </w:rPr>
        <w:t xml:space="preserve"> Kelly Management Services</w:t>
      </w:r>
      <w:r>
        <w:rPr>
          <w:rFonts w:ascii="Arial" w:cs="Arial" w:eastAsia="Arial" w:hAnsi="Arial"/>
          <w:sz w:val="16"/>
          <w:szCs w:val="16"/>
          <w:color w:val="auto"/>
        </w:rPr>
        <w:t>, specializing in outsourcing solutions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 operational management of entire departments or business functions; Kelly Staff Leasing, providing clients with benefits and payroll administration services; and </w:t>
      </w:r>
      <w:r>
        <w:rPr>
          <w:rFonts w:ascii="Arial" w:cs="Arial" w:eastAsia="Arial" w:hAnsi="Arial"/>
          <w:sz w:val="16"/>
          <w:szCs w:val="16"/>
          <w:i w:val="1"/>
          <w:iCs w:val="1"/>
          <w:color w:val="auto"/>
        </w:rPr>
        <w:t>Kelly Vendor Management Solutions</w:t>
      </w:r>
      <w:r>
        <w:rPr>
          <w:rFonts w:ascii="Arial" w:cs="Arial" w:eastAsia="Arial" w:hAnsi="Arial"/>
          <w:sz w:val="16"/>
          <w:szCs w:val="16"/>
          <w:color w:val="auto"/>
        </w:rPr>
        <w:t>, supplying clients with an array of suppliers who provide professional, technical or commercial staffing.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Kelly’s International segment meets the specific needs of global customers with the full range of commercial and professional and technical staffing services that are provided in the U.S. Additional services include: </w:t>
      </w:r>
      <w:r>
        <w:rPr>
          <w:rFonts w:ascii="Arial" w:cs="Arial" w:eastAsia="Arial" w:hAnsi="Arial"/>
          <w:sz w:val="16"/>
          <w:szCs w:val="16"/>
          <w:i w:val="1"/>
          <w:iCs w:val="1"/>
          <w:color w:val="auto"/>
        </w:rPr>
        <w:t>KellyAssess</w:t>
      </w:r>
      <w:r>
        <w:rPr>
          <w:rFonts w:ascii="Arial" w:cs="Arial" w:eastAsia="Arial" w:hAnsi="Arial"/>
          <w:sz w:val="16"/>
          <w:szCs w:val="16"/>
          <w:color w:val="auto"/>
        </w:rPr>
        <w:t xml:space="preserve">, providing personnel assessment techniques for selection, promotion and performance management; </w:t>
      </w:r>
      <w:r>
        <w:rPr>
          <w:rFonts w:ascii="Arial" w:cs="Arial" w:eastAsia="Arial" w:hAnsi="Arial"/>
          <w:sz w:val="16"/>
          <w:szCs w:val="16"/>
          <w:i w:val="1"/>
          <w:iCs w:val="1"/>
          <w:color w:val="auto"/>
        </w:rPr>
        <w:t>Kelly MultiHire</w:t>
      </w:r>
      <w:r>
        <w:rPr>
          <w:rFonts w:ascii="Arial" w:cs="Arial" w:eastAsia="Arial" w:hAnsi="Arial"/>
          <w:sz w:val="16"/>
          <w:szCs w:val="16"/>
          <w:color w:val="auto"/>
        </w:rPr>
        <w:t xml:space="preserve">, recruiting and human resources services; and </w:t>
      </w:r>
      <w:r>
        <w:rPr>
          <w:rFonts w:ascii="Arial" w:cs="Arial" w:eastAsia="Arial" w:hAnsi="Arial"/>
          <w:sz w:val="16"/>
          <w:szCs w:val="16"/>
          <w:i w:val="1"/>
          <w:iCs w:val="1"/>
          <w:color w:val="auto"/>
        </w:rPr>
        <w:t>KellyConnect,</w:t>
      </w:r>
      <w:r>
        <w:rPr>
          <w:rFonts w:ascii="Arial" w:cs="Arial" w:eastAsia="Arial" w:hAnsi="Arial"/>
          <w:sz w:val="16"/>
          <w:szCs w:val="16"/>
          <w:color w:val="auto"/>
        </w:rPr>
        <w:t xml:space="preserve"> a global call center service.</w:t>
      </w:r>
    </w:p>
    <w:p>
      <w:pPr>
        <w:sectPr>
          <w:pgSz w:w="11900" w:h="16838" w:orient="portrait"/>
          <w:cols w:equalWidth="0" w:num="1">
            <w:col w:w="11400"/>
          </w:cols>
          <w:pgMar w:left="240" w:top="280" w:right="259" w:bottom="1440" w:gutter="0" w:footer="0" w:header="0"/>
        </w:sectPr>
      </w:pPr>
    </w:p>
    <w:bookmarkStart w:id="3" w:name="page4"/>
    <w:bookmarkEnd w:id="3"/>
    <w:p>
      <w:pPr>
        <w:ind w:left="5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 the enlargement of the European Union, Kelly will place increased emphasis on cross-border recruitment opportunities.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regarding Kelly’s industry segments is included in Part II, Item 8 of this filing.</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Kelly’s temporary staffing solutions are designed to help customers meet a variety of human resources needs in a flexible, efficient and cost-effective manner. Kelly offers its customers the highest standards of quality in the staffing industry. This strong emphasis on quality is evident throughout Kelly’s business strategy, including the selection of new customers, employees and service lines.</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Kelly is well equipped to understand, anticipate and respond to its customers’ evolving staffing needs. Kelly is constantly developing and optimizing innovative staffing solutions to help customers weather economic fluctuations, control costs and improve productivity.</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Typically, customers turn to Kelly to staff up during peak workloads caused by predictable factors, such as inventories, special projects or vacations and non-predictable periods resulting from illness, emergency or rapidly changing economic conditions.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It has been Kelly’s mission to keep up with these challenges, define and solve specific staffing needs, thereby allowing companies the time and freedom to do what they do best – focus on their core business.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Marks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Kelly owns numerous service marks that are registered with the United States Patent and Trademark Office, the European Union Community Trademark Office and numerous individual country trademark offices.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Kelly’s quarterly operating results are affected by the seasonality of our customers’ businesses. Demand for staffing services historically has been lower during the first and fourth quarters as a result of holidays, and typically increases during the second and third quarters of the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Kelly believes there are no unusual or special working capital requirements in the staffing services industry.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Kelly is not dependent on any single customer, or a limited segment of customers. Kelly’s largest single customer accounted for approximately 5 percent of total revenue in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Although Kelly conducts business under various federal, state and local government contracts, they do not account for a significant amount of the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7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worldwide temporary staffing industry is very competitive and highly fragmented. In the United States, approximately 100 competitors operate nationally, and more than 20,000 smaller organizations compete in varying degrees at local levels. Additionally, several similar companies compete in foreign markets. In 2004, Kelly’s largest competitors were Adecco, S.A., Manpower, Inc., Randstad Holding N.V., Vedior N.V., Spherion Corporation and CDI Corporation</w:t>
      </w:r>
      <w:r>
        <w:rPr>
          <w:rFonts w:ascii="Arial" w:cs="Arial" w:eastAsia="Arial" w:hAnsi="Arial"/>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Key factors that influence Kelly’s success are geographic coverage, breadth of service, quality of service and price.</w:t>
      </w:r>
    </w:p>
    <w:p>
      <w:pPr>
        <w:sectPr>
          <w:pgSz w:w="11900" w:h="16838" w:orient="portrait"/>
          <w:cols w:equalWidth="0" w:num="1">
            <w:col w:w="11360"/>
          </w:cols>
          <w:pgMar w:left="240" w:top="280" w:right="2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w:t>
      </w:r>
    </w:p>
    <w:p>
      <w:pPr>
        <w:spacing w:after="0" w:line="158"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Geographic presence is of utmost importance, as temporary employees are generally unwilling to travel great distances for assignment, and customers prefer working with companies in their local market. Breadth of service has become more critical as customers seek “one-stop shopping” for all their staffing needs.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Quality of service, another factor, is highly dependent on the availability of qualified, competent temporary employees, and Kelly’s ability to recruit, screen, train, retain and manage a pool of employees who match the skills required by particular customers. Conversely, during an economic downturn, Kelly must balance competitive pricing pressures with the need to retain a qualified workforce.</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Price competition in the staffing industry is intense—particularly for office clerical and light industrial personnel—and pricing pressure from customers and competitors continues to be significant.</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summary, Kelly expects that the level of competition within the staffing services industry will remain high—a factor that could limit its ability to increase or maintain market share and profitability.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Concerns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Because Kelly is involved in a service business, federal, state or local laws that regulate the discharge of materials into the environment do not materially impact Kelly.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Kelly employs approximately 1,200 people at its corporate headquarters in Troy, Michigan, and approximately 7,200 staff members in its international network of company-owned branch offices. In 2004, Kelly assigned over 700,000 temporary employees with a variety of customers around the globe.</w:t>
      </w:r>
    </w:p>
    <w:p>
      <w:pPr>
        <w:spacing w:after="0" w:line="7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While services may be provided inside the facilities of customers, Kelly remains the employer of its temporary employees. Kelly maintains responsibility for employee assignments, the employer’s share of all applicable payroll taxes and the administration of the employee’s share of such taxes.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Foreign Operations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information regarding sales, earnings from operations and long-lived assets by domestic and foreign operations, please refer to the information presented in the Segment Disclosures note to our consolidated financial statements, presented in Part II, Item 8 of this report.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Competitive Markets</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worldwide staffing services market is highly competitive with limited barriers to entry. Kelly competes in global, national, regional and local markets with full-service and specialized temporary staffing companies. In addition to Kelly, several competitors, including Adecco, Manpower, Randstad, Vedior, Spherion and CDI, have very substantial marketing and financial resources. Price competition in the staffing industry is significant, particularly for the provision of office clerical and light industrial personnel, and pricing pressures from competitors and customers are increasing. Kelly expects that the level of competition will remain high, which could limit Kelly’s ability to maintain or increase its market share or profitability.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General Economic Conditions</w:t>
      </w:r>
    </w:p>
    <w:p>
      <w:pPr>
        <w:spacing w:after="0" w:line="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Demand for staffing services is significantly affected by the general level of economic activity and unemployment in the United States and the other countries in which Kelly operates. When economic activity increases, temporary employees are often added before full-time employees are hired. However, as economic activity slows, many companies reduce their use of temporary employees before laying off full-time employees. Kelly may also experience more competitive pricing pressure during periods of economic downturn. Any significant economic downturn could have a material adverse impact on Kelly’s profitability.</w:t>
      </w:r>
    </w:p>
    <w:p>
      <w:pPr>
        <w:sectPr>
          <w:pgSz w:w="11900" w:h="16838" w:orient="portrait"/>
          <w:cols w:equalWidth="0" w:num="1">
            <w:col w:w="11400"/>
          </w:cols>
          <w:pgMar w:left="240" w:top="2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Attract and Retain Qualified Candidates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Kelly depends upon its ability to attract qualified temporary personnel who possess the skills and experience necessary to meet the staffing requirements of its customers. Kelly must continually evaluate its base of available qualified personnel to keep pace with changing customer needs. Competition for individuals with proven professional skills is constant, and demand for such individuals is expected to remain very strong for the foreseeable future. There is always uncertainty whether qualified personnel will continue to be available to Kelly in sufficient numbers and on terms of employment acceptable to Kelly.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for Customer and Employee Actions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Temporary staffing services providers employ and assign people generally in the workplace of other businesses. Attendant risks of such activities include possible claims of discrimination and harassment, employment of illegal aliens, violations of wage and hour requirements and errors and omissions of its temporary employees, particularly for the actions of professionals (e.g., attorneys, accountants and scientists). Misuse of customer proprietary information, misappropriation of funds, other criminal activity and other similar claims are also attendant risks.</w:t>
      </w:r>
    </w:p>
    <w:p>
      <w:pPr>
        <w:spacing w:after="0" w:line="130"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Kelly has policies in place to help reduce its exposure to these risks and has purchased insurance policies against certain risks in amounts that it believes to be adequate. Although Kelly historically has not had any material losses resulting from these risks, there can be no assurance that Kelly will not experience such losses in the future or that Kelly’s insurance will remain available on reasonable terms or be sufficient in amount or scope to cover any such liability.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Dependent on Key Management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Kelly is highly dependent on its management. Kelly believes that its success has depended to a significant extent upon the efforts and abilities of its Chairman and Chief Executive Officer, Terence E. Adderley, and certain other key executives. The loss of the services of Mr. Adderley or any of the other key executives could have a material adverse effect upon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Government regulations may result in prohibition or restriction of certain types of employment services or the imposition of new or additional benefit, licensing or tax requirements that may reduce Kelly’s future earnings. Such legislative or regulatory changes could include, among others, the prohibition or restriction of certain types of employment services or the imposition of new or additional benefit, licensing or tax requirements with respect to the provision of employment services. There can be no assurance that Kelly will be able to increase the fees charged to its clients in a timely manner and in a sufficient amount to cover increased costs as a result of any of the foregoing.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Kelly’s operations are conducted in 26 countries outside the U.S. Kelly’s local operations are reported in the applicable foreign currencies and then translated into U.S. dollars at the applicable foreign currency exchange rates for inclusion in Kelly’s consolidated financial statements. Exchange rates for currencies of these countries may fluctuate in relation to the U.S. dollar and such fluctuations may have an adverse or favorable effect on Kelly’s operating results when translating foreign currency into U.S. dollars.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 Fluctuations</w:t>
      </w:r>
    </w:p>
    <w:p>
      <w:pPr>
        <w:spacing w:after="0" w:line="7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Kelly’s stock price can fluctuate as a result of a variety of factors, including factors listed in these “Risk Factors,” many of which are beyond Kelly’s control. These factors include actual or anticipated variations in quarterly operating results; announcements of new services by Kelly or its competitors; announcements relating to strategic relationships or acquisitions; changes in financial estimates by securities analysts; and changes in general economic conditions. Because of this, Kelly may fail to meet or exceed the expectations of its shareholders or of securities analysts, and its stock price could fluctuate as a result.</w:t>
      </w:r>
    </w:p>
    <w:p>
      <w:pPr>
        <w:sectPr>
          <w:pgSz w:w="11900" w:h="16838" w:orient="portrait"/>
          <w:cols w:equalWidth="0" w:num="1">
            <w:col w:w="11400"/>
          </w:cols>
          <w:pgMar w:left="240" w:top="2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w:t>
      </w:r>
    </w:p>
    <w:p>
      <w:pPr>
        <w:spacing w:after="0" w:line="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Terence E. Adderley, Chairman and Chief Executive Officer, and certain trusts, with respect to which he acts as trustee or co-trustee, control approximately 92.6% of outstanding Kelly Class B common stock, which is the only class of stock entitled to voting rights. Mr. Adderley is therefore able to exercise voting control of the Company with respect to matters requiring stockholder approval, including the election of directors and approval of significant corporate transactions.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 to Company Information</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Kelly electronically files the annual report on Form 10-K, quarterly reports on Form 10-Q, current reports on Form 8-K and all amendments to those reports with the Securities and Exchange Commission (SEC). The public may read and copy any of the reports that are filed with the SEC at the SEC’s Public Reference Room at 450 Fifth Street, NW, Washington, DC 20549. The public may obtain information on the operation of the Public Reference Room by calling the SEC at 1-800-SEC-0330. The SEC maintains an Internet site at www.sec.gov that contains reports, proxy and information statements and other information regarding issuers that file electronically.</w:t>
      </w:r>
    </w:p>
    <w:p>
      <w:pPr>
        <w:spacing w:after="0" w:line="12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Kelly makes available, free of charge, through its website, and by responding to requests addressed to its director of investor relations, the annual report on Form 10-K, quarterly reports on Form 10-Q, current reports on Form 8-K and all amendments to those reports. These reports are available as soon as reasonably practicable after such material is electronically filed with or furnished to the Securities and Exchange Commission. Kelly’s website address is: www.kellyservices.com. The information contained on the website, or on other websites linked to the website, is not part of this document.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8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Kelly Services owns its headquarters in Troy, Michigan, where corporate, subsidiary and divisional offices are currently located. The original headquarters building was purchased in 1977. Headquarters operations were expanded into additional buildings purchased in 1991, 1997 and 2001.</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combined usable floor space in the headquarters complex is approximately 350,000 square feet, and an additional 63,000 square feet is leased nearby. Kelly’s buildings are in good condition and are currently adequate for their intended purpose and use. The Company owns undeveloped land in Troy and Northern Oakland County, Michigan, for possible future expansion.</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Branch office business is conducted in leased premises and a majority of leases are for fixed terms, generally five years in the U.S. and 5 to 10 years outside the U.S. Kelly owns virtually all of its office furniture and the equipment used in corporate headquarters and branch offices.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is involved in various legal proceedings occurring in the normal course of its business. In the opinion of the Company’s management, adequate provision has been made for losses that are likely to result from these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matters submitted to a vote of security holders in the fourth quarter of 2004.</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5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Kelly’s stock is traded on the Nasdaq National Market System under the symbols “KELYA” and “KELYB.” The high and low selling prices for the Class A common stock and Class B common stock as quoted by the Nasdaq Stock Market and the dividends paid on the common stock for each quarterly period in the last two fiscal years are reported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Per share amounts (in dollars)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Second</w:t>
            </w:r>
          </w:p>
        </w:tc>
        <w:tc>
          <w:tcPr>
            <w:tcW w:w="2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jc w:val="right"/>
              <w:ind w:right="7612"/>
              <w:spacing w:after="0"/>
              <w:rPr>
                <w:sz w:val="20"/>
                <w:szCs w:val="20"/>
                <w:color w:val="auto"/>
              </w:rPr>
            </w:pPr>
            <w:r>
              <w:rPr>
                <w:rFonts w:ascii="Arial" w:cs="Arial" w:eastAsia="Arial" w:hAnsi="Arial"/>
                <w:sz w:val="18"/>
                <w:szCs w:val="18"/>
                <w:b w:val="1"/>
                <w:bCs w:val="1"/>
                <w:color w:val="auto"/>
                <w:w w:val="79"/>
              </w:rPr>
              <w:t>2004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88"/>
              </w:rPr>
              <w:t>Class A common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tcPr>
          <w:p>
            <w:pPr>
              <w:jc w:val="right"/>
              <w:spacing w:after="0"/>
              <w:rPr>
                <w:sz w:val="20"/>
                <w:szCs w:val="20"/>
                <w:color w:val="auto"/>
              </w:rPr>
            </w:pPr>
            <w:r>
              <w:rPr>
                <w:rFonts w:ascii="Arial" w:cs="Arial" w:eastAsia="Arial" w:hAnsi="Arial"/>
                <w:sz w:val="18"/>
                <w:szCs w:val="18"/>
                <w:color w:val="auto"/>
              </w:rPr>
              <w:t>27.17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27.05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25.86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88"/>
              </w:rPr>
              <w:t>Class B common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tcPr>
          <w:p>
            <w:pPr>
              <w:jc w:val="right"/>
              <w:spacing w:after="0"/>
              <w:rPr>
                <w:sz w:val="20"/>
                <w:szCs w:val="20"/>
                <w:color w:val="auto"/>
              </w:rPr>
            </w:pPr>
            <w:r>
              <w:rPr>
                <w:rFonts w:ascii="Arial" w:cs="Arial" w:eastAsia="Arial" w:hAnsi="Arial"/>
                <w:sz w:val="18"/>
                <w:szCs w:val="18"/>
                <w:color w:val="auto"/>
              </w:rPr>
              <w:t>31.50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32.74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29.42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040" w:type="dxa"/>
            <w:vAlign w:val="bottom"/>
          </w:tcPr>
          <w:p>
            <w:pPr>
              <w:jc w:val="right"/>
              <w:ind w:right="6812"/>
              <w:spacing w:after="0"/>
              <w:rPr>
                <w:sz w:val="20"/>
                <w:szCs w:val="20"/>
                <w:color w:val="auto"/>
              </w:rPr>
            </w:pPr>
            <w:r>
              <w:rPr>
                <w:rFonts w:ascii="Arial" w:cs="Arial" w:eastAsia="Arial" w:hAnsi="Arial"/>
                <w:sz w:val="18"/>
                <w:szCs w:val="18"/>
                <w:color w:val="auto"/>
              </w:rPr>
              <w:t>Dividends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jc w:val="right"/>
              <w:ind w:right="7612"/>
              <w:spacing w:after="0"/>
              <w:rPr>
                <w:sz w:val="20"/>
                <w:szCs w:val="20"/>
                <w:color w:val="auto"/>
              </w:rPr>
            </w:pPr>
            <w:r>
              <w:rPr>
                <w:rFonts w:ascii="Arial" w:cs="Arial" w:eastAsia="Arial" w:hAnsi="Arial"/>
                <w:sz w:val="18"/>
                <w:szCs w:val="18"/>
                <w:b w:val="1"/>
                <w:bCs w:val="1"/>
                <w:color w:val="auto"/>
                <w:w w:val="79"/>
              </w:rPr>
              <w:t>2003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88"/>
              </w:rPr>
              <w:t>Class A common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tcPr>
          <w:p>
            <w:pPr>
              <w:jc w:val="right"/>
              <w:spacing w:after="0"/>
              <w:rPr>
                <w:sz w:val="20"/>
                <w:szCs w:val="20"/>
                <w:color w:val="auto"/>
              </w:rPr>
            </w:pPr>
            <w:r>
              <w:rPr>
                <w:rFonts w:ascii="Arial" w:cs="Arial" w:eastAsia="Arial" w:hAnsi="Arial"/>
                <w:sz w:val="18"/>
                <w:szCs w:val="18"/>
                <w:color w:val="auto"/>
              </w:rPr>
              <w:t>19.01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21.31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23.30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24.20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88"/>
              </w:rPr>
              <w:t>Class B common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jc w:val="center"/>
              <w:ind w:right="5892"/>
              <w:spacing w:after="0"/>
              <w:rPr>
                <w:sz w:val="20"/>
                <w:szCs w:val="20"/>
                <w:color w:val="auto"/>
              </w:rPr>
            </w:pPr>
            <w:r>
              <w:rPr>
                <w:rFonts w:ascii="Arial" w:cs="Arial" w:eastAsia="Arial" w:hAnsi="Arial"/>
                <w:sz w:val="18"/>
                <w:szCs w:val="18"/>
                <w:color w:val="auto"/>
                <w:w w:val="91"/>
              </w:rPr>
              <w:t>High</w:t>
            </w:r>
          </w:p>
        </w:tc>
        <w:tc>
          <w:tcPr>
            <w:tcW w:w="500" w:type="dxa"/>
            <w:vAlign w:val="bottom"/>
          </w:tcPr>
          <w:p>
            <w:pPr>
              <w:jc w:val="right"/>
              <w:spacing w:after="0"/>
              <w:rPr>
                <w:sz w:val="20"/>
                <w:szCs w:val="20"/>
                <w:color w:val="auto"/>
              </w:rPr>
            </w:pPr>
            <w:r>
              <w:rPr>
                <w:rFonts w:ascii="Arial" w:cs="Arial" w:eastAsia="Arial" w:hAnsi="Arial"/>
                <w:sz w:val="18"/>
                <w:szCs w:val="18"/>
                <w:color w:val="auto"/>
              </w:rPr>
              <w:t>26.41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27.49</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29.63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jc w:val="center"/>
              <w:ind w:right="5912"/>
              <w:spacing w:after="0"/>
              <w:rPr>
                <w:sz w:val="20"/>
                <w:szCs w:val="20"/>
                <w:color w:val="auto"/>
              </w:rPr>
            </w:pPr>
            <w:r>
              <w:rPr>
                <w:rFonts w:ascii="Arial" w:cs="Arial" w:eastAsia="Arial" w:hAnsi="Arial"/>
                <w:sz w:val="18"/>
                <w:szCs w:val="18"/>
                <w:color w:val="auto"/>
                <w:w w:val="96"/>
              </w:rPr>
              <w:t>Low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040" w:type="dxa"/>
            <w:vAlign w:val="bottom"/>
          </w:tcPr>
          <w:p>
            <w:pPr>
              <w:jc w:val="right"/>
              <w:ind w:right="6812"/>
              <w:spacing w:after="0"/>
              <w:rPr>
                <w:sz w:val="20"/>
                <w:szCs w:val="20"/>
                <w:color w:val="auto"/>
              </w:rPr>
            </w:pPr>
            <w:r>
              <w:rPr>
                <w:rFonts w:ascii="Arial" w:cs="Arial" w:eastAsia="Arial" w:hAnsi="Arial"/>
                <w:sz w:val="18"/>
                <w:szCs w:val="18"/>
                <w:color w:val="auto"/>
              </w:rPr>
              <w:t>Dividends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number of holders of record and individual participants of the Class A and Class B common stock of the Company were 5,701 and 536, respectively, as of February 10,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5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Purchased</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1"/>
              </w:rPr>
              <w:t>of Shares</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(or Units)</w:t>
            </w:r>
          </w:p>
        </w:tc>
        <w:tc>
          <w:tcPr>
            <w:tcW w:w="1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Share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Purchased</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(or Unit)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2004 through</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October 31, 2004</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26.76(1)</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November 1, 2004 through</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3"/>
          </w:tcPr>
          <w:p>
            <w:pPr>
              <w:ind w:left="200"/>
              <w:spacing w:after="0"/>
              <w:rPr>
                <w:sz w:val="20"/>
                <w:szCs w:val="20"/>
                <w:color w:val="auto"/>
              </w:rPr>
            </w:pPr>
            <w:r>
              <w:rPr>
                <w:rFonts w:ascii="Arial" w:cs="Arial" w:eastAsia="Arial" w:hAnsi="Arial"/>
                <w:sz w:val="18"/>
                <w:szCs w:val="18"/>
                <w:color w:val="auto"/>
              </w:rPr>
              <w:t>November 28, 2004</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5,313(1)</w:t>
            </w:r>
          </w:p>
        </w:tc>
        <w:tc>
          <w:tcPr>
            <w:tcW w:w="16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28.43(1)</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29, 2004 through</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January 2, 2005</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31.16(1)</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28.46</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-172720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-172720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-172720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-172720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14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shares were not purchased through a publicly announced plan. The shares were “repurchased” in connection with the vesting of restricted shares, where the employee satisfied his or her tax obligation by authorizing the Company to withhold the appropriate number of shares, and the Company issued to the employee the net difference between the shares due upon vesting and the withheld shares.</w:t>
      </w:r>
    </w:p>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 (Restated – See Note 2 of the Notes to the Financial Statements).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summarizes selected financial information of Kelly Services, Inc. and its subsidiaries for each of the most recent five fiscal years. This table should be read in conjunction with other financial information of the registrant including “Management’s Discussion and Analysis of Financial Condition and Results of Operations” and financial statements included elsewhere herein.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5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 (1)</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62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 (2)</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$4,984.1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$4,325.2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$4,056.9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$4,005.9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Earnings before taxes (3)</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8.3</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30.6</w:t>
            </w:r>
          </w:p>
        </w:tc>
        <w:tc>
          <w:tcPr>
            <w:tcW w:w="620" w:type="dxa"/>
            <w:vAlign w:val="bottom"/>
          </w:tcPr>
          <w:p>
            <w:pPr>
              <w:jc w:val="right"/>
              <w:spacing w:after="0"/>
              <w:rPr>
                <w:sz w:val="20"/>
                <w:szCs w:val="20"/>
                <w:color w:val="auto"/>
              </w:rPr>
            </w:pPr>
            <w:r>
              <w:rPr>
                <w:rFonts w:ascii="Arial" w:cs="Arial" w:eastAsia="Arial" w:hAnsi="Arial"/>
                <w:sz w:val="18"/>
                <w:szCs w:val="18"/>
                <w:color w:val="auto"/>
              </w:rPr>
              <w:t>27.9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00" w:type="dxa"/>
            <w:vAlign w:val="bottom"/>
            <w:gridSpan w:val="2"/>
          </w:tcPr>
          <w:p>
            <w:pPr>
              <w:spacing w:after="0"/>
              <w:rPr>
                <w:sz w:val="20"/>
                <w:szCs w:val="20"/>
                <w:color w:val="auto"/>
              </w:rPr>
            </w:pPr>
            <w:r>
              <w:rPr>
                <w:rFonts w:ascii="Arial" w:cs="Arial" w:eastAsia="Arial" w:hAnsi="Arial"/>
                <w:sz w:val="18"/>
                <w:szCs w:val="18"/>
                <w:color w:val="auto"/>
              </w:rPr>
              <w:t>Per share data:</w:t>
            </w:r>
          </w:p>
        </w:tc>
        <w:tc>
          <w:tcPr>
            <w:tcW w:w="4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0.14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0.51</w:t>
            </w:r>
          </w:p>
        </w:tc>
        <w:tc>
          <w:tcPr>
            <w:tcW w:w="620" w:type="dxa"/>
            <w:vAlign w:val="bottom"/>
          </w:tcPr>
          <w:p>
            <w:pPr>
              <w:jc w:val="right"/>
              <w:spacing w:after="0"/>
              <w:rPr>
                <w:sz w:val="20"/>
                <w:szCs w:val="20"/>
                <w:color w:val="auto"/>
              </w:rPr>
            </w:pPr>
            <w:r>
              <w:rPr>
                <w:rFonts w:ascii="Arial" w:cs="Arial" w:eastAsia="Arial" w:hAnsi="Arial"/>
                <w:sz w:val="18"/>
                <w:szCs w:val="18"/>
                <w:color w:val="auto"/>
              </w:rPr>
              <w:t>0.47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4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Classes A and B common</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0.40</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0.40</w:t>
            </w:r>
          </w:p>
        </w:tc>
        <w:tc>
          <w:tcPr>
            <w:tcW w:w="620" w:type="dxa"/>
            <w:vAlign w:val="bottom"/>
          </w:tcPr>
          <w:p>
            <w:pPr>
              <w:jc w:val="right"/>
              <w:spacing w:after="0"/>
              <w:rPr>
                <w:sz w:val="20"/>
                <w:szCs w:val="20"/>
                <w:color w:val="auto"/>
              </w:rPr>
            </w:pPr>
            <w:r>
              <w:rPr>
                <w:rFonts w:ascii="Arial" w:cs="Arial" w:eastAsia="Arial" w:hAnsi="Arial"/>
                <w:sz w:val="18"/>
                <w:szCs w:val="18"/>
                <w:color w:val="auto"/>
              </w:rPr>
              <w:t>0.85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373.3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assets</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1,249.8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1,139.2</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1,073.2</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year included 53 weeks.</w:t>
      </w:r>
    </w:p>
    <w:p>
      <w:pPr>
        <w:spacing w:after="0" w:line="15"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discussed in Note 1 to the financial statements, beginning in 2003, the Company changed its method of reporting revenue for its Kelly Staff Leasing subsidiary. As a result, KSL worksite employee payroll costs were excluded from both revenue from services and cost of services, with no impact on gross profit or net earnings. Revenue from services and cost of services were reclassified for all prior periods for comparability. The effect of this change was to reduce revenue from services and cost of services as follows: $266.5 million in 2002, $251.0 million in 2001 and $236.6 million in 2000.</w:t>
      </w:r>
    </w:p>
    <w:p>
      <w:pPr>
        <w:spacing w:after="0" w:line="2"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SFAS No.142, the Company eliminated goodwill amortization beginning in 2002. Goodwill amortization included in earnings before taxes was $2.7 million in 2001 and $2.0 million in 2000.</w:t>
      </w:r>
    </w:p>
    <w:p>
      <w:pPr>
        <w:sectPr>
          <w:pgSz w:w="11900" w:h="16838" w:orient="portrait"/>
          <w:cols w:equalWidth="0" w:num="1">
            <w:col w:w="11420"/>
          </w:cols>
          <w:pgMar w:left="240" w:top="280" w:right="239" w:bottom="1440" w:gutter="0" w:footer="0" w:header="0"/>
        </w:sectPr>
      </w:pPr>
    </w:p>
    <w:bookmarkStart w:id="10" w:name="page11"/>
    <w:bookmarkEnd w:id="1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Executive Overview</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believe that 2004 was a very good year for the economy, for the staffing industry and for Kelly Services. Economic conditions strengthened, both in the United States and abroad. In the U.S., over two million new jobs were created, nearly 10% of which were accounted for by temporary staffing. The unemployment rate improved to 5.4% and G.D.P. growth accelerated as compared to the prior year. The global economy also posted impressive gains growing at the fastest rate since 1976. Worldwide employment also grew, with temporary employment in Europe growing faster than employment in general.</w:t>
      </w:r>
    </w:p>
    <w:p>
      <w:pPr>
        <w:spacing w:after="0" w:line="99"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Sales improved in all three of Kelly’s business segments and across virtually all of our service offerings. Fee income increased sharply both in temporary-to-permanent and direct placement, an important confirmation that business confidence is building and permanent hiring is increasing.</w:t>
      </w:r>
    </w:p>
    <w:p>
      <w:pPr>
        <w:spacing w:after="0" w:line="72" w:lineRule="exact"/>
        <w:rPr>
          <w:sz w:val="20"/>
          <w:szCs w:val="20"/>
          <w:color w:val="auto"/>
        </w:rPr>
      </w:pPr>
    </w:p>
    <w:p>
      <w:pPr>
        <w:jc w:val="both"/>
        <w:ind w:right="480"/>
        <w:spacing w:after="0" w:line="273" w:lineRule="auto"/>
        <w:rPr>
          <w:sz w:val="20"/>
          <w:szCs w:val="20"/>
          <w:color w:val="auto"/>
        </w:rPr>
      </w:pPr>
      <w:r>
        <w:rPr>
          <w:rFonts w:ascii="Arial" w:cs="Arial" w:eastAsia="Arial" w:hAnsi="Arial"/>
          <w:sz w:val="18"/>
          <w:szCs w:val="18"/>
          <w:color w:val="auto"/>
        </w:rPr>
        <w:t>With the recession behind us, we re-engaged our strategic growth plan and resumed filling out our branch network. Our U.S. Commercial Staffing segment continued to expand its product offerings. Our PTSA segment expanded Professional and Technical businesses into more countries. And, our International segment resumed geographic expansion, opening in Hungary, our 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country.</w:t>
      </w:r>
    </w:p>
    <w:p>
      <w:pPr>
        <w:spacing w:after="0" w:line="38"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Kelly Services returned to double-digit sales growth, set a new sales record, controlled expenses, improved operating efficiencies, quadrupled earnings and continued to invest for the longer term.</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Restatement of Financial Statements</w:t>
      </w:r>
    </w:p>
    <w:p>
      <w:pPr>
        <w:spacing w:after="0" w:line="16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Subsequent to the issuance of the Company’s fiscal 2004 financial statements, the Company’s management determined that its lease-related accounting policies needed to be revised. On April 25, 2005 management concluded, with the concurrence of the Audit Committee of the Board of Directors, that the Company would restate its financial statements for the fiscal years ended December 29, 2002, December 28, 2003 and January 2, 2005. As a result, the Company has corrected its accounting for operating leases to recognize scheduled rent increases on a straight-line basis over the lease term. Previously, the Company recorded rent expense as incurred. In addition, the Company has recorded allowances provided by landlords for leasehold improvements as deferred rent in the balance sheet and as operating cash flow in the statement of cash flows. Previously, these amounts had been recorded as reductions of property and equipment in the balance sheet and as reductions of capital expenditures in the statement of cash flows. In addition, as part of the restatement process, the Company has also recorded certain other adjustments, as more fully described in Note 2 to the financial statements. The Company does not believe that any of the adjustments are material to any of the periods presented.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Management’s Discussion and Analysis of Financial Condition and Results of Operations has been revised to give effect to the restatement.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details on the restatement.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2004 versus 2003</w:t>
      </w:r>
    </w:p>
    <w:p>
      <w:pPr>
        <w:spacing w:after="0" w:line="1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 from services for 2004 totaled $4.984 billion, an increase of 15.2% from 2003. This was the result of an increase in hours worked of 9.8% and an increase in average hourly bill rates of 4.9%. Revenue from services increased in each of the Company’s three business segments: U.S. Commercial Staffing, PTSA and International.</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past year, the U.S. dollar declined in comparison to many foreign currencies, including the euro and British pound. As a result, Kelly’s U.S. dollar translated revenue from services was higher than would have otherwise been reported. On a constant currency basis, 2004 revenue from services increased 12.3% as compared with the prior year. The table below summarizes the impact of foreign exchange adjustments on revenue from services for 2004 on a 53-week reported basis:</w:t>
      </w:r>
    </w:p>
    <w:p>
      <w:pPr>
        <w:sectPr>
          <w:pgSz w:w="11900" w:h="16838" w:orient="portrait"/>
          <w:cols w:equalWidth="0" w:num="1">
            <w:col w:w="11380"/>
          </w:cols>
          <w:pgMar w:left="240" w:top="280" w:right="27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Revenue from Services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5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37"/>
        </w:trPr>
        <w:tc>
          <w:tcPr>
            <w:tcW w:w="5420" w:type="dxa"/>
            <w:vAlign w:val="bottom"/>
          </w:tcPr>
          <w:p>
            <w:pPr>
              <w:spacing w:after="0"/>
              <w:rPr>
                <w:sz w:val="20"/>
                <w:szCs w:val="20"/>
                <w:color w:val="auto"/>
              </w:rPr>
            </w:pPr>
          </w:p>
        </w:tc>
        <w:tc>
          <w:tcPr>
            <w:tcW w:w="24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74"/>
        </w:trPr>
        <w:tc>
          <w:tcPr>
            <w:tcW w:w="5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(53 weeks)</w:t>
            </w:r>
          </w:p>
        </w:tc>
        <w:tc>
          <w:tcPr>
            <w:tcW w:w="50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(52 weeks)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 Change</w:t>
            </w:r>
          </w:p>
        </w:tc>
      </w:tr>
      <w:tr>
        <w:trPr>
          <w:trHeight w:val="95"/>
        </w:trPr>
        <w:tc>
          <w:tcPr>
            <w:tcW w:w="5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50"/>
        </w:trPr>
        <w:tc>
          <w:tcPr>
            <w:tcW w:w="5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 Commercial Staffing</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$2,327.9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PTSA</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1,033.4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895.0</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Constant Currency</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r>
      <w:tr>
        <w:trPr>
          <w:trHeight w:val="108"/>
        </w:trPr>
        <w:tc>
          <w:tcPr>
            <w:tcW w:w="5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from Services - Constant Currency</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Foreign Currency Impact</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128.9</w:t>
            </w:r>
          </w:p>
        </w:tc>
        <w:tc>
          <w:tcPr>
            <w:tcW w:w="500" w:type="dxa"/>
            <w:vAlign w:val="bottom"/>
          </w:tcPr>
          <w:p>
            <w:pPr>
              <w:spacing w:after="0"/>
              <w:rPr>
                <w:sz w:val="19"/>
                <w:szCs w:val="19"/>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5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from Services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$4,984.1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r>
      <w:tr>
        <w:trPr>
          <w:trHeight w:val="132"/>
        </w:trPr>
        <w:tc>
          <w:tcPr>
            <w:tcW w:w="5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-29210</wp:posOffset>
            </wp:positionV>
            <wp:extent cx="39878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addition, the 2004 fiscal year includes a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This fiscal leap year occurs every five or six years and is necessary to align the fiscal and calendar periods. On a constant currency adjusted 52-week basis, revenue increased 10.9%. Management believes these measurements are an important analytical tool to aid in understanding underlying operating trends without distortion due to currency fluctuations and the extra week included in the 2004 fiscal year. Constant currency results are calculated by translating the current year results at prior year average exchange rates. Adjusted 52-week revenue is calculated by excluding the last week of the 2004 fiscal year. The table below summarizes the impact of foreign exchange adjustments on revenue from services for 2004 on a 52-week adjusted basis: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Revenue from Services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2004</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Reported</w:t>
            </w:r>
          </w:p>
        </w:tc>
        <w:tc>
          <w:tcPr>
            <w:tcW w:w="96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85"/>
              </w:rPr>
              <w:t>Less: 53rd</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Adjusted</w:t>
            </w:r>
          </w:p>
        </w:tc>
        <w:tc>
          <w:tcPr>
            <w:tcW w:w="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Revenue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7"/>
              </w:rPr>
              <w:t>Week</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Revenue</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53 Weeks</w:t>
            </w:r>
          </w:p>
        </w:tc>
        <w:tc>
          <w:tcPr>
            <w:tcW w:w="360" w:type="dxa"/>
            <w:vAlign w:val="bottom"/>
          </w:tcPr>
          <w:p>
            <w:pPr>
              <w:spacing w:after="0"/>
              <w:rPr>
                <w:sz w:val="15"/>
                <w:szCs w:val="15"/>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52 Weeks</w:t>
            </w:r>
          </w:p>
        </w:tc>
        <w:tc>
          <w:tcPr>
            <w:tcW w:w="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52 Weeks</w:t>
            </w:r>
          </w:p>
        </w:tc>
        <w:tc>
          <w:tcPr>
            <w:tcW w:w="3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U.S. Commercial Staffing</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$2,298.0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$2,131.5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PTSA</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1,033.4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1,019.9</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constant currency</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from services - constant currency</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4,855.2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4,794.6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Foreign currency impact</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128.9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127.7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from services</w:t>
            </w: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$4,984.1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$4,922.3</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$4,325.2</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-29210</wp:posOffset>
            </wp:positionV>
            <wp:extent cx="39878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of $797.8 million was 14.5% higher than 2003. Gross profit as a percentage of revenues was 16.0% in 2004, and decreased 0.1 percentage point compared to the 16.1% rate recorded in the prior year. This reflected decreases in the gross profit rates of PTSA and International, partially offset by an increase in the gross profit rate of U.S. Commercial Staffing. The decrease in the gross profit rate was due to higher state unemployment taxes, to the extent not fully recovered through pricing actions and temporary staffing gross profit rate decreases in Europe, partially offset by lower workers’ compensation costs and improved fee based recruitment income.</w:t>
      </w:r>
    </w:p>
    <w:p>
      <w:pPr>
        <w:spacing w:after="0" w:line="12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decrease in workers’ compensation costs compared to 2003 resulted from favorable comparisons to last year. In 2003, the Company revised its estimate of the cost of outstanding workers’ compensation claims and, accordingly, recorded additional expense of $11.7 million. State unemployment taxes are expected to continue to increase in 2005; however, the Company has been recovering most of these additional costs by re-pricing customer contracts.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 based recruitment income, which represents approximately one percent of the Company’s total revenue, has a significant impact on gross profit rates. There are very low direct costs of services associated with fee based recruitment income. Therefore, increases or decreases can have a disproportionate impact on gross profit rates.</w:t>
      </w:r>
    </w:p>
    <w:p>
      <w:pPr>
        <w:spacing w:after="0" w:line="12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Selling, general and administrative expenses of $763.8 million were 11.0% higher than last year. Selling, general and administrative expenses expressed as a percentage of revenues were 15.3% in 2004, a 0.6 percentage point decrease compared to the 15.9% rate in 2003. As measured on a constant currency basis, selling, general and administrative expenses increased 7.8%compared to the prior year. The increase in selling, general and administrative expenses is due primarily to growth in salaries, retirement programs and incentive-based compensation.</w:t>
      </w:r>
    </w:p>
    <w:p>
      <w:pPr>
        <w:sectPr>
          <w:pgSz w:w="11900" w:h="16838" w:orient="portrait"/>
          <w:cols w:equalWidth="0" w:num="1">
            <w:col w:w="11320"/>
          </w:cols>
          <w:pgMar w:left="240" w:top="28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Net interest expense for 2004 was $861 thousand, compared to $77 thousand in 2003. The change is primarily attributable to higher average short-term debt levels and lower average cash balances as a result of increased working capital requirements.</w:t>
      </w:r>
    </w:p>
    <w:p>
      <w:pPr>
        <w:spacing w:after="0" w:line="11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Earnings before taxes were $33.1 million, an increase of 298.1% from 2003. Earnings before taxes averaged 0.7% of revenues in 2004 and 0.2% of revenues in 2003. The effective income tax rate for 2004 was 36.0%, a decrease from last year’s rate of 41.1%. Last year’s rate was higher primarily because it included the impact of establishing valuation allowances for certain international tax loss carryforwards.</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earnings in 2004 were $21.2 million, or a 332.5% increase compared to 2003. Basic and diluted earnings per share in 2004 were $0.60, as compared to basic and diluted earnings per share of $.14 in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Commercial Staffing</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 from services in the U.S. Commercial Staffing segment totaled $2.328 billion for the 53 weeks in 2004, a 9.2% increase compared to the $2.132 billion reported for the 52 weeks in 2003. This reflected a 6.8% increase in hours worked and a 2.2% increase in average hourly bill rates. Year-over-year revenue comparisons reflect increases of: 8.9% in the first quarter, 11.3% in the second quarter, 7.2% in the third quarter and 9.5% in the fourth quarter. On an adjusted 52-week basis, revenue from services increased 7.8% year over year and on an adjusted 13-week basis, fourth quarter revenue from services increased 4.2% year over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U.S. Commercial Staffing revenue from services represented 47% of total Company revenue from services for 2004 and 49% for 2003.</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U.S. Commercial Staffing earnings from operations totaled $119.4 million for 2004 compared to earnings of $93.2 million last year, an increase of 28.1%. The increase in earnings from operations was primarily attributable to the 9.2% increase in revenue and a 0.1 percentage point increase in the gross profit rate, partially offset by a 2.1% increase in selling, general and administrative expenses. The increase in the gross profit rate was primarily due to lower workers’ compensation costs and higher fee-based income, partially offset by higher state unemployment taxes, to the extent not fully recovered through pricing actions. Of the $11.7 million additional workers’ compensation charge in 2003 reported above, $9.7 million was charged to U. S. Commercial Staffing.</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increased by 2.1% as compared to the prior year and, as a percentage of revenues, were 9.4% for 2004 and 10.1% for 2003. The increase in selling, general and administrative expenses was due primarily to the growth in salaries, retirement programs and incentive-based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Technical and Staffing Alternatives</w:t>
      </w:r>
    </w:p>
    <w:p>
      <w:pPr>
        <w:spacing w:after="0" w:line="7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Revenue from services in the PTSA segment for the 53 weeks in 2004 totaled $1.033 billion, an increase of 15.5% compared to the $895.0 million reported for the 52 weeks in 2003. This reflected a 10.8% increase in hours worked and a 5.3% increase in average hourly bill rates in the professional and technical businesses. Revenues in the staffing alternatives businesses, which include staff leasing, management services, HRfirst and vendor management services, increased by 4.9% compared to 2003. Year-over-year revenue comparisons reflect increases of: 7.7% in the first quarter, 14.7% in the second quarter, 18.0% in the third quarter and 21.3% in the fourth quarter. On an adjusted 52-week basis, revenue from services increased 14.0% year over year and on an adjusted 13-week basis, fourth quarter revenue from services increased 15.4% year over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PTSA revenues from services represented 21% of total Company revenues in 2004 and 2003.</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2004, nearly all PTSA business units exhibited double-digit revenue growth as compared to 2003. Kelly Law Registry, Kelly Engineering Resources, HRfirst and Vendor Management Services reported particularly strong growth. However, Kelly Home Care, Kelly Automotive Services Group and Kelly Staff Leasing experienced revenue declines during 2004 as compared to the prior year. The decrease in Kelly Automotive Services group was consistent with the industry trend in its staffing sector. The revenue decline at Kelly Staff Leasing reflects intended changes in customer mix to properly position this business unit with a stronger customer base in 2005.</w:t>
      </w:r>
    </w:p>
    <w:p>
      <w:pPr>
        <w:sectPr>
          <w:pgSz w:w="11900" w:h="16838" w:orient="portrait"/>
          <w:cols w:equalWidth="0" w:num="1">
            <w:col w:w="11420"/>
          </w:cols>
          <w:pgMar w:left="240" w:top="28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PTSA earnings from operations for 2004 totaled $62.2 million and increased 17.9% from the same period in 2003. This was the result of the 15.5% increase in revenue from services, partially offset by a 0.4 percentage point decrease in the gross profit rate and a 9.9% increase in selling, general and administrative expenses. The decrease in the gross profit rate was primarily due to decreases in the Kelly Home Care business unit and higher workers’ compensation expense in the Kelly Staff Leasing business unit. The 9.9% increase in selling, general and administrative expenses was primarily due to increased salaries and incentive-based compensation. Selling, general and administrative expenses as a percent of revenues were 11.7% for 2004 and 12.2% for 2003.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7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Translated U.S. dollar revenue from services in the International segment for the 53 weeks in 2004 totaled $1.623 billion, a 25.0% increase compared to the $1.299 billion reported for the 52 weeks in 2003. This resulted from an increase in hours worked of 14.1% and a 9.2% increase in the translated U.S. dollar average hourly bill rates. International revenue from services represented 32% of total Company revenues in 2004 and 30% in 2003.</w:t>
      </w:r>
    </w:p>
    <w:p>
      <w:pPr>
        <w:spacing w:after="0" w:line="9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 constant currency basis, revenue from services increased 15.0%. On an adjusted 52-week constant currency basis, revenue from services in the International segment increased 13.7%. Average hourly bill rates increased 0.6% on a constant currency basis. The year-over-year increase in average hourly bill rates, on a constant currency basis, is primarily due to stronger average hourly bill rates in the Asia-Pacific region. Constant currency year-over-year revenue comparisons reflect increases of: 17.8% in the first quarter, 15.9% in the second quarter, 11.5% in the third quarter and 15.5% in the fourth quarter. On an adjusted 13-week constant currency basis, fourth quarter revenue from services increased 10.8%.</w:t>
      </w:r>
    </w:p>
    <w:p>
      <w:pPr>
        <w:spacing w:after="0" w:line="10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strong improvements realized in revenue were caused by both a general economic recovery in most countries, and Kelly’s particular focus on revenue growth. Fourth quarter and total-year revenue growth was positive in all regions: the Americas, UK/Ireland, continental Europe and Asia-Pacific. Additionally, fee-based income in the International segment experienced year-over-year growth of 36% on a 53-week basis.</w:t>
      </w:r>
    </w:p>
    <w:p>
      <w:pPr>
        <w:spacing w:after="0" w:line="9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International earnings totaled $12.7 million for 2004, compared to a loss of $787 thousand for 2003. The 25.0% increase in revenue from services was partially offset by a 0.4 percentage point decrease in the gross profit rate and a 16.2% increase in expenses, as measured in U.S. dollars. International results generally improved as the year progressed. The segment recorded a loss of $924 thousand in the first quarter, income of $1.9 million in the second quarter, income of $6.2 million in the third quarter and income of $5.5 million in the fourth quarter.</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decrease in the International gross profit rate is due primarily to rate decreases in the United Kingdom. The decrease in gross profit rates experienced in the United Kingdom is due, in large part, to a shift in customer mix to larger corporate account customers which tend to have lower gross margins.</w:t>
      </w:r>
    </w:p>
    <w:p>
      <w:pPr>
        <w:spacing w:after="0" w:line="7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Many of the Company’s large corporate and national account customers have negotiated high volume global service agreements, which tend to result in lower gross profit rates than those earned with the Company’s small and medium size customers. However, these accounts also have a lower administrative cost due to economies of scale, and can yield an operating margin similar to that realized with small or medium size customers. The Company’s strategy is focused on serving and growing large national and local accounts. As customer mix shifts to larger accounts, the Company’s average gross margins tend to decrease.</w:t>
      </w:r>
    </w:p>
    <w:p>
      <w:pPr>
        <w:spacing w:after="0" w:line="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increase in U.S. dollar reported expenses is due primarily to increased salaries and incentive-based compensation. On a constant currency basis, expenses increased by 6.5%. Selling, general and administrative expenses as a percent of revenue were 16.3% in 2004, compared to 17.5% in 2003.</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2003 versus 2002</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from services for 2003 totaled $4.325 billion, an increase of 6.6% from 2002. This was the result of an increase in hours worked of 4.3% and an increase in average hourly bill rates of 1.9%. Revenue from services increased in each of the Company’s three business segments: U.S. Commercial Staffing, PTSA and International. During 2003, the U.S. dollar declined in comparison to many foreign currencies, including the euro and British pound. As a result, Kelly’s U.S. dollar translated revenue from services was higher than would have otherwise been reported. On a constant currency basis, 2003 revenue from services increased 3.3% as compared with 2002. The table below summarizes the impact of foreign exchange adjustments on revenue from services for 2003:</w:t>
      </w:r>
    </w:p>
    <w:p>
      <w:pPr>
        <w:sectPr>
          <w:pgSz w:w="11900" w:h="16838" w:orient="portrait"/>
          <w:cols w:equalWidth="0" w:num="1">
            <w:col w:w="11400"/>
          </w:cols>
          <w:pgMar w:left="240" w:top="280"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Revenue from Services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5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63"/>
        </w:trPr>
        <w:tc>
          <w:tcPr>
            <w:tcW w:w="5420" w:type="dxa"/>
            <w:vAlign w:val="bottom"/>
          </w:tcPr>
          <w:p>
            <w:pPr>
              <w:spacing w:after="0"/>
              <w:rPr>
                <w:sz w:val="22"/>
                <w:szCs w:val="22"/>
                <w:color w:val="auto"/>
              </w:rPr>
            </w:pPr>
          </w:p>
        </w:tc>
        <w:tc>
          <w:tcPr>
            <w:tcW w:w="25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1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r>
      <w:tr>
        <w:trPr>
          <w:trHeight w:val="95"/>
        </w:trPr>
        <w:tc>
          <w:tcPr>
            <w:tcW w:w="5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50"/>
        </w:trPr>
        <w:tc>
          <w:tcPr>
            <w:tcW w:w="54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 of dollars)</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 Commercial Staffing</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$2,104.6</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1.3%</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PTSA</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895.0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870.4</w:t>
            </w:r>
          </w:p>
        </w:tc>
        <w:tc>
          <w:tcPr>
            <w:tcW w:w="46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w w:val="79"/>
              </w:rPr>
              <w:t>2.8</w:t>
            </w: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 Constant Currency</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7.7</w:t>
            </w:r>
          </w:p>
        </w:tc>
        <w:tc>
          <w:tcPr>
            <w:tcW w:w="160" w:type="dxa"/>
            <w:vAlign w:val="bottom"/>
            <w:shd w:val="clear" w:color="auto" w:fill="CCEEFF"/>
          </w:tcPr>
          <w:p>
            <w:pPr>
              <w:spacing w:after="0"/>
              <w:rPr>
                <w:sz w:val="18"/>
                <w:szCs w:val="18"/>
                <w:color w:val="auto"/>
              </w:rPr>
            </w:pPr>
          </w:p>
        </w:tc>
      </w:tr>
      <w:tr>
        <w:trPr>
          <w:trHeight w:val="108"/>
        </w:trPr>
        <w:tc>
          <w:tcPr>
            <w:tcW w:w="54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from Services - Constant Currency</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4,056.9</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3.3</w:t>
            </w:r>
          </w:p>
        </w:tc>
        <w:tc>
          <w:tcPr>
            <w:tcW w:w="160" w:type="dxa"/>
            <w:vAlign w:val="bottom"/>
            <w:shd w:val="clear" w:color="auto" w:fill="CCEEFF"/>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Foreign Currency Impact</w:t>
            </w: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133.8</w:t>
            </w:r>
          </w:p>
        </w:tc>
        <w:tc>
          <w:tcPr>
            <w:tcW w:w="460" w:type="dxa"/>
            <w:vAlign w:val="bottom"/>
          </w:tcPr>
          <w:p>
            <w:pPr>
              <w:spacing w:after="0"/>
              <w:rPr>
                <w:sz w:val="19"/>
                <w:szCs w:val="19"/>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5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 from Services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$4,056.9</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7"/>
              </w:rPr>
              <w:t>6.6%</w:t>
            </w:r>
          </w:p>
        </w:tc>
      </w:tr>
      <w:tr>
        <w:trPr>
          <w:trHeight w:val="132"/>
        </w:trPr>
        <w:tc>
          <w:tcPr>
            <w:tcW w:w="54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39878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Gross profit of $696.6 million was 0.6% higher than 2002. Gross profit as a percentage of revenues was 16.1% in 2003, which decreased 1.0 percentage point compared to the 17.1% rate recorded in 2002. This reflected decreases in the gross profit rates of all three business segments. The decrease in the gross profit rate was primarily due to higher workers’ compensation costs and, to the extent not recovered through pricing actions, higher payroll taxes. During 2003, primarily as a result of higher than expected medical inflation rates, the Company revised its estimate of the cost of outstanding workers’ compensation claims and, accordingly, recorded additional expense of $11.7 million.</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Selling, general and administrative expenses of $688.2 million were 3.9% higher than 2002. Selling, general and administrative expenses expressed as a percentage of revenues were 15.9% in 2003, a 0.4 percentage point decrease compared to the 16.3% rate in 2002. As measured on a constant currency basis, selling, general and administrative expenses increased 0.1% compared to 2002. Higher marketing expenses and costs associated with the implementation of Kelly StaffNet, the Company’s new branch automation system, have been offset by lower incentive-based compensation and retirement program costs. In addition, 2002 expenses included additional costs related to the Company’s information technology programs and a loss related to the Company’s equity investment in itiliti, an internet-based vendor management software provider.</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interest expense for 2003 was $77 thousand, compared to net interest income of $362 thousand in 2002. The change is primarily attributable to lower cash balances and lower interest rates earned on the cash balances.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Earnings before taxes were $8.3 million, a decrease of 72.8% from 2002. Earnings before taxes averaged 0.2% of revenues in 2003 and 0.8% of revenues in 2002. The effective income tax rate for 2003 was 41.1%, a small increase from 2002’s rate of 39.6%. The net increase is attributable to valuation allowances established for certain international tax loss carryforwards, partially offset by the favorable settlement of prior years’ tax audits.</w:t>
      </w:r>
    </w:p>
    <w:p>
      <w:pPr>
        <w:spacing w:after="0" w:line="9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Net earnings were $4.9 million, or a 73.5% decrease compared to 2002. Diluted earnings per share were $0.14, a decrease of 72.5% as compared to diluted earnings per share of $0.51 in 2002.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Commercial Staffing</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from services in the U.S. Commercial Staffing segment totaled $2.132 billion in 2003, a 1.3% increase compared to the $2.105 billion reported for the same period in 2002. This reflected a 0.5% increase in hours worked and a 0.8% increase in average hourly bill rates. Year-over-year revenue comparisons were: up 4.9% in the first quarter, down 0.7% in the second quarter, down 2.6% in the third quarter and up 4.0% in the fourth quarter. Year-over-year revenue growth strengthened month by month over the course of the fourth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U.S. Commercial Staffing revenue from services represented 49% of total Company revenue from services for 2003 and 52% for 2002.</w:t>
      </w:r>
    </w:p>
    <w:p>
      <w:pPr>
        <w:spacing w:after="0" w:line="15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U.S. Commercial Staffing earnings from operations totaled $93.2 million for 2003 compared to earnings of $118.6 million in 2002, a decrease of 21.4%. The decrease in earnings from operations was primarily attributable to a 1.4 percentage point decrease in the gross profit rate partially offset by the 1.3% increase in revenue. The decrease in the gross profit rate was primarily the result of higher workers’ compensation costs. As noted above, the Company revised its estimate of the cost of outstanding workers compensation claims and, accordingly, recorded additional expense in 2003. Of the total $11.7 million additional workers’ compensation expense, $9.7 million was charged to U.S. Commercial Staffing. Higher state unemployment taxes, to the extent not recovered through pricing actions and, to a lesser extent, shifts in customer and service line mix to lower gross profit business also reduced the segment gross profit rate.</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Many of the Company’s large corporate and national account customers have negotiated high volume global service agreements, which tend to result in lower gross profit rates than those earned with the Company’s small and medium size customers. The Company’s strategy is focused on serving and growing these large corporate national accounts. As customer mix shifts to large corporate and national accounts, the Company’s average gross margins tend to decrease.</w:t>
      </w:r>
    </w:p>
    <w:p>
      <w:pPr>
        <w:spacing w:after="0" w:line="9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has also experienced a shift in its mix of business from the office/clerical to light industrial service lines. Because light industrial business typically generates lower gross profit rates than office/clerical staffing, this mix shift has also tended to reduce the Company’s average gross profit rates.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increased by 0.7% as compared to 2002 and, as a percentage of revenues, were 10.1% for both 2003 and 2002. The increase in selling, general and administrative expenses was due primarily to the impact of the Company’s ongoing deployment of new front office systems in part offset by lower field bonus costs and decreases in the cost of retirement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Technical and Staffing Alternatives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Revenue from services in the PTSA segment for 2003 totaled $895.0 million, an increase of 2.8% compared to the $870.4 million reported in 2002. This reflected a 2.2% increase in average hourly bill rates, partially offset by a 1.6% decrease in hours worked in the professional and technical businesses. Revenues in the staffing alternatives businesses, which include staff leasing, management services, HRfirst and vendor management services, increased by 9.8% compared to 2002. PTSA revenues from services represented 21% of total Company revenues in both 2003 and 2002.</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Results varied among the 14 business units that comprise PTSA. During 2003, Kelly Financial Resources, Kelly Law Registry, Kelly HRfirst, Kelly Management Services and Kelly Vendor Management all exhibited double digit sales growth as compared to 2002. Kelly Healthcare, Kelly Staff Leasing, Kelly Information Technology Resources and Kelly Automotive Services Group also maintained positive revenue growth. However, three large PTSA units, Kelly Scientific Resources, Kelly Home Care and Kelly Engineering Resources, experienced revenue declines during 2003 as compared to 2002. These decreases, however, were consistent with industry trends in their staffing sectors.</w:t>
      </w:r>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PTSA earnings from operations for 2003 totaled $52.8 million and increased 4.1% from the same period in 2002. This was the result of the 2.8% increase in revenue from services partially offset by a 0.2 percentage point decrease in the gross profit rate and a 0.7% increase in expenses. The decrease in the gross profit rate was primarily the result of higher workers’ compensation costs. PTSA was also impacted by higher workers’ compensation expense, primarily due to Kelly Staff Leasing. PTSA’s share of the total $11.7 million additional charge for workers’ compensation was $2.0 million. Selling, general and administrative expenses as a percent of revenues were 12.2% for 2003 and 12.5% for 2002.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7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Translated U.S. dollar revenue from services in the International segment for 2003 totaled $1.299 billion, a 20.0% increase compared to the $1.082 billion reported for 2002. This resulted from an increase in hours worked of 12.3% and a 7.2% increase in the translated U.S. dollar average hourly bill rates. International revenue from services represented 30% of total Company revenues in 2003 and 27% in 2002.</w:t>
      </w:r>
    </w:p>
    <w:p>
      <w:pPr>
        <w:spacing w:after="0" w:line="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a constant currency basis, revenue from services increased 7.7% and average hourly bill rates decreased 3.9%. The year-over-year decrease in average hourly bill rates, on a constant currency basis, is due primarily to a shift in mix of hours worked to countries such as Mexico, Russia and Malaysia, which typically have lower average bill rates.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strong improvements realized in revenue were caused by both a general economic recovery in most countries, and Kelly’s particular focus on sales growth.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sales growth was positive in all regions: the Americas, UK/Ireland, continental Europe and Asia-Pacific.</w:t>
      </w:r>
    </w:p>
    <w:p>
      <w:pPr>
        <w:spacing w:after="0" w:line="15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During the fourth quarter, consistent with the third quarter, revenue grew by 11% in the Americas as compared with 2002. However, unlike the third quarter where growth was primarily fueled by Mexico, the fourth quarter saw stronger revenue growth in Canada and Puerto Rico as well.</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U.K./Ireland operations, sales accelerated significantly during the second half of the year and revenues for the fourth quarter increased 30% year over year. The increase in revenue was primarily due to new staffing accounts added throughout the year. In addition, our fee-based recruiting businesses showed encouraging signs of improvement during the fourth quarter with year-over-year growth of 20%.</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also saw encouraging year-over-year revenue growth in continental Europe during the second half of the year. Revenue in continental Europe turned positive in the third quarter and increased nearly 10% in the fourth quarter. The majority of the countries in which we operate, such as Spain, Russia, Norway, Luxembourg and Holland, experienced solid revenue increases, while Germany continued to post revenue declines. Although our temporary staffing business is recovering in continental Europe, our fee-based income continues to lag, as our recruiting business has been hit the hardest in this region.</w:t>
      </w:r>
    </w:p>
    <w:p>
      <w:pPr>
        <w:spacing w:after="0" w:line="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Asia-Pacific growth was generated by our operations in Australia, New Zealand, Singapore, and Malaysia. After experiencing strong revenue growth in the third quarter, revenue grew by 21% year over year in the fourth quarter.</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International reported a loss of $787 thousand for 2003, compared to earnings of $5.1 million for 2002. The 20.0% increase in revenue from services was more than offset by a 1.2 percentage point decrease in the gross profit rate and a 15.7% increase in expenses, as measured in U.S. dollars. International results continued to improve as the year progressed. The segment recorded a loss of $3.1 million in the first quarter, a loss of $1.0 million in the second quarter, income of $1.7 million in the third quarter and income of $1.6 million in the fourth quarter.</w:t>
      </w:r>
    </w:p>
    <w:p>
      <w:pPr>
        <w:spacing w:after="0" w:line="13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decrease in the International gross profit rate was due to rate decreases in the United Kingdom and France, as well as the effect of lower fee-based income on a constant currency basis. The increase in U.S. dollar reported expenses was due primarily to the effect of currency rates. On a constant currency basis, expenses increased by 3.0%.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Historically, Kelly has financed its operations through cash generated by operating activities and available from revolving credit facilities. As highlighted in the Statements of Cash Flows, the Company’s liquidity and available capital resources are impacted by four key components: cash and equivalents, operating activities, investing activities and financing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and equivalents totaled $83 million at the end of 2004, an increase of $7 million from the $76 million at year-end 2003. As further described below, during 2004, the Company generated $56 million of cash from operating activities and used $37 million of cash in investing activities and $14 million in financing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2004, the Company generated $56 million in cash from its operating activities, as compared to $32 million in 2003 and $101 million in 2002. The most significant reason for the change in cash generated from operations, in addition to the increase in net earnings, was that trade accounts receivable grew at a slower rate in 2004 versus 2003, but at a faster rate in comparison to 2002. Additionally, accrued payroll and related taxes grew at a higher rate than 2003 or 2002.</w:t>
      </w:r>
    </w:p>
    <w:p>
      <w:pPr>
        <w:spacing w:after="0" w:line="7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Trade accounts receivable totaled $727 million at the end of 2004. Global days sales outstanding, calculated on an annual basis, were 54 days for 2004, which is an improvement of one day as compared with the prior year.</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working capital position was $405 million at the end of 2004, an increase of $32 million from year-end 2003. The current ratio was 1.8 at the end of 2004, as compared with 1.9 at year-end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2004, the Company used $37 million for investing activities, compared to $33 million in 2003 and $37 million in 2002. Capital expenditures for 2004 totaled $37 million, up 20% from the $31 million spent in 2003 and up 10% from the $34 million spent in 2002. Included in the total for 2004 is $7.4 million for software licenses related to the multi-year implementation of Peoplesoft payroll, billing and financial systems. Capital spending in 2005 is expected to total between $32 and $36 million.</w:t>
      </w:r>
    </w:p>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2004, the Company used $14 million in financing activities, as compared to $22 million in 2003 and $39 million in 2002. In 2004, the Company repurchased an insignificant amount of stock, compared to $26 million in 2003 and $13 million in 2002.</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September 2003, the Company repurchased 1,000,000 shares of Class A common stock in a negotiated transaction from the William R. Kelly Trust. The total value of the share repurchase was $26 million or $26.04 per share, representing a 2.7% discount to the closing market price of Kelly Class A common stock on the business day prior to the purchase. In July 2002, the Company repurchased 500,000 shares of Class A common stock from the William R. Kelly Trust. The total value of the share repurchase was $13 million or $26.28 per share, representing a 2.7% discount to the closing market price of Kelly Class A common stock on the business day prior to the purchase.</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Short-term debt totaled $34 million at year-end 2004, compared to $39 million at year-end 2003. At the end of 2004, debt represented approximately 5% of total capital.</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year-end 2004, the Company had $92 million of committed unused credit facilities. In June 2003, the Company entered into a $125 million three-year, unsecured multi-currency revolving credit facility which may be used to fund working capital, acquisitions and for general corporate purposes. The interest rate applicable to borrowings under this facility is 60 basis points over local LIBOR. At year-end 2004, the Company had additional uncommitted one-year credit facilities totaling $29 million, under which the Company had borrowed $1 million.</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February 2005, the Company borrowed $18 million under a new yen-denominated, short-term loan agreement. The proceeds from this loan were used to purchase a less-than-five-percent interest in TempStaff, a private Japanese staffing company.</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Company intends to continue its expansion program, adding one or two new countries or service lines each year by organic growth and small strategic acquisitions. Targeted countries/areas include, Japan, Eastern Europe and South America.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per common share were $.40 in 2004, 2003 and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the Company’s obligations and commitments to make future payments as of year-end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More than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1 year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1-3 Years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3-5 Years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$164,700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$ 34,000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Short-term borrowings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17,400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$373,600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144,500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112,900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$ 63,800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262826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28265" cy="29845"/>
                    </a:xfrm>
                    <a:prstGeom prst="rect">
                      <a:avLst/>
                    </a:prstGeom>
                    <a:noFill/>
                  </pic:spPr>
                </pic:pic>
              </a:graphicData>
            </a:graphic>
          </wp:anchor>
        </w:drawing>
      </w:r>
    </w:p>
    <w:p>
      <w:pPr>
        <w:spacing w:after="0" w:line="225" w:lineRule="exact"/>
        <w:rPr>
          <w:sz w:val="20"/>
          <w:szCs w:val="20"/>
          <w:color w:val="auto"/>
        </w:rPr>
      </w:pPr>
    </w:p>
    <w:p>
      <w:pPr>
        <w:ind w:right="520"/>
        <w:spacing w:after="0" w:line="375" w:lineRule="auto"/>
        <w:rPr>
          <w:sz w:val="20"/>
          <w:szCs w:val="20"/>
          <w:color w:val="auto"/>
        </w:rPr>
      </w:pPr>
      <w:r>
        <w:rPr>
          <w:rFonts w:ascii="Arial" w:cs="Arial" w:eastAsia="Arial" w:hAnsi="Arial"/>
          <w:sz w:val="18"/>
          <w:szCs w:val="18"/>
          <w:color w:val="auto"/>
        </w:rPr>
        <w:t xml:space="preserve">The Company has no material, unrecorded commitments, losses, contingencies or guarantees associated with any related parties or unconsolidated entities. </w:t>
      </w:r>
      <w:r>
        <w:rPr>
          <w:rFonts w:ascii="Arial" w:cs="Arial" w:eastAsia="Arial" w:hAnsi="Arial"/>
          <w:sz w:val="18"/>
          <w:szCs w:val="18"/>
          <w:b w:val="1"/>
          <w:bCs w:val="1"/>
          <w:i w:val="1"/>
          <w:iCs w:val="1"/>
          <w:color w:val="auto"/>
        </w:rPr>
        <w:t>Summary</w:t>
      </w:r>
    </w:p>
    <w:p>
      <w:pPr>
        <w:spacing w:after="0" w:line="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Company’s financial position remains strong. The Company continues to carry no long-term debt and expects to meet its cash requirements principally through cash generated from operations, available cash and equivalents and committed unused credit facilities.</w:t>
      </w:r>
    </w:p>
    <w:p>
      <w:pPr>
        <w:sectPr>
          <w:pgSz w:w="11900" w:h="16838" w:orient="portrait"/>
          <w:cols w:equalWidth="0" w:num="1">
            <w:col w:w="11420"/>
          </w:cols>
          <w:pgMar w:left="240" w:top="28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prepares its financial statements in conformity with accounting principles generally accepted in the United States of America. In this process, it is necessary for management to make certain assumptions and related estimates affecting the amounts reported in the consolidated financial statements and the attached notes. Actual results can differ from assumed and estimated amounts.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Critical accounting estimates are those that management believes require the most difficult, subjective or complex judgments, often as a result of the need to make estimates about the effect of matters that are inherently uncertain. The Company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The Company considers the following estimates to be most critical in understanding the judgments involved in preparing its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Accounts Receivable</w:t>
      </w:r>
    </w:p>
    <w:p>
      <w:pPr>
        <w:spacing w:after="0" w:line="7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make ongoing estimates relating to the collectibility of our accounts receivable and maintain an allowance for estimated losses resulting from the inability of our customers to make required payments. In determining the amount of the allowance, we consider our historical level of credit losses and apply percentages to certain aged receivable categories. We also make judgments about the creditworthiness of significant customers based on ongoing credit evaluations, and we monitor current economic trends that might impact the level of credit losses in the future. Historically, losses from uncollectible accounts have not exceeded our allowance. Since we cannot predict with certainty future changes in the financial stability of our customers, actual future losses from uncollectible accounts may differ from our estimates. If the financial condition of our customers were to deteriorate, resulting in their inability to make payments, a larger allowance may be required. In the event we determined that a smaller or larger allowance was appropriate, we would record a credit or a charge to selling, general and administrative expense in the period in which we made such a determination. As of year-end 2004 and 2003, the allowance for uncollectible accounts receivable was $16.2 million and $15.0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a combination of insurance and self-insurance contracts under which the Company effectively bears the first $500,000 of risk per single accident. The Company establishes accruals for workers’ compensation utilizing actuarial methods to estimate the undiscounted future cash payments that will be made to satisfy the claims, including an allowance for incurred-but-not-reported claims. This process includes establishing loss development factors, based on the historical claims experience of the Company and the industry, and applying those factors to current claims information to derive an estimate of the Company’s ultimate claims liability. In preparing the estimates, we also consider the nature and severity of the claims, analyses provided by third party claims administrators, as well as current legal, economic and regulatory factors.</w:t>
      </w:r>
    </w:p>
    <w:p>
      <w:pPr>
        <w:spacing w:after="0" w:line="10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Management evaluates the accrual, and the underlying assumptions, regularly throughout the year and makes adjustments as needed. The ultimate cost of these claims may be greater than or less than the established accrual. While management believes that the recorded amounts are adequate, there can be no assurances that changes to management’s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was $91.7 million and $94.8 million at year-end 2004 and 2003,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Goodwill is tested for impairment annually or if an event occurs or circumstances change that may reduce the fair value of the reporting unit below its book value. Should circumstances change or events occur to indicate that the fair market value of the reporting unit has fallen below its book value, management must then compare the estimated fair value of goodwill to book value. If the book value exceeds the estimated fair value, an impairment loss would be recognized in an amount equal to that excess. Such an impairment loss would be recognized as a non-cash charge to operating income.</w:t>
      </w:r>
    </w:p>
    <w:p>
      <w:pPr>
        <w:sectPr>
          <w:pgSz w:w="11900" w:h="16838" w:orient="portrait"/>
          <w:cols w:equalWidth="0" w:num="1">
            <w:col w:w="11420"/>
          </w:cols>
          <w:pgMar w:left="240" w:top="28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completed our impairment tests during the fourth quarter of the 2004 and 2003 fiscal years and determined that goodwill is not impaired. This test required comparison of our estimated fair value to our book value of goodwill. The estimated fair value was based on a discounted cash flows analysis.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Although we believe the assumptions and estimates we have made are reasonable and appropriate, different assumptions and estimates could materially impact our reported financial results. Different assumptions of the anticipated future benefits from these businesses could result in an impairment charge, which would decrease operating income and result in lower asset values on our balance sheet. At year-end 2004 and 2003, total goodwill amounted to $94.7 million and $85.8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Income tax expense is based on expected income and statutory tax rates in the various jurisdictions in which we operate. Judgment is required in determining our income tax expense. We establish accruals when, despite our belief that reported taxable income is fully supportable, we believe that challenges are probable and that we may not succeed. We adjust these accruals in light of changing facts and circumstances, such as the progress of a tax audit. Our effective tax rate includes the impact of accrual provisions and changes to accruals that we consider appropriate, as well as related interest. In the event that there is a significant unusual or one-time item recognized in our operating results, the tax attributable to that item would be separately calculated and recorded at the same time as the unusual or one-time item.</w:t>
      </w:r>
    </w:p>
    <w:p>
      <w:pPr>
        <w:spacing w:after="0" w:line="107"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Tax laws require items to be included in the tax return at different times than the items are reflected in the financial statements. As a result, the income tax expense reflected in our financial statements is different than the liability reported in our tax return. Some of these differences are permanent, such as expenses which are not deductible on our tax return, and some are temporary differences, such as depreciation expense. Temporary differences create deferred tax assets and liabilities. Deferred tax assets generally represent items that can be used as a tax deduction or credit in our tax return in future years for which we have already recorded the tax benefit in our income statement. We establish valuation allowances for our deferred tax assets when the amount of expected future taxable income is not likely to support the use of the deduction or credit. Deferred tax liabilities generally represent items for which we have already taken a deduction on our tax return, but have not yet recognized as expense in our financial statements.</w:t>
      </w:r>
    </w:p>
    <w:p>
      <w:pPr>
        <w:spacing w:after="0" w:line="105"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A number of years may elapse before a particular matter, for which we have established an accrual, is audited and finally resolved. While it is often difficult to predict the final outcome or the timing of resolution of any particular tax matter, we believe that our accruals reflect the probable outcome of tax contingencies. Favorable or unfavorable settlement of any particular issue would be recognized as an increase or decrease to our income tax expense in the year of resolution. Our tax accruals are presented in the balance sheet within income and other taxes.</w:t>
      </w:r>
    </w:p>
    <w:p>
      <w:pPr>
        <w:spacing w:after="0" w:line="9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New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the Financial Statements in Part II, Item 8 for a description of new accounting pronouncements.</w:t>
      </w:r>
    </w:p>
    <w:p>
      <w:pPr>
        <w:spacing w:after="0" w:line="15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Certain statements contained in this document are “forward-looking” statements within the meaning of the Private Securities Litigation Reform Act of 1995 (the “Act”).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Company actions that may be provided by management are also forward-looking statements as defined by the Act. Forward-looking statements are based on current expectations and projections about future events and are subject to risks, uncertainties, and assumptions about the Company; and economic and market factors in the countries in which the Company does business, among other things. These statements are not guarantees of future performance, and the Company has no specific intention to update these statements.</w:t>
      </w:r>
    </w:p>
    <w:p>
      <w:pPr>
        <w:sectPr>
          <w:pgSz w:w="11900" w:h="16838" w:orient="portrait"/>
          <w:cols w:equalWidth="0" w:num="1">
            <w:col w:w="11400"/>
          </w:cols>
          <w:pgMar w:left="240" w:top="280"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Actual events and results may differ materially from those expressed or forecasted in forward-looking statements due to a number of factors. The principal important risk factors that could cause the Company’s actual performance and future events and actions to differ materially from such forward-looking statements include, but are not limited to, competitive market pressures including pricing, changing market and economic conditions, material changes in demand from large corporate customers, availability of temporary workers with appropriate skills required by customers, increases in wages paid to temporary workers, liabilities for client and employee actions, foreign currency fluctuations, changes in laws and regulations (including federal, state and international tax laws), the Company’s ability to effectively implement and manage its information technology programs, and the ability of the Company to successfully expand into new markets and service lines. Certain risk factors are discussed more fully under “Risk Factors” in Part I, Item 1 of this filing.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8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Kelly does not hold or invest in derivative contracts. The Company is exposed to foreign currency risk primarily due to its net investment in foreign subsidiaries, which conduct business in their local currencies. These risks are mitigated by the use of the Company’s multi-currency line of credit. This credit facility is used to borrow in local currencies, which mitigates the exchange rate risk resulting from foreign currency-denominated net investments fluctuating in relation to the U.S. dollar.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is exposed to interest rate risks through its use of the multi-currency line of credit.</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exposed to market risk as a result of its obligation to pay benefits under its nonqualified deferred compensation plan and its related investments in company-owned variable universal life insurance policies. The obligation to employees increases and decreases based on movements in the equity and debt markets. The investments in publicly traded mutual funds, as part of the company-owned variable universal life insurance policies, are designed to mitigate this risk with offsetting gains and losses.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Company’s holdings and positions in market risk-sensitive instruments do not subject the Company to material risk.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financial statements and supplementary data required by this Item are set forth in the accompanying index on page 27 of this filing and are presented in pages 28-55.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the accompanying consolidated financial statements have been restated.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8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Based on their evaluation as of the end of the period covered by this Form 10-K/A, the Company’s Chief Executive Officer and Chief Financial Officer have concluded that the Company’s disclosure controls and procedures (as defined in Rules 13a-15(e) and 15d-15(e) under the Securities Exchange Act of 1934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 is presented preceding the financial statements on page 28 of this filing.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Consideration of the Restatement</w:t>
      </w:r>
    </w:p>
    <w:p>
      <w:pPr>
        <w:spacing w:after="0" w:line="83" w:lineRule="exact"/>
        <w:rPr>
          <w:sz w:val="20"/>
          <w:szCs w:val="20"/>
          <w:color w:val="auto"/>
        </w:rPr>
      </w:pPr>
    </w:p>
    <w:p>
      <w:pPr>
        <w:ind w:right="220"/>
        <w:spacing w:after="0" w:line="302" w:lineRule="auto"/>
        <w:rPr>
          <w:sz w:val="20"/>
          <w:szCs w:val="20"/>
          <w:color w:val="auto"/>
        </w:rPr>
      </w:pPr>
      <w:r>
        <w:rPr>
          <w:rFonts w:ascii="Arial" w:cs="Arial" w:eastAsia="Arial" w:hAnsi="Arial"/>
          <w:sz w:val="15"/>
          <w:szCs w:val="15"/>
          <w:color w:val="auto"/>
        </w:rPr>
        <w:t>In coming to the conclusion that our disclosure controls and procedures and our internal control over financial reporting were effective as of January 2, 2005, management considered, among other things, the control deficiency related to the accounting for leases, which resulted in the restatement of previously issued financial statements as disclosed in Note 2 of the Notes to Financial Statements included in Item 8 of this Annual Report on Form 10-K/A. After reviewing and analyzing the Securities and Exchange Commission’s Staff Accounting Bulletin (“SAB”) No. 99, “Materiality,” Accounting Principles Board Opinion No. 28, “Interim Financial Reporting” paragraph 29 and SAB Topic 5-F, “Accounting Changes Not Retroactively Applied Due to Immateriality,” and taking into consideration (i) that the restatement adjustments did not have a material impact on the financial statements of prior interim or annual periods taken as a whole;</w:t>
      </w:r>
    </w:p>
    <w:p>
      <w:pPr>
        <w:spacing w:after="0" w:line="1" w:lineRule="exact"/>
        <w:rPr>
          <w:sz w:val="20"/>
          <w:szCs w:val="20"/>
          <w:color w:val="auto"/>
        </w:rPr>
      </w:pPr>
    </w:p>
    <w:p>
      <w:pPr>
        <w:jc w:val="both"/>
        <w:ind w:right="300" w:firstLine="8"/>
        <w:spacing w:after="0" w:line="295"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the cumulative impact of the restatement adjustments on stockholders’ equity was not material to the financial statements of prior interim or annual periods; and (iii) that we decided to restate our previously issued financial statements, management concluded that the control deficiency that resulted in the restatement of the prior period financial statements was not in itself a material weakness. Furthermore, management concluded that the control deficiency that resulted in the restatement when aggregated with other deficiencies did not constitute a material weakness.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PricewaterhouseCoopers LLP, independent registered public accounting firm has audited management’s assessment of the effectiveness of the Company’s internal control over financial reporting as of January 2, 2005 as stated in their report which appears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Company’s fourth fiscal quarter that have materially affected, or are reasonably likely to materially affect,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80"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III</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Information required by Part III with respect to Directors and Executive Officers of the registrant (Item 10), Executive Compensation (Item 11), Security Ownership of Certain Beneficial Owners and Management (Item 12), Certain Relationships and Related Transactions (Item 13) and Principal Accounting Fees and Services (Item 14), except as set forth under the titles “Executive Officers of the Registrant” and “Code of Business Conduct and Ethics,” which are included on page 23, (Item 10), and except as set forth under the title “Equity Compensation Plan Information,” which is included on page 24, (Item 12), is to be included in a definitive proxy statement filed by the Company not later than 120 days after the close of its fiscal year and such proxy statement, when filed,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EXECUTIVE OFFICERS OF THE REGISTRANT.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3"/>
              </w:rPr>
              <w:t>Served as an</w:t>
            </w:r>
          </w:p>
        </w:tc>
        <w:tc>
          <w:tcPr>
            <w:tcW w:w="1580" w:type="dxa"/>
            <w:vAlign w:val="bottom"/>
          </w:tcPr>
          <w:p>
            <w:pPr>
              <w:spacing w:after="0"/>
              <w:rPr>
                <w:sz w:val="14"/>
                <w:szCs w:val="14"/>
                <w:color w:val="auto"/>
              </w:rPr>
            </w:pPr>
          </w:p>
        </w:tc>
        <w:tc>
          <w:tcPr>
            <w:tcW w:w="2680" w:type="dxa"/>
            <w:vAlign w:val="bottom"/>
            <w:gridSpan w:val="2"/>
          </w:tcPr>
          <w:p>
            <w:pPr>
              <w:ind w:left="160"/>
              <w:spacing w:after="0"/>
              <w:rPr>
                <w:sz w:val="20"/>
                <w:szCs w:val="20"/>
                <w:color w:val="auto"/>
              </w:rPr>
            </w:pPr>
            <w:r>
              <w:rPr>
                <w:rFonts w:ascii="Arial" w:cs="Arial" w:eastAsia="Arial" w:hAnsi="Arial"/>
                <w:sz w:val="14"/>
                <w:szCs w:val="14"/>
                <w:b w:val="1"/>
                <w:bCs w:val="1"/>
                <w:color w:val="auto"/>
              </w:rPr>
              <w:t>Business Experience</w:t>
            </w:r>
          </w:p>
        </w:tc>
      </w:t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Name/Office</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Officer Since (1)</w:t>
            </w:r>
          </w:p>
        </w:tc>
        <w:tc>
          <w:tcPr>
            <w:tcW w:w="1580" w:type="dxa"/>
            <w:vAlign w:val="bottom"/>
          </w:tcPr>
          <w:p>
            <w:pPr>
              <w:spacing w:after="0"/>
              <w:rPr>
                <w:sz w:val="15"/>
                <w:szCs w:val="15"/>
                <w:color w:val="auto"/>
              </w:rPr>
            </w:pPr>
          </w:p>
        </w:tc>
        <w:tc>
          <w:tcPr>
            <w:tcW w:w="2680" w:type="dxa"/>
            <w:vAlign w:val="bottom"/>
            <w:gridSpan w:val="2"/>
          </w:tcPr>
          <w:p>
            <w:pPr>
              <w:ind w:left="180"/>
              <w:spacing w:after="0"/>
              <w:rPr>
                <w:sz w:val="20"/>
                <w:szCs w:val="20"/>
                <w:color w:val="auto"/>
              </w:rPr>
            </w:pPr>
            <w:r>
              <w:rPr>
                <w:rFonts w:ascii="Arial" w:cs="Arial" w:eastAsia="Arial" w:hAnsi="Arial"/>
                <w:sz w:val="14"/>
                <w:szCs w:val="14"/>
                <w:b w:val="1"/>
                <w:bCs w:val="1"/>
                <w:color w:val="auto"/>
              </w:rPr>
              <w:t>During Last 5 Years</w:t>
            </w:r>
          </w:p>
        </w:tc>
      </w:tr>
      <w:tr>
        <w:trPr>
          <w:trHeight w:val="95"/>
        </w:trPr>
        <w:tc>
          <w:tcPr>
            <w:tcW w:w="88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r>
      <w:tr>
        <w:trPr>
          <w:trHeight w:val="309"/>
        </w:trPr>
        <w:tc>
          <w:tcPr>
            <w:tcW w:w="5280" w:type="dxa"/>
            <w:vAlign w:val="bottom"/>
            <w:gridSpan w:val="2"/>
          </w:tcPr>
          <w:p>
            <w:pPr>
              <w:spacing w:after="0"/>
              <w:rPr>
                <w:sz w:val="20"/>
                <w:szCs w:val="20"/>
                <w:color w:val="auto"/>
              </w:rPr>
            </w:pPr>
            <w:r>
              <w:rPr>
                <w:rFonts w:ascii="Arial" w:cs="Arial" w:eastAsia="Arial" w:hAnsi="Arial"/>
                <w:sz w:val="18"/>
                <w:szCs w:val="18"/>
                <w:color w:val="auto"/>
              </w:rPr>
              <w:t>Terence E. Adderley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1961</w:t>
            </w: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Carl T. Camden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1995</w:t>
            </w: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President and Chief Operating Officer</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Michael L. Durik</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1999</w:t>
            </w: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Executive Vice President and Chief Administrative Officer</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William K. Gerber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1998</w:t>
            </w: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rPr>
              <w:t>Served as officer of the Company.</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Daniel T. Lis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54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2003</w:t>
            </w: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w w:val="87"/>
              </w:rPr>
              <w:t>Served as General Counsel of Bank One, Michigan and</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Corporate Secretary</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rPr>
              <w:t>predecessors from 1987-2000.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officer serves continuously until termination of employment or removal by the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adopted a Code of Business Conduct and Ethics that applies to the Company’s directors, officers and employees, including the Company’s principal executive officer, principal financial officer, principal accounting officer or controller or persons performing similar functions (collectively, the “Selected Officers”). The Code of Business Conduct and Ethics is included as Exhibit 14 in the Index to Exhibits on page 56. The Company has posted the Code of Business Conduct and Ethics and intends to post any changes in or waivers from its code of ethics applicable to any Selected Officer on its website at www.kellyservices.com.</w:t>
      </w:r>
    </w:p>
    <w:p>
      <w:pPr>
        <w:sectPr>
          <w:pgSz w:w="11900" w:h="16838" w:orient="portrait"/>
          <w:cols w:equalWidth="0" w:num="1">
            <w:col w:w="11380"/>
          </w:cols>
          <w:pgMar w:left="240" w:top="280" w:right="27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p>
    <w:p>
      <w:pPr>
        <w:spacing w:after="0" w:line="300" w:lineRule="exact"/>
        <w:rPr>
          <w:sz w:val="20"/>
          <w:szCs w:val="20"/>
          <w:color w:val="auto"/>
        </w:rPr>
      </w:pPr>
    </w:p>
    <w:p>
      <w:pPr>
        <w:ind w:right="3420"/>
        <w:spacing w:after="0" w:line="332" w:lineRule="auto"/>
        <w:rPr>
          <w:sz w:val="20"/>
          <w:szCs w:val="20"/>
          <w:color w:val="auto"/>
        </w:rPr>
      </w:pPr>
      <w:r>
        <w:rPr>
          <w:rFonts w:ascii="Arial" w:cs="Arial" w:eastAsia="Arial" w:hAnsi="Arial"/>
          <w:sz w:val="18"/>
          <w:szCs w:val="18"/>
          <w:b w:val="1"/>
          <w:bCs w:val="1"/>
          <w:u w:val="single" w:color="auto"/>
          <w:color w:val="auto"/>
        </w:rPr>
        <w:t xml:space="preserve">ITEM 12. SECURITIES AUTHORIZED FOR ISSUANCE UNDER EQUITY COMPENSATION PLANS </w:t>
      </w:r>
      <w:r>
        <w:rPr>
          <w:rFonts w:ascii="Arial" w:cs="Arial" w:eastAsia="Arial" w:hAnsi="Arial"/>
          <w:sz w:val="18"/>
          <w:szCs w:val="18"/>
          <w:b w:val="1"/>
          <w:bCs w:val="1"/>
          <w:color w:val="auto"/>
        </w:rPr>
        <w:t>Equity Compensation Plan Information</w:t>
      </w:r>
    </w:p>
    <w:p>
      <w:pPr>
        <w:spacing w:after="0" w:line="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following table shows the number of securities of the Company that can be issued upon the exercise of outstanding options, warrants and rights, the weighted-average exercise price of outstanding options, warrants and rights, and the number of securities remaining available for future issuance under the Company’s equity compensation plans as of the fiscal year end for 2004.</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2"/>
          </w:tcPr>
          <w:p>
            <w:pPr>
              <w:jc w:val="center"/>
              <w:ind w:left="679"/>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7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80" w:type="dxa"/>
            <w:vAlign w:val="bottom"/>
            <w:gridSpan w:val="2"/>
          </w:tcPr>
          <w:p>
            <w:pPr>
              <w:jc w:val="center"/>
              <w:ind w:left="579"/>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940" w:type="dxa"/>
            <w:vAlign w:val="bottom"/>
            <w:gridSpan w:val="3"/>
          </w:tcPr>
          <w:p>
            <w:pPr>
              <w:ind w:left="7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7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the first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and rights.</w:t>
            </w:r>
          </w:p>
        </w:tc>
        <w:tc>
          <w:tcPr>
            <w:tcW w:w="7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9"/>
              </w:rPr>
              <w:t>warrants and rights</w:t>
            </w:r>
          </w:p>
        </w:tc>
        <w:tc>
          <w:tcPr>
            <w:tcW w:w="7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column)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w:t>
            </w:r>
          </w:p>
        </w:tc>
        <w:tc>
          <w:tcPr>
            <w:tcW w:w="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security holders (1)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2,574,000</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approved by security holders (3)</w:t>
            </w:r>
          </w:p>
        </w:tc>
        <w:tc>
          <w:tcPr>
            <w:tcW w:w="660" w:type="dxa"/>
            <w:vAlign w:val="bottom"/>
          </w:tcPr>
          <w:p>
            <w:pPr>
              <w:spacing w:after="0"/>
              <w:rPr>
                <w:sz w:val="19"/>
                <w:szCs w:val="19"/>
                <w:color w:val="auto"/>
              </w:rPr>
            </w:pPr>
          </w:p>
        </w:tc>
        <w:tc>
          <w:tcPr>
            <w:tcW w:w="132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2,574,000</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ind w:left="460" w:right="1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equity compensation plans of the Company approved by the Company’s security holders include the Company’s Performance Incentive Plan and the Company’s Non-Employee Director Stock Option Plan.</w:t>
      </w:r>
    </w:p>
    <w:p>
      <w:pPr>
        <w:spacing w:after="0" w:line="37" w:lineRule="exact"/>
        <w:rPr>
          <w:rFonts w:ascii="Arial" w:cs="Arial" w:eastAsia="Arial" w:hAnsi="Arial"/>
          <w:sz w:val="18"/>
          <w:szCs w:val="18"/>
          <w:color w:val="auto"/>
        </w:rPr>
      </w:pPr>
    </w:p>
    <w:p>
      <w:pPr>
        <w:ind w:left="460" w:right="3560"/>
        <w:spacing w:after="0" w:line="347" w:lineRule="auto"/>
        <w:rPr>
          <w:rFonts w:ascii="Arial" w:cs="Arial" w:eastAsia="Arial" w:hAnsi="Arial"/>
          <w:sz w:val="18"/>
          <w:szCs w:val="18"/>
          <w:color w:val="auto"/>
        </w:rPr>
      </w:pPr>
      <w:r>
        <w:rPr>
          <w:rFonts w:ascii="Arial" w:cs="Arial" w:eastAsia="Arial" w:hAnsi="Arial"/>
          <w:sz w:val="15"/>
          <w:szCs w:val="15"/>
          <w:color w:val="auto"/>
        </w:rPr>
        <w:t>The number of securities to be issued upon exercise of outstanding options, warrants and rights excludes 222,000 of restricted stock awards granted to employees and not yet vested at January 2, 2005.</w:t>
      </w:r>
    </w:p>
    <w:p>
      <w:pPr>
        <w:ind w:left="460" w:right="14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Performance Incentive Plan provides that the maximum number of shares available for grants, including stock options and restricted stock awards, is 10 percent of the outstanding Class A common stock, adjusted for plan activity over the preceding five years.</w:t>
      </w:r>
    </w:p>
    <w:p>
      <w:pPr>
        <w:spacing w:after="0" w:line="1" w:lineRule="exact"/>
        <w:rPr>
          <w:rFonts w:ascii="Arial" w:cs="Arial" w:eastAsia="Arial" w:hAnsi="Arial"/>
          <w:sz w:val="16"/>
          <w:szCs w:val="16"/>
          <w:color w:val="auto"/>
        </w:rPr>
      </w:pPr>
    </w:p>
    <w:p>
      <w:pPr>
        <w:ind w:left="460"/>
        <w:spacing w:after="0" w:line="268" w:lineRule="auto"/>
        <w:rPr>
          <w:rFonts w:ascii="Arial" w:cs="Arial" w:eastAsia="Arial" w:hAnsi="Arial"/>
          <w:sz w:val="16"/>
          <w:szCs w:val="16"/>
          <w:color w:val="auto"/>
        </w:rPr>
      </w:pPr>
      <w:r>
        <w:rPr>
          <w:rFonts w:ascii="Arial" w:cs="Arial" w:eastAsia="Arial" w:hAnsi="Arial"/>
          <w:sz w:val="18"/>
          <w:szCs w:val="18"/>
          <w:color w:val="auto"/>
        </w:rPr>
        <w:t>The Non-Employee Director Stock Option Plan provides that the maximum number of shares available for settlement of options is 100,000 shares of Class A common stock.</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 equity compensation plans that have not been approved by its security holders.</w:t>
      </w:r>
    </w:p>
    <w:p>
      <w:pPr>
        <w:sectPr>
          <w:pgSz w:w="11900" w:h="16838" w:orient="portrait"/>
          <w:cols w:equalWidth="0" w:num="1">
            <w:col w:w="11360"/>
          </w:cols>
          <w:pgMar w:left="240" w:top="280" w:right="299" w:bottom="1440" w:gutter="0" w:footer="0" w:header="0"/>
        </w:sectPr>
      </w:pPr>
    </w:p>
    <w:bookmarkStart w:id="24" w:name="page25"/>
    <w:bookmarkEnd w:id="24"/>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w:t>
      </w: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Financial statements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 Schedule -</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three fiscal years ended January 2, 2005:</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II - Valuation Reserves</w:t>
      </w:r>
    </w:p>
    <w:p>
      <w:pPr>
        <w:spacing w:after="0" w:line="7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(restated) or notes thereto.</w:t>
      </w:r>
    </w:p>
    <w:p>
      <w:pPr>
        <w:spacing w:after="0" w:line="37" w:lineRule="exact"/>
        <w:rPr>
          <w:sz w:val="20"/>
          <w:szCs w:val="20"/>
          <w:color w:val="auto"/>
        </w:rPr>
      </w:pPr>
    </w:p>
    <w:p>
      <w:pPr>
        <w:ind w:left="900" w:right="48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Exhibits are listed in the Index to Exhibits Required by Item 601 of Regulation S-K at Item (c) below and included at page 56 which is incorporated herein by reference.</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Index to Exhibits and required Exhibits are included following the Financial Statement Schedule beginning at page 56 of this filing.</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ectPr>
          <w:pgSz w:w="11900" w:h="16838" w:orient="portrait"/>
          <w:cols w:equalWidth="0" w:num="1">
            <w:col w:w="11160"/>
          </w:cols>
          <w:pgMar w:left="240" w:top="280" w:right="49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tcPr>
          <w:p>
            <w:pPr>
              <w:spacing w:after="0"/>
              <w:rPr>
                <w:sz w:val="20"/>
                <w:szCs w:val="20"/>
                <w:color w:val="auto"/>
              </w:rPr>
            </w:pPr>
            <w:r>
              <w:rPr>
                <w:rFonts w:ascii="Arial" w:cs="Arial" w:eastAsia="Arial" w:hAnsi="Arial"/>
                <w:sz w:val="18"/>
                <w:szCs w:val="18"/>
                <w:color w:val="auto"/>
              </w:rPr>
              <w:t>KELLY SERVICES, INC.</w:t>
            </w:r>
          </w:p>
        </w:tc>
      </w:tr>
      <w:tr>
        <w:trPr>
          <w:trHeight w:val="222"/>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46"/>
        </w:trPr>
        <w:tc>
          <w:tcPr>
            <w:tcW w:w="6280" w:type="dxa"/>
            <w:vAlign w:val="bottom"/>
          </w:tcPr>
          <w:p>
            <w:pPr>
              <w:ind w:left="576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W. K. Gerber</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 K. Gerber</w:t>
            </w:r>
          </w:p>
        </w:tc>
      </w:tr>
      <w:tr>
        <w:trPr>
          <w:trHeight w:val="284"/>
        </w:trPr>
        <w:tc>
          <w:tcPr>
            <w:tcW w:w="628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T. E. Adderley</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 E. Adderley</w:t>
            </w:r>
          </w:p>
        </w:tc>
      </w:tr>
      <w:tr>
        <w:trPr>
          <w:trHeight w:val="318"/>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r>
      <w:tr>
        <w:trPr>
          <w:trHeight w:val="222"/>
        </w:trPr>
        <w:tc>
          <w:tcPr>
            <w:tcW w:w="62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C. T. Camden</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 T. Camden</w:t>
            </w:r>
          </w:p>
        </w:tc>
      </w:tr>
      <w:tr>
        <w:trPr>
          <w:trHeight w:val="324"/>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Chief Operating Officer and Director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J. E. Dutton</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 E. Dutton</w:t>
            </w:r>
          </w:p>
        </w:tc>
      </w:tr>
      <w:tr>
        <w:trPr>
          <w:trHeight w:val="324"/>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M. A. Fay, O.P.</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M. A. Fay, O.P.</w:t>
            </w:r>
          </w:p>
        </w:tc>
      </w:tr>
      <w:tr>
        <w:trPr>
          <w:trHeight w:val="324"/>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V. G. Istock</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V. G. Istock</w:t>
            </w:r>
          </w:p>
        </w:tc>
      </w:tr>
      <w:tr>
        <w:trPr>
          <w:trHeight w:val="324"/>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D. R. Parfet</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 R. Parfet</w:t>
            </w:r>
          </w:p>
        </w:tc>
      </w:tr>
      <w:tr>
        <w:trPr>
          <w:trHeight w:val="324"/>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5140" w:type="dxa"/>
            <w:vAlign w:val="bottom"/>
            <w:gridSpan w:val="2"/>
          </w:tcPr>
          <w:p>
            <w:pPr>
              <w:spacing w:after="0"/>
              <w:rPr>
                <w:sz w:val="20"/>
                <w:szCs w:val="20"/>
                <w:color w:val="auto"/>
              </w:rPr>
            </w:pPr>
            <w:r>
              <w:rPr>
                <w:rFonts w:ascii="Arial" w:cs="Arial" w:eastAsia="Arial" w:hAnsi="Arial"/>
                <w:sz w:val="18"/>
                <w:szCs w:val="18"/>
                <w:color w:val="auto"/>
              </w:rPr>
              <w:t>* B. J. White</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 J. White</w:t>
            </w:r>
          </w:p>
        </w:tc>
      </w:tr>
      <w:tr>
        <w:trPr>
          <w:trHeight w:val="324"/>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tcPr>
          <w:p>
            <w:pPr>
              <w:ind w:left="80"/>
              <w:spacing w:after="0"/>
              <w:rPr>
                <w:sz w:val="20"/>
                <w:szCs w:val="20"/>
                <w:color w:val="auto"/>
              </w:rPr>
            </w:pPr>
            <w:r>
              <w:rPr>
                <w:rFonts w:ascii="Arial" w:cs="Arial" w:eastAsia="Arial" w:hAnsi="Arial"/>
                <w:sz w:val="18"/>
                <w:szCs w:val="18"/>
                <w:color w:val="auto"/>
              </w:rPr>
              <w:t>W. K. Gerber</w:t>
            </w:r>
          </w:p>
        </w:tc>
      </w:tr>
      <w:tr>
        <w:trPr>
          <w:trHeight w:val="110"/>
        </w:trPr>
        <w:tc>
          <w:tcPr>
            <w:tcW w:w="6280" w:type="dxa"/>
            <w:vAlign w:val="bottom"/>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r>
      <w:tr>
        <w:trPr>
          <w:trHeight w:val="383"/>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W. K. Gerber</w:t>
            </w:r>
          </w:p>
        </w:tc>
      </w:tr>
      <w:tr>
        <w:trPr>
          <w:trHeight w:val="318"/>
        </w:trPr>
        <w:tc>
          <w:tcPr>
            <w:tcW w:w="628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628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446"/>
        </w:trPr>
        <w:tc>
          <w:tcPr>
            <w:tcW w:w="6280" w:type="dxa"/>
            <w:vAlign w:val="bottom"/>
          </w:tcPr>
          <w:p>
            <w:pPr>
              <w:spacing w:after="0"/>
              <w:rPr>
                <w:sz w:val="20"/>
                <w:szCs w:val="20"/>
                <w:color w:val="auto"/>
              </w:rPr>
            </w:pPr>
            <w:r>
              <w:rPr>
                <w:rFonts w:ascii="Arial" w:cs="Arial" w:eastAsia="Arial" w:hAnsi="Arial"/>
                <w:sz w:val="18"/>
                <w:szCs w:val="18"/>
                <w:color w:val="auto"/>
              </w:rPr>
              <w:t>Date: May 13, 2005</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tcPr>
          <w:p>
            <w:pPr>
              <w:ind w:left="80"/>
              <w:spacing w:after="0"/>
              <w:rPr>
                <w:sz w:val="20"/>
                <w:szCs w:val="20"/>
                <w:color w:val="auto"/>
              </w:rPr>
            </w:pPr>
            <w:r>
              <w:rPr>
                <w:rFonts w:ascii="Arial" w:cs="Arial" w:eastAsia="Arial" w:hAnsi="Arial"/>
                <w:sz w:val="18"/>
                <w:szCs w:val="18"/>
                <w:color w:val="auto"/>
              </w:rPr>
              <w:t>M. E. Debs</w:t>
            </w:r>
          </w:p>
        </w:tc>
      </w:tr>
      <w:tr>
        <w:trPr>
          <w:trHeight w:val="110"/>
        </w:trPr>
        <w:tc>
          <w:tcPr>
            <w:tcW w:w="6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r>
    </w:tbl>
    <w:p>
      <w:pPr>
        <w:spacing w:after="0" w:line="16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 E. Debs</w:t>
      </w:r>
    </w:p>
    <w:p>
      <w:pPr>
        <w:spacing w:after="0" w:line="1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and Corporate Controller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232" w:lineRule="exact"/>
        <w:rPr>
          <w:sz w:val="20"/>
          <w:szCs w:val="20"/>
          <w:color w:val="auto"/>
        </w:rPr>
      </w:pPr>
    </w:p>
    <w:p>
      <w:pPr>
        <w:spacing w:after="0"/>
        <w:tabs>
          <w:tab w:leader="none" w:pos="5660" w:val="left"/>
          <w:tab w:leader="none" w:pos="6260" w:val="left"/>
          <w:tab w:leader="none" w:pos="6600" w:val="left"/>
        </w:tabs>
        <w:rPr>
          <w:sz w:val="20"/>
          <w:szCs w:val="20"/>
          <w:color w:val="auto"/>
        </w:rPr>
      </w:pPr>
      <w:r>
        <w:rPr>
          <w:rFonts w:ascii="Arial" w:cs="Arial" w:eastAsia="Arial" w:hAnsi="Arial"/>
          <w:sz w:val="18"/>
          <w:szCs w:val="18"/>
          <w:color w:val="auto"/>
        </w:rPr>
        <w:t>Date: May 13,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 K.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280" w:right="239" w:bottom="0" w:gutter="0" w:footer="0" w:header="0"/>
        </w:sectPr>
      </w:pPr>
    </w:p>
    <w:bookmarkStart w:id="26" w:name="page27"/>
    <w:bookmarkEnd w:id="26"/>
    <w:p>
      <w:pPr>
        <w:ind w:left="5080"/>
        <w:spacing w:after="0"/>
        <w:rPr>
          <w:sz w:val="20"/>
          <w:szCs w:val="20"/>
          <w:color w:val="auto"/>
        </w:rPr>
      </w:pPr>
      <w:r>
        <w:rPr>
          <w:rFonts w:ascii="Arial" w:cs="Arial" w:eastAsia="Arial" w:hAnsi="Arial"/>
          <w:sz w:val="18"/>
          <w:szCs w:val="18"/>
          <w:color w:val="auto"/>
        </w:rPr>
        <w:t>W. K. Gerber</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Attorney-in-Fact</w:t>
      </w:r>
    </w:p>
    <w:p>
      <w:pPr>
        <w:sectPr>
          <w:pgSz w:w="11900" w:h="16838" w:orient="portrait"/>
          <w:cols w:equalWidth="0" w:num="1">
            <w:col w:w="9019"/>
          </w:cols>
          <w:pgMar w:left="1440" w:top="199" w:right="1440" w:bottom="1440" w:gutter="0" w:footer="0" w:header="0"/>
        </w:sectPr>
      </w:pPr>
    </w:p>
    <w:bookmarkStart w:id="27" w:name="page28"/>
    <w:bookmarkEnd w:id="2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w:t>
      </w:r>
    </w:p>
    <w:p>
      <w:pPr>
        <w:spacing w:after="0" w:line="15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FINANCIAL STATEMENTS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Page Reference</w:t>
            </w:r>
          </w:p>
        </w:tc>
      </w:tr>
      <w:tr>
        <w:trPr>
          <w:trHeight w:val="149"/>
        </w:trPr>
        <w:tc>
          <w:tcPr>
            <w:tcW w:w="2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Report on</w:t>
            </w:r>
          </w:p>
        </w:tc>
      </w:tr>
      <w:tr>
        <w:trPr>
          <w:trHeight w:val="174"/>
        </w:trPr>
        <w:tc>
          <w:tcPr>
            <w:tcW w:w="2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Form 10-K/A</w:t>
            </w:r>
          </w:p>
        </w:tc>
      </w:tr>
      <w:tr>
        <w:trPr>
          <w:trHeight w:val="95"/>
        </w:trPr>
        <w:tc>
          <w:tcPr>
            <w:tcW w:w="2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77"/>
        </w:trPr>
        <w:tc>
          <w:tcPr>
            <w:tcW w:w="4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Management’s Report on Internal Control Over Financial Reporting</w:t>
              </w:r>
            </w:hyperlink>
          </w:p>
        </w:tc>
        <w:tc>
          <w:tcPr>
            <w:tcW w:w="572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0"/>
        </w:trPr>
        <w:tc>
          <w:tcPr>
            <w:tcW w:w="2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Statements of Earnings (Restated) for the three fiscal years ended January 2, 2005</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0"/>
        </w:trPr>
        <w:tc>
          <w:tcPr>
            <w:tcW w:w="28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Statements of Cash Flows (Restated) for the three fiscal years ended January 2, 2005</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304"/>
        </w:trPr>
        <w:tc>
          <w:tcPr>
            <w:tcW w:w="4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Balance Sheets (Restated) at January 2, 2005 and December 28, 2003</w:t>
              </w:r>
            </w:hyperlink>
          </w:p>
        </w:tc>
        <w:tc>
          <w:tcPr>
            <w:tcW w:w="1060" w:type="dxa"/>
            <w:vAlign w:val="bottom"/>
            <w:tcBorders>
              <w:top w:val="single" w:sz="8" w:color="0000EE"/>
            </w:tcBorders>
            <w:gridSpan w:val="2"/>
          </w:tcPr>
          <w:p>
            <w:pPr>
              <w:spacing w:after="0"/>
              <w:rPr>
                <w:sz w:val="24"/>
                <w:szCs w:val="24"/>
                <w:color w:val="auto"/>
              </w:rPr>
            </w:pPr>
          </w:p>
        </w:tc>
        <w:tc>
          <w:tcPr>
            <w:tcW w:w="456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Statements of Stockholders’ Equity (Restated) for the three fiscal years ended January 2, 2005</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04"/>
        </w:trPr>
        <w:tc>
          <w:tcPr>
            <w:tcW w:w="288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Notes to Financial Statements (Restated)</w:t>
              </w:r>
            </w:hyperlink>
          </w:p>
        </w:tc>
        <w:tc>
          <w:tcPr>
            <w:tcW w:w="3740" w:type="dxa"/>
            <w:vAlign w:val="bottom"/>
            <w:tcBorders>
              <w:top w:val="single" w:sz="8" w:color="0000EE"/>
            </w:tcBorders>
            <w:gridSpan w:val="7"/>
          </w:tcPr>
          <w:p>
            <w:pPr>
              <w:spacing w:after="0"/>
              <w:rPr>
                <w:sz w:val="24"/>
                <w:szCs w:val="24"/>
                <w:color w:val="auto"/>
              </w:rPr>
            </w:pPr>
          </w:p>
        </w:tc>
        <w:tc>
          <w:tcPr>
            <w:tcW w:w="3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35 - 54</w:t>
            </w:r>
          </w:p>
        </w:tc>
      </w:tr>
      <w:tr>
        <w:trPr>
          <w:trHeight w:val="304"/>
        </w:trPr>
        <w:tc>
          <w:tcPr>
            <w:tcW w:w="1052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 Schedule - Schedule II - Valuation Reserves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0"/>
        </w:trPr>
        <w:tc>
          <w:tcPr>
            <w:tcW w:w="2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28</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26"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45"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12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January 2, 2005. In making this assessment, the Company’s management used the criteria set forth by the Committee of Sponsoring Organizations of the Treadway Commission (COSO) in Internal Control-Integrated Framework.</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Based on our assessment, management determined that, as of January 2, 2005, the Company’s internal control over financial reporting was effective based on those criteria.</w:t>
      </w:r>
    </w:p>
    <w:p>
      <w:pPr>
        <w:spacing w:after="0" w:line="118" w:lineRule="exact"/>
        <w:rPr>
          <w:sz w:val="20"/>
          <w:szCs w:val="20"/>
          <w:color w:val="auto"/>
        </w:rPr>
      </w:pPr>
    </w:p>
    <w:p>
      <w:pPr>
        <w:ind w:right="1060"/>
        <w:spacing w:after="0" w:line="332"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January 2, 2005 has been audited by PricewaterhouseCoopers LLP, an independent registered public accounting firm, as stated in their report which appears on page 29.</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29</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Kelly Services, Inc.:</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completed an integrated audit of Kelly Services, Inc.’s January 2, 2005 consolidated financial statements and of its internal control over financial reporting as of January 2, 2005 and audits of its December 28, 2003 and December 29, 2002 consolidated financial statements in accordance with the standards of the Public Company Accounting Oversight Board (United States). Our opinions, based on our audits, are presented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and financial statement schedule</w:t>
      </w:r>
    </w:p>
    <w:p>
      <w:pPr>
        <w:spacing w:after="0" w:line="7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Kelly Services, Inc. and its subsidiaries at January 2, 2005 and December 28, 2003 and the results of their operations and their cash flows for each of the three years in the period ended January 2, 2005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As discussed in Note 2 to the consolidated financial statements, the balance sheets as of January 2, 2005 and December 28, 2003 and the related statements of earnings, stockholders’ equity and cash flows for the three years in the period ended January 2, 2005 have been restated.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Also, in our opinion, management’s assessment, included in the accompanying Management’s Report on Internal Control Over Financial Reporting, that the Company maintained effective internal control over financial reporting as of January 2, 2005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January 2, 2005,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ectPr>
          <w:pgSz w:w="11900" w:h="16838" w:orient="portrait"/>
          <w:cols w:equalWidth="0" w:num="1">
            <w:col w:w="11420"/>
          </w:cols>
          <w:pgMar w:left="240" w:top="280"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2005, except for Note 2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as to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date is May 12, 2005</w:t>
      </w:r>
    </w:p>
    <w:p>
      <w:pPr>
        <w:sectPr>
          <w:pgSz w:w="11900" w:h="16838" w:orient="portrait"/>
          <w:cols w:equalWidth="0" w:num="1">
            <w:col w:w="11400"/>
          </w:cols>
          <w:pgMar w:left="240" w:top="280"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restated, see Note 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2004 (1)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00" w:type="dxa"/>
            <w:vAlign w:val="bottom"/>
            <w:gridSpan w:val="2"/>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10"/>
          </w:tcPr>
          <w:p>
            <w:pPr>
              <w:ind w:left="80"/>
              <w:spacing w:after="0"/>
              <w:rPr>
                <w:sz w:val="20"/>
                <w:szCs w:val="20"/>
                <w:color w:val="auto"/>
              </w:rPr>
            </w:pPr>
            <w:r>
              <w:rPr>
                <w:rFonts w:ascii="Arial" w:cs="Arial" w:eastAsia="Arial" w:hAnsi="Arial"/>
                <w:sz w:val="14"/>
                <w:szCs w:val="14"/>
                <w:b w:val="1"/>
                <w:bCs w:val="1"/>
                <w:color w:val="auto"/>
                <w:w w:val="91"/>
              </w:rPr>
              <w:t>(In thousands of dollars except per share items)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4,984,051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4,325,155</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4,056,945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4,186,285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3,628,524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3,364,219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797,766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696,631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763,756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688,227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from operations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33,149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11,938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Average shares outstanding (thousands):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35,461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-927100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-927100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-927100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-927100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-927100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-927100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-927100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-927100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-927100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Fiscal year included 53 weeks.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2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restated, see Note 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2004 (1)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Net earnings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21,211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4,904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Noncash adjustments: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44,435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47,929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(10,175)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(23,625)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55,605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32,017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(36,801)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(30,567)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from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(37,432)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(32,912)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(37,016)</w:t>
            </w:r>
          </w:p>
        </w:tc>
        <w:tc>
          <w:tcPr>
            <w:tcW w:w="0" w:type="dxa"/>
            <w:vAlign w:val="bottom"/>
          </w:tcPr>
          <w:p>
            <w:pPr>
              <w:spacing w:after="0"/>
              <w:rPr>
                <w:sz w:val="1"/>
                <w:szCs w:val="1"/>
                <w:color w:val="auto"/>
              </w:rPr>
            </w:pPr>
          </w:p>
        </w:tc>
      </w:tr>
      <w:tr>
        <w:trPr>
          <w:trHeight w:val="323"/>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short-term borrowings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Dividend payments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(14,043)</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(14,143)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 of stock options and other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(26,149)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(13,216)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from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(13,812)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(22,226)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(39,476)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 of exchange rates on cash and equivalents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equivalents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(19,558)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and equivalents at beginning of year</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76,378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95,936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82,554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76,378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gridSpan w:val="2"/>
          </w:tcPr>
          <w:p>
            <w:pPr>
              <w:spacing w:after="0"/>
              <w:rPr>
                <w:sz w:val="11"/>
                <w:szCs w:val="11"/>
                <w:color w:val="auto"/>
              </w:rPr>
            </w:pPr>
          </w:p>
        </w:tc>
        <w:tc>
          <w:tcPr>
            <w:tcW w:w="7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820" w:type="dxa"/>
            <w:vAlign w:val="bottom"/>
            <w:gridSpan w:val="3"/>
          </w:tcPr>
          <w:p>
            <w:pPr>
              <w:spacing w:after="0"/>
              <w:rPr>
                <w:sz w:val="20"/>
                <w:szCs w:val="20"/>
                <w:color w:val="auto"/>
              </w:rPr>
            </w:pPr>
            <w:r>
              <w:rPr>
                <w:rFonts w:ascii="Arial" w:cs="Arial" w:eastAsia="Arial" w:hAnsi="Arial"/>
                <w:sz w:val="18"/>
                <w:szCs w:val="18"/>
                <w:color w:val="auto"/>
              </w:rPr>
              <w:t>(1)   Fiscal year included 53 weeks.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20" w:type="dxa"/>
            <w:vAlign w:val="bottom"/>
            <w:gridSpan w:val="3"/>
          </w:tcPr>
          <w:p>
            <w:pPr>
              <w:spacing w:after="0"/>
              <w:rPr>
                <w:sz w:val="20"/>
                <w:szCs w:val="20"/>
                <w:color w:val="auto"/>
              </w:rPr>
            </w:pPr>
            <w:r>
              <w:rPr>
                <w:rFonts w:ascii="Arial" w:cs="Arial" w:eastAsia="Arial" w:hAnsi="Arial"/>
                <w:sz w:val="18"/>
                <w:szCs w:val="18"/>
                <w:color w:val="auto"/>
              </w:rPr>
              <w:t>See accompanying Notes to Financial Statements.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-608965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-608965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-608965</wp:posOffset>
            </wp:positionV>
            <wp:extent cx="85344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-608965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restated, see Note 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(In thousands of dollars)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82,554</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6,288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 accounts receivable, less allowances of $16,228 and $14,983, respectively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727,366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40,736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36,055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892,999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58,236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Equipment, furniture and leasehold improvements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303,213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(180,363)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(172,516)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property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181,086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Noncurrent Deferred Taxes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17,960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Goodwill,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63,059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1,249,756</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5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34,289</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105,685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payroll and related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246,802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Accrued insurance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33,165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and other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67,839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487,780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insurance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58,548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Accrued retirement benefits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50,892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noncurrent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109,440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4"/>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stock, $1.00 par value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gridSpan w:val="2"/>
          </w:tcPr>
          <w:p>
            <w:pPr>
              <w:ind w:left="220"/>
              <w:spacing w:after="0"/>
              <w:rPr>
                <w:sz w:val="20"/>
                <w:szCs w:val="20"/>
                <w:color w:val="auto"/>
              </w:rPr>
            </w:pPr>
            <w:r>
              <w:rPr>
                <w:rFonts w:ascii="Arial" w:cs="Arial" w:eastAsia="Arial" w:hAnsi="Arial"/>
                <w:sz w:val="18"/>
                <w:szCs w:val="18"/>
                <w:color w:val="auto"/>
              </w:rPr>
              <w:t>Class A common stock, shares issued 36,619,693 at 2004 and 36,619,148 at 2003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36,620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B common stock, shares issued 3,496,173 at 2004 and 3,496,718 at 2003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Treasury stock, at cost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 common stock, 4,588,739 shares at 2004 and 5,319,995 at 2003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(97,067)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gridSpan w:val="2"/>
          </w:tcPr>
          <w:p>
            <w:pPr>
              <w:ind w:left="220"/>
              <w:spacing w:after="0"/>
              <w:rPr>
                <w:sz w:val="20"/>
                <w:szCs w:val="20"/>
                <w:color w:val="auto"/>
              </w:rPr>
            </w:pPr>
            <w:r>
              <w:rPr>
                <w:rFonts w:ascii="Arial" w:cs="Arial" w:eastAsia="Arial" w:hAnsi="Arial"/>
                <w:sz w:val="18"/>
                <w:szCs w:val="18"/>
                <w:color w:val="auto"/>
              </w:rPr>
              <w:t>Class B common stock, 23,575 shares at 2004 and 23,475 at 2003</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Earnings invested in the business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663,039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24,544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652,536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1,249,756</w:t>
            </w:r>
          </w:p>
        </w:tc>
        <w:tc>
          <w:tcPr>
            <w:tcW w:w="2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-4205605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-4205605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-4205605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-4205605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-4205605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-4205605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See accompanying Notes to Financial Statements.</w:t>
      </w:r>
    </w:p>
    <w:p>
      <w:pPr>
        <w:sectPr>
          <w:pgSz w:w="11900" w:h="16838" w:orient="portrait"/>
          <w:cols w:equalWidth="0" w:num="1">
            <w:col w:w="11420"/>
          </w:cols>
          <w:pgMar w:left="240" w:top="280"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restated, see Note 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2004 (1)</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thousands of dollars)</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36,619</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Conversions from Class B</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Class B common stock</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Conversions to Class A</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A common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Balance at beginning of year</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(112,535)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(91,648)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(81,721)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Exercise of stock options, restricted stock awards and 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Treasury stock issued for acquisition</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(13,140)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(97,067)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(112,535)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(91,648)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Class B common stock</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8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323"/>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19,096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Exercise of stock options, restricted stock awards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3,434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issued for acquisition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Earnings Invested in the Business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655,871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665,110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660,925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21,211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(14,043)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(14,293)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663,039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655,871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665,110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660" w:type="dxa"/>
            <w:vAlign w:val="bottom"/>
            <w:gridSpan w:val="3"/>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at beginning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13,433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gains on investments, net of tax</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24,544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652,536</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612,901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618,431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21,211</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4,904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Unrealized gains on investments, net of tax</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34,779</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-1167765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-1167765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-1167765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-1167765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-1167765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-1167765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-1167765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-1167765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-1167765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-172720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-172720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-172720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Fiscal year included 53 weeks.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28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35</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Kelly Services, Inc. (the “Company”) is a global temporary staffing leader operating in 27 countries throughout the world.</w:t>
      </w:r>
    </w:p>
    <w:p>
      <w:pPr>
        <w:spacing w:after="0" w:line="15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Company’s fiscal year ends on the Sunday nearest to December 31. The three most recent years ended on January 2, 2005 (2004,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53 weeks) December 28, 2003 (2003, which contained 52 weeks) and December 29, 2002 (2002, which contained 52 weeks). Period costs included in selling, general and administrative expenses are recorded on a calendar-year basis.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financial statements include the accounts and operations of the Company and its subsidiaries, all of which are wholly owned.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accounts and transactions have been eliminated.</w:t>
      </w:r>
    </w:p>
    <w:p>
      <w:pPr>
        <w:spacing w:after="0" w:line="14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Substantially all of the Company’s international subsidiaries use their local currency as their functional currency. Revenue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accounts of foreign subsidiaries are translated to U.S. dollars at average exchange rates, while assets and liabilities are translated to U.S. dollars at year-end exchange rates. Resulting translation adjustments, net of deferred taxes, where applicable, are reported as accumulated foreign currency adjustments in stockholders’ equity and are recorded as a component of comprehensive income. The balance of the cumulative translation adjustment for the years ending 2004, 2003 and 2002 were a credit of $24,286, a credit of $10,853 and a debit of $12,554, respectively.</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from services is recognized as services are provided by the temporary, contract or leased employees. Revenue from permanent</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services is recognized at the time the permanent placement candidate begins full-time employment. Provisions for sales allowances, based on historical experience, are recognized at the time the related sale is recognized.</w:t>
      </w:r>
    </w:p>
    <w:p>
      <w:pPr>
        <w:spacing w:after="0" w:line="11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Allowance for Uncollectible Accounts Receivable </w:t>
      </w:r>
      <w:r>
        <w:rPr>
          <w:rFonts w:ascii="Arial" w:cs="Arial" w:eastAsia="Arial" w:hAnsi="Arial"/>
          <w:sz w:val="18"/>
          <w:szCs w:val="18"/>
          <w:color w:val="auto"/>
        </w:rPr>
        <w:t>The Company records an allowance for uncollectible accounts receivable based on historical loss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payment patterns and current economic trends. The Company reviews the adequacy of the allowance for uncollectible accounts receivable on a quarterly basis and, if necessary, increases or decreases the balance.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Advertising Expenses </w:t>
      </w:r>
      <w:r>
        <w:rPr>
          <w:rFonts w:ascii="Arial" w:cs="Arial" w:eastAsia="Arial" w:hAnsi="Arial"/>
          <w:sz w:val="16"/>
          <w:szCs w:val="16"/>
          <w:color w:val="auto"/>
        </w:rPr>
        <w:t>Advertising expenses, which are expensed as incurred, were $11,700, $11,800 and $12,700 in 2004, 2003 and 2002, respectively.</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generally accepted accounting principles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in the financial statements and accompanying notes. Estimates are used for, but not limited to, the accounting for the allowance for uncollectible accounts receivable, workers’ compensation, goodwill impairment and income taxes. Actual results could differ materially from those estimates.</w:t>
      </w:r>
    </w:p>
    <w:p>
      <w:pPr>
        <w:spacing w:after="0" w:line="12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Cash and equivalents are stated at cost, which approximates market. The Company considers securities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to be cash and equivalents.</w:t>
      </w:r>
    </w:p>
    <w:p>
      <w:pPr>
        <w:spacing w:after="0" w:line="1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are depreciated over their estimated useful lives, principally by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range from 15 to 45 years for land improvements, buildings and building improvements, 5 years for equipment and furniture and 3 to 12 years for computer hardware and software. Leasehold improvements are depreciated over the lesser of the life of the lease or 5 years. The Company capitalizes external costs and internal payroll costs incurred in the development of software for internal use in accordance with American Institute of Certified Public Accountants Statement of Position No. 98-1, “Accounting for the Costs of Computer Software Developed or Obtained for Internal Use.” Capitalized software is included with equipment, furniture and leasehold improvements on the balance sheet. Depreciation expense was $44,200 for 2004, $47,800 for 2003 and $45,300 for 2002.</w:t>
      </w:r>
    </w:p>
    <w:p>
      <w:pPr>
        <w:spacing w:after="0" w:line="12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Company recognizes rent expense on a straight-line basis over the lease term. This includes the impact of both scheduled rent increases</w:t>
      </w:r>
      <w:r>
        <w:rPr>
          <w:rFonts w:ascii="Arial" w:cs="Arial" w:eastAsia="Arial" w:hAnsi="Arial"/>
          <w:sz w:val="18"/>
          <w:szCs w:val="18"/>
          <w:b w:val="1"/>
          <w:bCs w:val="1"/>
          <w:color w:val="auto"/>
        </w:rPr>
        <w:t xml:space="preserve"> </w:t>
      </w:r>
      <w:r>
        <w:rPr>
          <w:rFonts w:ascii="Arial" w:cs="Arial" w:eastAsia="Arial" w:hAnsi="Arial"/>
          <w:sz w:val="18"/>
          <w:szCs w:val="18"/>
          <w:color w:val="auto"/>
        </w:rPr>
        <w:t>and free or reduced rents (commonly referred to as “rent holidays”). The Company records allowances provided by landlords for leasehold improvements as deferred rent in the balance sheet and as operating cash flows in the statement of cash flows.</w:t>
      </w:r>
    </w:p>
    <w:p>
      <w:pPr>
        <w:sectPr>
          <w:pgSz w:w="11900" w:h="16838" w:orient="portrait"/>
          <w:cols w:equalWidth="0" w:num="1">
            <w:col w:w="11420"/>
          </w:cols>
          <w:pgMar w:left="240" w:top="280" w:right="239" w:bottom="1440" w:gutter="0" w:footer="0" w:header="0"/>
        </w:sectPr>
      </w:pPr>
    </w:p>
    <w:bookmarkStart w:id="36" w:name="page37"/>
    <w:bookmarkEnd w:id="3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ind w:right="120"/>
        <w:spacing w:after="0" w:line="378" w:lineRule="auto"/>
        <w:rPr>
          <w:sz w:val="20"/>
          <w:szCs w:val="20"/>
          <w:color w:val="auto"/>
        </w:rPr>
      </w:pPr>
      <w:r>
        <w:rPr>
          <w:rFonts w:ascii="Arial" w:cs="Arial" w:eastAsia="Arial" w:hAnsi="Arial"/>
          <w:sz w:val="15"/>
          <w:szCs w:val="15"/>
          <w:b w:val="1"/>
          <w:bCs w:val="1"/>
          <w:color w:val="auto"/>
        </w:rPr>
        <w:t xml:space="preserve">Goodwill and Other Intangible Assets </w:t>
      </w:r>
      <w:r>
        <w:rPr>
          <w:rFonts w:ascii="Arial" w:cs="Arial" w:eastAsia="Arial" w:hAnsi="Arial"/>
          <w:sz w:val="15"/>
          <w:szCs w:val="15"/>
          <w:color w:val="auto"/>
        </w:rPr>
        <w:t>Goodwill represents the excess of the purchase price over the fair value of net assets. Purchased intangible assets, with</w:t>
      </w:r>
      <w:r>
        <w:rPr>
          <w:rFonts w:ascii="Arial" w:cs="Arial" w:eastAsia="Arial" w:hAnsi="Arial"/>
          <w:sz w:val="15"/>
          <w:szCs w:val="15"/>
          <w:b w:val="1"/>
          <w:bCs w:val="1"/>
          <w:color w:val="auto"/>
        </w:rPr>
        <w:t xml:space="preserve"> </w:t>
      </w:r>
      <w:r>
        <w:rPr>
          <w:rFonts w:ascii="Arial" w:cs="Arial" w:eastAsia="Arial" w:hAnsi="Arial"/>
          <w:sz w:val="15"/>
          <w:szCs w:val="15"/>
          <w:color w:val="auto"/>
        </w:rPr>
        <w:t>definite lives, other than goodwill, are valued at acquisition cost and are amortized over their respective useful lives (up to 10 years) on a straight-line basis.</w:t>
      </w:r>
    </w:p>
    <w:p>
      <w:pPr>
        <w:spacing w:after="0" w:line="3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Impairment of Long-Lived Assets and Intangible Assets </w:t>
      </w:r>
      <w:r>
        <w:rPr>
          <w:rFonts w:ascii="Arial" w:cs="Arial" w:eastAsia="Arial" w:hAnsi="Arial"/>
          <w:sz w:val="18"/>
          <w:szCs w:val="18"/>
          <w:color w:val="auto"/>
        </w:rPr>
        <w:t>The Company evaluates long-lived assets and intangible assets with definite lives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events or changes in circumstances indicate that the carrying amount of an asset may not be recoverable. When it is probable that undiscounted future cash flows will not be sufficient to recover an asset’s carrying amount, the asset is written down to its fair value. Assets to be disposed of by sale, if any, are reported at the lower of the carrying amount or fair value less cost to sell.</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Goodwill is tested for impairment annually, or if an event occurs or circumstances change that may reduce the fair value of the reporting unit below its book value. If the fair market value of the reporting unit tested has fallen below its book value, we then compare the estimated fair value of goodwill to its book value. If the book value exceeds the estimated fair value, an impairment loss would be recognized in an amount equal to that excess. The Company uses a discounted cash flow methodology to determine fair value.</w:t>
      </w:r>
    </w:p>
    <w:p>
      <w:pPr>
        <w:spacing w:after="0" w:line="12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Included in accounts payable are outstanding checks in excess of funds on deposit. Such amounts totaled $12,361 and $12,054 at year-end</w:t>
      </w:r>
      <w:r>
        <w:rPr>
          <w:rFonts w:ascii="Arial" w:cs="Arial" w:eastAsia="Arial" w:hAnsi="Arial"/>
          <w:sz w:val="18"/>
          <w:szCs w:val="18"/>
          <w:b w:val="1"/>
          <w:bCs w:val="1"/>
          <w:color w:val="auto"/>
        </w:rPr>
        <w:t xml:space="preserve"> </w:t>
      </w:r>
      <w:r>
        <w:rPr>
          <w:rFonts w:ascii="Arial" w:cs="Arial" w:eastAsia="Arial" w:hAnsi="Arial"/>
          <w:sz w:val="18"/>
          <w:szCs w:val="18"/>
          <w:color w:val="auto"/>
        </w:rPr>
        <w:t>2004 and 2003, respectively.</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Accrued Payroll and Related Taxes </w:t>
      </w:r>
      <w:r>
        <w:rPr>
          <w:rFonts w:ascii="Arial" w:cs="Arial" w:eastAsia="Arial" w:hAnsi="Arial"/>
          <w:sz w:val="18"/>
          <w:szCs w:val="18"/>
          <w:color w:val="auto"/>
        </w:rPr>
        <w:t>Included in accrued payroll and related taxes are outstanding checks in excess of funds on deposit. Such amounts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$17,889 and $24,973 at year-end 2004 and 2003, respectively. Payroll taxes are recognized proportionately to direct wages for interim periods based on expected full-year amounts.</w:t>
      </w:r>
    </w:p>
    <w:p>
      <w:pPr>
        <w:spacing w:after="0" w:line="119"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accounts for income taxes using the liability method. Under this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The Company continues to account for stock-based compensation using Accounting Principles Board Statement No. 25,</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for Stock Issued to Employees,” and has not adopted the recognition provisions of SFAS No. 123, “Accounting for Stock-Based Compensation,” as amended by SFAS No. 148, “Accounting for Stock-Based Compensation – Transition and Disclosure – an amendment of SFAS No. 123.” Accordingly, no compensation cost has been recognized for incentive and nonqualified stock options. The following table illustrates the effect on net income and earnings per share if the Company had applied the fair value recognition provisions of SFAS No. 123 to stock-based employee compensation.</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earnings, net of related tax effects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Deduct: Total stock-based employee compensation expense determined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fair value based method for all awards, net of related tax effects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19,091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Basic-as reported</w:t>
            </w:r>
          </w:p>
        </w:tc>
        <w:tc>
          <w:tcPr>
            <w:tcW w:w="1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Basic-pro forma</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Diluted-as reported</w:t>
            </w:r>
          </w:p>
        </w:tc>
        <w:tc>
          <w:tcPr>
            <w:tcW w:w="1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Diluted-pro forma</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-850265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-850265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-850265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-850265</wp:posOffset>
            </wp:positionV>
            <wp:extent cx="48450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-850265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-850265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-850265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280" w:right="339" w:bottom="1440" w:gutter="0" w:footer="0" w:header="0"/>
        </w:sectPr>
      </w:pPr>
    </w:p>
    <w:bookmarkStart w:id="37" w:name="page38"/>
    <w:bookmarkEnd w:id="3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Since stock options generally become exercisable over several years and additional grants are likely to be made in future years, the pro forma amounts for compensation cost may not be indicative of the effects on net income and earnings per share for future years.</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Workers’ Compensation </w:t>
      </w:r>
      <w:r>
        <w:rPr>
          <w:rFonts w:ascii="Arial" w:cs="Arial" w:eastAsia="Arial" w:hAnsi="Arial"/>
          <w:sz w:val="16"/>
          <w:szCs w:val="16"/>
          <w:color w:val="auto"/>
        </w:rPr>
        <w:t>The Company establishes accruals for workers’ compensation claims utilizing actuarial methods to estimate the undiscounted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cash payments that will be made to satisfy the claims. The estimates are based both on historical experience as well as current legal, economic and regulatory factors. The ultimate cost of these claims may be greater than or less than the established accrual. However, the Company believes that any such adjustments will not materially affect its consolidated financial position. During 2003, primarily as a result of higher than expected medical inflation rates, the Company revised its estimate of the cost of outstanding workers’ compensation claims and, accordingly, recorded additional expense of $11.7 million.</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Reclassifications </w:t>
      </w:r>
      <w:r>
        <w:rPr>
          <w:rFonts w:ascii="Arial" w:cs="Arial" w:eastAsia="Arial" w:hAnsi="Arial"/>
          <w:sz w:val="16"/>
          <w:szCs w:val="16"/>
          <w:color w:val="auto"/>
        </w:rPr>
        <w:t>Effective with the first quarter of 2003, the Company changed its method of reporting revenue for Kelly Staff Leasing (“KSL”), a wholly</w:t>
      </w:r>
      <w:r>
        <w:rPr>
          <w:rFonts w:ascii="Arial" w:cs="Arial" w:eastAsia="Arial" w:hAnsi="Arial"/>
          <w:sz w:val="16"/>
          <w:szCs w:val="16"/>
          <w:b w:val="1"/>
          <w:bCs w:val="1"/>
          <w:color w:val="auto"/>
        </w:rPr>
        <w:t xml:space="preserve"> </w:t>
      </w:r>
      <w:r>
        <w:rPr>
          <w:rFonts w:ascii="Arial" w:cs="Arial" w:eastAsia="Arial" w:hAnsi="Arial"/>
          <w:sz w:val="16"/>
          <w:szCs w:val="16"/>
          <w:color w:val="auto"/>
        </w:rPr>
        <w:t>owned subsidiary. KSL is a Professional Employer Organization (“PEO”) and is part of the PTSA segment. Consistent with changing PEO industry practice, KSL changed from the gross method of reporting revenue to the net method under Emerging Issues Task Force Issue No. 99-19, “Reporting Revenue Gross as a Principal versus Net as an Agent.” As a result, KSL no longer included worksite employee payroll costs in revenue from services or cost of services. This change did not impact gross profit or net earnings. Revenue from services and cost of services have been reclassified for all prior periods for comparability. The effect of this change on prior periods was to reduce revenue from services and cost of services for 2002 by $266.5 million. Certain other prior year amounts have been reclassified to conform with the current presentation.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Previously Issued Financial Statements</w:t>
      </w:r>
    </w:p>
    <w:p>
      <w:pPr>
        <w:spacing w:after="0" w:line="8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Subsequent to the issuance of the Company’s fiscal 2004 financial statements, the Company’s management determined that its lease-related accounting policies needed to be revised. On April 25, 2005 management concluded, with the concurrence of the Audit Committee of the Board of Directors, that the Company would restate its financial statements for the fiscal years ended December 29, 2002, December 28, 2003 and January 2, 2005. As a result, the Company has corrected its accounting for operating leases to recognize scheduled rent increases on a straight-line basis over the lease term. Previously, the Company recorded rent expense as incurred. In addition, the Company has recorded allowances provided by landlords for leasehold improvements as deferred rent in the balance sheet and as operating cash flow in the statement of cash flows. Previously, these amounts had been recorded as reductions of property and equipment in the balance sheet and as reductions of capital expenditures in the statement of cash flows.</w:t>
      </w:r>
    </w:p>
    <w:p>
      <w:pPr>
        <w:spacing w:after="0" w:line="10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impact of the restatement for scheduled rent increases is a decrease in net earnings of $148, $206 and $91 for fiscal years 2004, 2003 and 2002, respectively. The cumulative effect of the restatement for scheduled rent increases for all years prior to fiscal 2002 was $871, which was recorded as an adjustment to stockholders’ equity at December 31, 2001. The adjustment represented less than 0.2% of stockholders’ equity.</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impact on the balance sheet, as a result of the adjustments for landlord allowances was to increase leasehold improvements and deferred rent (included in accounts payable) by $1,300 and $353 as of year end 2004 and 2003, respectively. These adjustments did not impact net earnings, as the amortization period for leasehold improvements and the lease term were essentially the same.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restatement process, the Company determined that it was appropriate to make the following additional adjustments.</w:t>
      </w:r>
    </w:p>
    <w:p>
      <w:pPr>
        <w:spacing w:after="0" w:line="15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January of 2005, the Company learned that, due to a demutualization in 2001, a wholly owned subsidiary received stock in Prudential Financial, Inc. As a result, the Company recorded a gain, net of income taxes, of $313 in the fourth quarter of 2004. As part of the restatement, the Company removed the gain from 2004 and recorded the gain as an adjustment to stockholders’ equity at December 31, 2001.</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determined that its liability for accrued payroll taxes was understated as of year-end 2004. As a result, 2004 net earnings have been reduced by $459.</w:t>
      </w:r>
    </w:p>
    <w:p>
      <w:pPr>
        <w:sectPr>
          <w:pgSz w:w="11900" w:h="16838" w:orient="portrait"/>
          <w:cols w:equalWidth="0" w:num="1">
            <w:col w:w="11400"/>
          </w:cols>
          <w:pgMar w:left="240" w:top="280" w:right="259" w:bottom="1440" w:gutter="0" w:footer="0" w:header="0"/>
        </w:sectPr>
      </w:pPr>
    </w:p>
    <w:bookmarkStart w:id="38" w:name="page39"/>
    <w:bookmarkEnd w:id="3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38</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Company’s classification of investments in auction rate securities of $5 million as of year-end 2004 has been revised in the Company’s balance sheet as short-term investments. Previously, these investments were classified as cash and cash equivalents. This change in classification also resulted in changes to the Company’s fiscal 2004, 2003 and 2002 statements of cash flows. Classification of the changes in cash overdrafts of $3,921 in 2003 and $1,235 in 2002 have been revised from net cash provided from operating activities to net cash provided from financing activities in the statement of cash flows.</w:t>
      </w:r>
    </w:p>
    <w:p>
      <w:pPr>
        <w:spacing w:after="0" w:line="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restatements did not have any impact on the Company’s previously reported revenue from services or on the Company’s compliance with any financial covenant under the Company’s line of credit facility or other debt instruments.</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is a summary of impact of the restatement on the balance sheets at January 2, 2005 and December 28, 2003, and the statements of earnings and statements of cash flows for the fiscal years 2004, 2003 and 2002:</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For the 53 weeks ended January 2,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As Previously</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1340" w:type="dxa"/>
            <w:vAlign w:val="bottom"/>
            <w:gridSpan w:val="4"/>
          </w:tcPr>
          <w:p>
            <w:pPr>
              <w:ind w:left="28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Earnings</w:t>
            </w:r>
          </w:p>
        </w:tc>
        <w:tc>
          <w:tcPr>
            <w:tcW w:w="1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Cost of Services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$4,185,545</w:t>
            </w:r>
          </w:p>
        </w:tc>
        <w:tc>
          <w:tcPr>
            <w:tcW w:w="32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$4,186,285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763,013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Earnings from operations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35,493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12,502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Earnings per share - basic</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 diluted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w:t>
            </w: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44,137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(9,611)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2,704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from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59,360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680" w:type="dxa"/>
            <w:vAlign w:val="bottom"/>
            <w:gridSpan w:val="3"/>
          </w:tcPr>
          <w:p>
            <w:pPr>
              <w:jc w:val="right"/>
              <w:ind w:right="280"/>
              <w:spacing w:after="0"/>
              <w:rPr>
                <w:sz w:val="20"/>
                <w:szCs w:val="20"/>
                <w:color w:val="auto"/>
              </w:rPr>
            </w:pPr>
            <w:r>
              <w:rPr>
                <w:rFonts w:ascii="Arial" w:cs="Arial" w:eastAsia="Arial" w:hAnsi="Arial"/>
                <w:sz w:val="18"/>
                <w:szCs w:val="18"/>
                <w:color w:val="auto"/>
              </w:rPr>
              <w:t>(35,556)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(1,245)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from investing activities</w:t>
            </w:r>
          </w:p>
        </w:tc>
        <w:tc>
          <w:tcPr>
            <w:tcW w:w="2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(36,187)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(37,432)</w:t>
            </w: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39" w:name="page40"/>
    <w:bookmarkEnd w:id="39"/>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w:t>
      </w:r>
    </w:p>
    <w:p>
      <w:pPr>
        <w:spacing w:after="0" w:line="152"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As of January 2, 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0" w:type="dxa"/>
            <w:vAlign w:val="bottom"/>
            <w:gridSpan w:val="6"/>
          </w:tcPr>
          <w:p>
            <w:pPr>
              <w:ind w:left="1360"/>
              <w:spacing w:after="0"/>
              <w:rPr>
                <w:sz w:val="20"/>
                <w:szCs w:val="20"/>
                <w:color w:val="auto"/>
              </w:rPr>
            </w:pPr>
            <w:r>
              <w:rPr>
                <w:rFonts w:ascii="Arial" w:cs="Arial" w:eastAsia="Arial" w:hAnsi="Arial"/>
                <w:sz w:val="14"/>
                <w:szCs w:val="14"/>
                <w:b w:val="1"/>
                <w:bCs w:val="1"/>
                <w:color w:val="auto"/>
              </w:rPr>
              <w:t>As Previously</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7"/>
              </w:rPr>
              <w:t>Reported</w:t>
            </w:r>
          </w:p>
        </w:tc>
        <w:tc>
          <w:tcPr>
            <w:tcW w:w="1520" w:type="dxa"/>
            <w:vAlign w:val="bottom"/>
            <w:gridSpan w:val="6"/>
          </w:tcPr>
          <w:p>
            <w:pPr>
              <w:ind w:left="3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Cash and equivalents</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(5,000)</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82,554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furniture and leasehold improvements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depreciation</w:t>
            </w:r>
          </w:p>
        </w:tc>
        <w:tc>
          <w:tcPr>
            <w:tcW w:w="2260" w:type="dxa"/>
            <w:vAlign w:val="bottom"/>
            <w:gridSpan w:val="5"/>
          </w:tcPr>
          <w:p>
            <w:pPr>
              <w:jc w:val="right"/>
              <w:ind w:right="40"/>
              <w:spacing w:after="0"/>
              <w:rPr>
                <w:sz w:val="20"/>
                <w:szCs w:val="20"/>
                <w:color w:val="auto"/>
              </w:rPr>
            </w:pPr>
            <w:r>
              <w:rPr>
                <w:rFonts w:ascii="Arial" w:cs="Arial" w:eastAsia="Arial" w:hAnsi="Arial"/>
                <w:sz w:val="18"/>
                <w:szCs w:val="18"/>
                <w:color w:val="auto"/>
              </w:rPr>
              <w:t>(179,908)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32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(180,363)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1,247,368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1,249,756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102,264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105,685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payroll and related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246,061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246,802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654,310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(1,774)</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rPr>
              <w:t>1,247,368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1,249,756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13"/>
          </w:tcPr>
          <w:p>
            <w:pPr>
              <w:jc w:val="right"/>
              <w:ind w:right="560"/>
              <w:spacing w:after="0"/>
              <w:rPr>
                <w:sz w:val="20"/>
                <w:szCs w:val="20"/>
                <w:color w:val="auto"/>
              </w:rPr>
            </w:pPr>
            <w:r>
              <w:rPr>
                <w:rFonts w:ascii="Arial" w:cs="Arial" w:eastAsia="Arial" w:hAnsi="Arial"/>
                <w:sz w:val="14"/>
                <w:szCs w:val="14"/>
                <w:b w:val="1"/>
                <w:bCs w:val="1"/>
                <w:color w:val="auto"/>
                <w:w w:val="98"/>
              </w:rPr>
              <w:t>For the 52 weeks ended December 28,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gridSpan w:val="5"/>
          </w:tcPr>
          <w:p>
            <w:pPr>
              <w:ind w:left="100"/>
              <w:spacing w:after="0"/>
              <w:rPr>
                <w:sz w:val="20"/>
                <w:szCs w:val="20"/>
                <w:color w:val="auto"/>
              </w:rPr>
            </w:pPr>
            <w:r>
              <w:rPr>
                <w:rFonts w:ascii="Arial" w:cs="Arial" w:eastAsia="Arial" w:hAnsi="Arial"/>
                <w:sz w:val="14"/>
                <w:szCs w:val="14"/>
                <w:b w:val="1"/>
                <w:bCs w:val="1"/>
                <w:color w:val="auto"/>
                <w:w w:val="99"/>
              </w:rPr>
              <w:t>As Previously</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Reported</w:t>
            </w:r>
          </w:p>
        </w:tc>
        <w:tc>
          <w:tcPr>
            <w:tcW w:w="360" w:type="dxa"/>
            <w:vAlign w:val="bottom"/>
          </w:tcPr>
          <w:p>
            <w:pPr>
              <w:spacing w:after="0"/>
              <w:rPr>
                <w:sz w:val="15"/>
                <w:szCs w:val="15"/>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Earnings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gridSpan w:val="3"/>
          </w:tcPr>
          <w:p>
            <w:pPr>
              <w:ind w:left="14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687,894</w:t>
            </w:r>
          </w:p>
        </w:tc>
        <w:tc>
          <w:tcPr>
            <w:tcW w:w="140" w:type="dxa"/>
            <w:vAlign w:val="bottom"/>
          </w:tcPr>
          <w:p>
            <w:pPr>
              <w:spacing w:after="0"/>
              <w:rPr>
                <w:sz w:val="18"/>
                <w:szCs w:val="18"/>
                <w:color w:val="auto"/>
              </w:rPr>
            </w:pPr>
          </w:p>
        </w:tc>
        <w:tc>
          <w:tcPr>
            <w:tcW w:w="6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$ 688,227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operations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(333)</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8,660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(333)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(206)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 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Earnings per share - diluted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(206)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2,936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cash from operating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30,593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cash from investing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(32,567)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(345)</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(32,912)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and 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cash from financing activities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(26,147)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3,921</w:t>
            </w:r>
          </w:p>
        </w:tc>
        <w:tc>
          <w:tcPr>
            <w:tcW w:w="32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(22,226)</w:t>
            </w:r>
          </w:p>
        </w:tc>
        <w:tc>
          <w:tcPr>
            <w:tcW w:w="0" w:type="dxa"/>
            <w:vAlign w:val="bottom"/>
          </w:tcPr>
          <w:p>
            <w:pPr>
              <w:spacing w:after="0"/>
              <w:rPr>
                <w:sz w:val="1"/>
                <w:szCs w:val="1"/>
                <w:color w:val="auto"/>
              </w:rPr>
            </w:pPr>
          </w:p>
        </w:tc>
      </w:tr>
    </w:tbl>
    <w:p>
      <w:pPr>
        <w:sectPr>
          <w:pgSz w:w="11900" w:h="16838" w:orient="portrait"/>
          <w:cols w:equalWidth="0" w:num="1">
            <w:col w:w="10280"/>
          </w:cols>
          <w:pgMar w:left="820" w:top="280" w:right="79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As of December 28, 2003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320" w:type="dxa"/>
            <w:vAlign w:val="bottom"/>
            <w:gridSpan w:val="4"/>
          </w:tcPr>
          <w:p>
            <w:pPr>
              <w:ind w:left="1360"/>
              <w:spacing w:after="0"/>
              <w:rPr>
                <w:sz w:val="20"/>
                <w:szCs w:val="20"/>
                <w:color w:val="auto"/>
              </w:rPr>
            </w:pPr>
            <w:r>
              <w:rPr>
                <w:rFonts w:ascii="Arial" w:cs="Arial" w:eastAsia="Arial" w:hAnsi="Arial"/>
                <w:sz w:val="14"/>
                <w:szCs w:val="14"/>
                <w:b w:val="1"/>
                <w:bCs w:val="1"/>
                <w:color w:val="auto"/>
              </w:rPr>
              <w:t>As Previously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Reported</w:t>
            </w: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711</w:t>
            </w:r>
          </w:p>
        </w:tc>
        <w:tc>
          <w:tcPr>
            <w:tcW w:w="4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Equipment, furniture and leasehold improvements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302,938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(172,359)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property and equipment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188,122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1,137,737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1,139,243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92,265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613,633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1,137,737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1,139,243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For the 52 weeks ended December 29,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60" w:type="dxa"/>
            <w:vAlign w:val="bottom"/>
            <w:tcBorders>
              <w:bottom w:val="single" w:sz="8" w:color="auto"/>
            </w:tcBorders>
            <w:gridSpan w:val="3"/>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320" w:type="dxa"/>
            <w:vAlign w:val="bottom"/>
            <w:gridSpan w:val="4"/>
          </w:tcPr>
          <w:p>
            <w:pPr>
              <w:ind w:left="1360"/>
              <w:spacing w:after="0"/>
              <w:rPr>
                <w:sz w:val="20"/>
                <w:szCs w:val="20"/>
                <w:color w:val="auto"/>
              </w:rPr>
            </w:pPr>
            <w:r>
              <w:rPr>
                <w:rFonts w:ascii="Arial" w:cs="Arial" w:eastAsia="Arial" w:hAnsi="Arial"/>
                <w:sz w:val="14"/>
                <w:szCs w:val="14"/>
                <w:b w:val="1"/>
                <w:bCs w:val="1"/>
                <w:color w:val="auto"/>
              </w:rPr>
              <w:t>As Previously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Reported</w:t>
            </w:r>
          </w:p>
        </w:tc>
        <w:tc>
          <w:tcPr>
            <w:tcW w:w="1660" w:type="dxa"/>
            <w:vAlign w:val="bottom"/>
            <w:gridSpan w:val="4"/>
          </w:tcPr>
          <w:p>
            <w:pPr>
              <w:ind w:left="4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Earnings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$662,334</w:t>
            </w:r>
          </w:p>
        </w:tc>
        <w:tc>
          <w:tcPr>
            <w:tcW w:w="16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$662,481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from operations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30,754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18,569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 basic</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Earnings per share - diluted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18,569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cash from operating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89,606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cash from investing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(36,851)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and 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Net cash from financing activities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(38,241)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(39,476)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As of December 31, 2001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Stockholders’ Equity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Earnings invested in the business</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661,483</w:t>
            </w:r>
          </w:p>
        </w:tc>
        <w:tc>
          <w:tcPr>
            <w:tcW w:w="16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660,925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Notes 1, 3, 7, 8, 10, 11, 12 and 14 to the Financial Statements and the Selected Quarterly Financial Data were impacted by the restatement.</w:t>
      </w:r>
    </w:p>
    <w:p>
      <w:pPr>
        <w:sectPr>
          <w:pgSz w:w="11900" w:h="16838" w:orient="portrait"/>
          <w:cols w:equalWidth="0" w:num="1">
            <w:col w:w="10860"/>
          </w:cols>
          <w:pgMar w:left="240" w:top="280" w:right="799" w:bottom="1440"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short-term investments consisted of trading securities of $5,000 and $0 and available-for-sale securities of $1,288 and $1,168 as of year-end 2004 and 2003, respectively. The Company did not hold federal, state or local government obligations as of year-end 2004 and 2003. The carrying amounts of short-term investments approximate market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$837, $961 and $1,531 for the fiscal years 2004, 2003 and 2002,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Statement of Financial Accounting Standards No. 142 “Goodwill and Other Intangible Assets” (“SFAS 142”) requires that goodwill be tested for impairment annually or if an event occurs or circumstances change that may reduce the fair value of the reporting unit below its book value. Should circumstances change or events occur to indicate that the fair market value of the reporting unit has fallen below its book value, management must then compare the estimated fair value of goodwill to book value. If the book value exceeds the estimated fair value, an impairment loss would be recognized in an amount equal to that excess. Such an impairment loss would be recognized as a non-cash charge to operating income. We completed our impairment test during the fourth quarter of the years ended January 2, 2005 and December 28, 2003 as required under SFAS 142 and determined that goodwill is not impaired.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fiscal years 2003 and 2004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Commercial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PTSA</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2002</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$24,933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$80,260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Adjustments to previously recorded purchase price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20"/>
              <w:spacing w:after="0"/>
              <w:rPr>
                <w:sz w:val="20"/>
                <w:szCs w:val="20"/>
                <w:color w:val="auto"/>
              </w:rPr>
            </w:pPr>
            <w:r>
              <w:rPr>
                <w:rFonts w:ascii="Arial" w:cs="Arial" w:eastAsia="Arial" w:hAnsi="Arial"/>
                <w:sz w:val="18"/>
                <w:szCs w:val="18"/>
                <w:color w:val="auto"/>
              </w:rPr>
              <w:t>(276)</w:t>
            </w: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24,657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Adjustments to previously recorded purchase price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4,684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2, 2005</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$24,657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$94,652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7106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06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2004 adjustment to previously recorded purchase price represents the final earn-out payment related to the acquisition of Business Trends, Singapore.</w:t>
      </w:r>
    </w:p>
    <w:p>
      <w:pPr>
        <w:sectPr>
          <w:pgSz w:w="11900" w:h="16838" w:orient="portrait"/>
          <w:cols w:equalWidth="0" w:num="1">
            <w:col w:w="11420"/>
          </w:cols>
          <w:pgMar w:left="240" w:top="280" w:right="239" w:bottom="1440" w:gutter="0" w:footer="0" w:header="0"/>
        </w:sectPr>
      </w:pPr>
    </w:p>
    <w:bookmarkStart w:id="42" w:name="page43"/>
    <w:bookmarkEnd w:id="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Borrowings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committed $125 million, unsecured multi-currency revolving credit facility used to fund working capital, acquisitions and for general corporate purposes. This credit facility expires in June, 2006. The interest rate applicable to borrowings under the line of credit is 60 basis points over LIBOR and may include additional costs if the funds are drawn from certain countries. LIBOR rates varied by currency and ranged from 2.0% to 3.2% at January 2, 2005. Borrowings under this arrangement were $33,300 and $37,700 at year-end 2004 and 2003, respectively. The carrying amounts of the Company’s borrowings under the lines of credit described above approximate their fair values.</w:t>
      </w:r>
    </w:p>
    <w:p>
      <w:pPr>
        <w:spacing w:after="0" w:line="12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has additional uncommitted one-year local credit facilities that total $29 million as of January 2, 2005. Borrowings under these lines totaled $1,000 and $1,500, at year-end 2004 and 2003, respectively. Interest rates varied by country and ranged from 2.4% to 8.2% at year-end 2004.</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interest payments and weighted average interest rates related to the short-term borrowings for 2004, 2003 and 2002 were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payments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3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Capitalization</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authorized capital stock of the Company is 100,000,000 shares of Class A common stock and 10,000,000 shares of Class B common stock. Class A shares have no voting rights and are not convertible. Class B shares have voting rights and are convertible into Class A shares on a share-for-share basis at any time. Both classes of stock have identical rights in the event of liquidation.</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2003, the Company repurchased 1,000,000 shares of Class A common stock in a negotiated transaction from the William R. Kelly Trust. The total value of the share repurchase was $26,037, or $26.04 per share, representing a 2.7% discount to the closing market price of Kelly Class A common stock on the business day prior to the purchase. In addition, the Company purchased 4,600 shares of its Class B common stock at a total cost of $112. During 2002, the Company repurchased 500,000 shares of its Class A common stock from the William R. Kelly Trust. The total cost of the share repurchase was $13,140 or $26.28 per share, representing a 2.7% discount to the closing market price of Kelly Class A common stock on the business day prior to the purchase.</w:t>
      </w:r>
    </w:p>
    <w:p>
      <w:pPr>
        <w:sectPr>
          <w:pgSz w:w="11900" w:h="16838" w:orient="portrait"/>
          <w:cols w:equalWidth="0" w:num="1">
            <w:col w:w="11400"/>
          </w:cols>
          <w:pgMar w:left="240" w:top="280" w:right="259"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43</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earnings per share computations for the fiscal years 2004, 2003 and 2002 were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4"/>
              </w:rPr>
              <w:t>(as restated)</w:t>
            </w: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w w:val="81"/>
              </w:rPr>
              <w:t>(as restated)</w:t>
            </w:r>
          </w:p>
        </w:tc>
        <w:tc>
          <w:tcPr>
            <w:tcW w:w="5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Determination of shares (thousands):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35,289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awards and other</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assuming dilution</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28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Earnings per share - assuming dilution</w:t>
            </w:r>
          </w:p>
        </w:tc>
        <w:tc>
          <w:tcPr>
            <w:tcW w:w="1280" w:type="dxa"/>
            <w:vAlign w:val="bottom"/>
            <w:gridSpan w:val="3"/>
          </w:tcPr>
          <w:p>
            <w:pPr>
              <w:ind w:left="1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-1506220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-1506220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-1506220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-1506220</wp:posOffset>
            </wp:positionV>
            <wp:extent cx="4584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-1506220</wp:posOffset>
            </wp:positionV>
            <wp:extent cx="4584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-374015</wp:posOffset>
            </wp:positionV>
            <wp:extent cx="4584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-374015</wp:posOffset>
            </wp:positionV>
            <wp:extent cx="4584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-374015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-374015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-374015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Stock options to purchase 496,000, 2,188,000 and 1,291,000 shares of common stock at a weighted average price per share of $33.00, $27.16 and $27.95 were outstanding during 2004, 2003 and 2002, respectively, but were not included in the computation of diluted earnings per share. The exercise prices of these options were greater than the average market price of the common shares and the options were therefore anti-dilutive.</w:t>
      </w:r>
    </w:p>
    <w:p>
      <w:pPr>
        <w:sectPr>
          <w:pgSz w:w="11900" w:h="16838" w:orient="portrait"/>
          <w:cols w:equalWidth="0" w:num="1">
            <w:col w:w="11400"/>
          </w:cols>
          <w:pgMar w:left="240" w:top="280" w:right="259" w:bottom="1440" w:gutter="0" w:footer="0" w:header="0"/>
        </w:sectPr>
      </w:pPr>
    </w:p>
    <w:bookmarkStart w:id="44" w:name="page45"/>
    <w:bookmarkEnd w:id="4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Supplemental Cash Flow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as disclosed in the statements of cash flows, for the fiscal years 2004, 2003 and 2002, respectively, were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(as restated)</w:t>
            </w:r>
          </w:p>
        </w:tc>
        <w:tc>
          <w:tcPr>
            <w:tcW w:w="12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restated)</w:t>
            </w:r>
          </w:p>
        </w:tc>
        <w:tc>
          <w:tcPr>
            <w:tcW w:w="1040" w:type="dxa"/>
            <w:vAlign w:val="bottom"/>
            <w:gridSpan w:val="4"/>
          </w:tcPr>
          <w:p>
            <w:pPr>
              <w:ind w:left="2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Increase in trade accounts receivable</w:t>
            </w:r>
          </w:p>
        </w:tc>
        <w:tc>
          <w:tcPr>
            <w:tcW w:w="132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(48,755)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(63,516)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(11,328)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Increase in accrued payroll and related taxes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accrued insurance</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Increase (decrease) in income and other taxes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changes in operating assets and liabilities</w:t>
            </w:r>
          </w:p>
        </w:tc>
        <w:tc>
          <w:tcPr>
            <w:tcW w:w="132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(23,625)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9032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9032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available-for-sale investments for 2004, 2003 and 2002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$ 745</w:t>
            </w:r>
          </w:p>
        </w:tc>
        <w:tc>
          <w:tcPr>
            <w:tcW w:w="2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Purchases</w:t>
            </w:r>
          </w:p>
        </w:tc>
        <w:tc>
          <w:tcPr>
            <w:tcW w:w="4060" w:type="dxa"/>
            <w:vAlign w:val="bottom"/>
            <w:gridSpan w:val="3"/>
          </w:tcPr>
          <w:p>
            <w:pPr>
              <w:jc w:val="right"/>
              <w:ind w:right="180"/>
              <w:spacing w:after="0"/>
              <w:rPr>
                <w:sz w:val="20"/>
                <w:szCs w:val="20"/>
                <w:color w:val="auto"/>
              </w:rPr>
            </w:pPr>
            <w:r>
              <w:rPr>
                <w:rFonts w:ascii="Arial" w:cs="Arial" w:eastAsia="Arial" w:hAnsi="Arial"/>
                <w:sz w:val="18"/>
                <w:szCs w:val="18"/>
                <w:color w:val="auto"/>
              </w:rPr>
              <w:t>(500)</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(4,397)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w:t>
            </w:r>
          </w:p>
        </w:tc>
        <w:tc>
          <w:tcPr>
            <w:tcW w:w="2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Benefits</w:t>
      </w:r>
    </w:p>
    <w:p>
      <w:pPr>
        <w:spacing w:after="0" w:line="83"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The Company provides a qualified defined contribution plan covering substantially all full-time employees, except officers and certain other management employees. Upon approval by the Board of Directors, a discretionary contribution based on eligible wages is funded annually. The plan also offers a savings feature with Company matching contributions. Assets of this plan are held by an independent trustee for the sole benefit of participating employees.</w:t>
      </w:r>
    </w:p>
    <w:p>
      <w:pPr>
        <w:spacing w:after="0" w:line="7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 nonqualified deferred compensation plan is provided for officers and certain other management employees. Upon approval by the Board of Directors, a discretionary contribution based on eligible wages is made annually. This plan also includes provisions for salary deferrals and Company matching contributions.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liability for the nonqualified plan was $56,500 and $50,500 as of year-end 2004 and 2003, respectively, and is included in current accrued payroll and related taxes and noncurrent accrued retirement benefits. In connection with the administration of this plan, the Company has purchased company-owned variable universal life insurance policies insuring the lives of certain officers and key employees. The cash surrender value of these policies, which is based primarily on investments in publicly traded mutual funds, was $54,600 and $49,500 at year-end 2004 and 2003, respectively. These investments are included in other assets and are restricted for the use of funding this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Amounts expensed for retirement benefits totaled $7,000 in 2004, $2,700 in 2003 and $6,500 in 2002.</w:t>
      </w:r>
    </w:p>
    <w:p>
      <w:pPr>
        <w:sectPr>
          <w:pgSz w:w="11900" w:h="16838" w:orient="portrait"/>
          <w:cols w:equalWidth="0" w:num="1">
            <w:col w:w="11360"/>
          </w:cols>
          <w:pgMar w:left="240" w:top="280" w:right="299" w:bottom="1440" w:gutter="0" w:footer="0" w:header="0"/>
        </w:sectPr>
      </w:pPr>
    </w:p>
    <w:bookmarkStart w:id="45" w:name="page46"/>
    <w:bookmarkEnd w:id="4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for the years 2004, 2003 and 2002 was taxed under the following jurisdictions: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1260" w:type="dxa"/>
            <w:vAlign w:val="bottom"/>
            <w:gridSpan w:val="8"/>
          </w:tcPr>
          <w:p>
            <w:pPr>
              <w:ind w:left="220"/>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31,670</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Foreign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(12,547)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(11,906)</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33,149</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was as follows:</w:t>
            </w:r>
          </w:p>
        </w:tc>
        <w:tc>
          <w:tcPr>
            <w:tcW w:w="2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0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84"/>
              </w:rPr>
              <w:t>(as restated)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tcPr>
          <w:p>
            <w:pPr>
              <w:ind w:left="440"/>
              <w:spacing w:after="0"/>
              <w:rPr>
                <w:sz w:val="20"/>
                <w:szCs w:val="20"/>
                <w:color w:val="auto"/>
              </w:rPr>
            </w:pPr>
            <w:r>
              <w:rPr>
                <w:rFonts w:ascii="Arial" w:cs="Arial" w:eastAsia="Arial" w:hAnsi="Arial"/>
                <w:sz w:val="18"/>
                <w:szCs w:val="18"/>
                <w:color w:val="auto"/>
              </w:rPr>
              <w:t>U.S. federal</w:t>
            </w: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10,495</w:t>
            </w:r>
          </w:p>
        </w:tc>
        <w:tc>
          <w:tcPr>
            <w:tcW w:w="260" w:type="dxa"/>
            <w:vAlign w:val="bottom"/>
          </w:tcPr>
          <w:p>
            <w:pPr>
              <w:spacing w:after="0"/>
              <w:rPr>
                <w:sz w:val="18"/>
                <w:szCs w:val="18"/>
                <w:color w:val="auto"/>
              </w:rPr>
            </w:pPr>
          </w:p>
        </w:tc>
        <w:tc>
          <w:tcPr>
            <w:tcW w:w="380" w:type="dxa"/>
            <w:vAlign w:val="bottom"/>
            <w:gridSpan w:val="4"/>
          </w:tcPr>
          <w:p>
            <w:pPr>
              <w:ind w:left="280"/>
              <w:spacing w:after="0"/>
              <w:rPr>
                <w:sz w:val="20"/>
                <w:szCs w:val="20"/>
                <w:color w:val="auto"/>
              </w:rPr>
            </w:pPr>
            <w:r>
              <w:rPr>
                <w:rFonts w:ascii="Arial" w:cs="Arial" w:eastAsia="Arial" w:hAnsi="Arial"/>
                <w:sz w:val="18"/>
                <w:szCs w:val="18"/>
                <w:color w:val="auto"/>
                <w:w w:val="79"/>
              </w:rPr>
              <w:t>$</w:t>
            </w: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(2,300)</w:t>
            </w:r>
          </w:p>
        </w:tc>
        <w:tc>
          <w:tcPr>
            <w:tcW w:w="360" w:type="dxa"/>
            <w:vAlign w:val="bottom"/>
            <w:gridSpan w:val="4"/>
          </w:tcPr>
          <w:p>
            <w:pPr>
              <w:ind w:left="2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state and local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tcPr>
          <w:p>
            <w:pPr>
              <w:ind w:left="440"/>
              <w:spacing w:after="0"/>
              <w:rPr>
                <w:sz w:val="20"/>
                <w:szCs w:val="20"/>
                <w:color w:val="auto"/>
              </w:rPr>
            </w:pPr>
            <w:r>
              <w:rPr>
                <w:rFonts w:ascii="Arial" w:cs="Arial" w:eastAsia="Arial" w:hAnsi="Arial"/>
                <w:sz w:val="18"/>
                <w:szCs w:val="18"/>
                <w:color w:val="auto"/>
              </w:rPr>
              <w:t>Foreign</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deferred</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(10,175)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260" w:type="dxa"/>
            <w:vAlign w:val="bottom"/>
            <w:shd w:val="clear" w:color="auto" w:fill="CCEEFF"/>
          </w:tcPr>
          <w:p>
            <w:pPr>
              <w:spacing w:after="0"/>
              <w:rPr>
                <w:sz w:val="18"/>
                <w:szCs w:val="18"/>
                <w:color w:val="auto"/>
              </w:rPr>
            </w:pPr>
          </w:p>
        </w:tc>
        <w:tc>
          <w:tcPr>
            <w:tcW w:w="3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32"/>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are comprised of the following:</w:t>
            </w:r>
          </w:p>
        </w:tc>
        <w:tc>
          <w:tcPr>
            <w:tcW w:w="2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60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8"/>
              </w:rPr>
              <w:t>(35,061)</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(28,173)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Employee compensation and benefit plans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38,099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Workers’ compensation</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Bad debt allowance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Loss carryforwards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25,320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 credit carryforwards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net</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6,178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80,257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Valuation allowance</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(25,975)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(24,878)</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54,282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54,015</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-5149215</wp:posOffset>
            </wp:positionV>
            <wp:extent cx="203644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3644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-3073400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-3073400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-3073400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-3073400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-3073400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-3073400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-3073400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-3073400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-3073400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280" w:right="799" w:bottom="1440" w:gutter="0" w:footer="0" w:header="0"/>
        </w:sectPr>
      </w:pPr>
    </w:p>
    <w:bookmarkStart w:id="46" w:name="page47"/>
    <w:bookmarkEnd w:id="4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differences between income taxes for financial reporting purposes and the U.S. statutory rate of 35%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1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020" w:type="dxa"/>
            <w:vAlign w:val="bottom"/>
            <w:gridSpan w:val="4"/>
          </w:tcPr>
          <w:p>
            <w:pPr>
              <w:ind w:left="198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(as restated)</w:t>
            </w:r>
          </w:p>
        </w:tc>
        <w:tc>
          <w:tcPr>
            <w:tcW w:w="2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based on statutory rate</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320" w:type="dxa"/>
            <w:vAlign w:val="bottom"/>
            <w:shd w:val="clear" w:color="auto" w:fill="CCEEFF"/>
          </w:tcPr>
          <w:p>
            <w:pPr>
              <w:spacing w:after="0"/>
              <w:rPr>
                <w:sz w:val="18"/>
                <w:szCs w:val="18"/>
                <w:color w:val="auto"/>
              </w:rPr>
            </w:pPr>
          </w:p>
        </w:tc>
        <w:tc>
          <w:tcPr>
            <w:tcW w:w="39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9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(5,851)</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Life insurance cash surrender value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50" w:type="dxa"/>
            <w:vAlign w:val="bottom"/>
            <w:gridSpan w:val="3"/>
          </w:tcPr>
          <w:p>
            <w:pPr>
              <w:jc w:val="right"/>
              <w:ind w:right="280"/>
              <w:spacing w:after="0"/>
              <w:rPr>
                <w:sz w:val="20"/>
                <w:szCs w:val="20"/>
                <w:color w:val="auto"/>
              </w:rPr>
            </w:pPr>
            <w:r>
              <w:rPr>
                <w:rFonts w:ascii="Arial" w:cs="Arial" w:eastAsia="Arial" w:hAnsi="Arial"/>
                <w:sz w:val="18"/>
                <w:szCs w:val="18"/>
                <w:color w:val="auto"/>
              </w:rPr>
              <w:t>(2,503)</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2,394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Foreign items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50" w:type="dxa"/>
            <w:vAlign w:val="bottom"/>
            <w:gridSpan w:val="3"/>
          </w:tcPr>
          <w:p>
            <w:pPr>
              <w:jc w:val="right"/>
              <w:ind w:right="280"/>
              <w:spacing w:after="0"/>
              <w:rPr>
                <w:sz w:val="20"/>
                <w:szCs w:val="20"/>
                <w:color w:val="auto"/>
              </w:rPr>
            </w:pPr>
            <w:r>
              <w:rPr>
                <w:rFonts w:ascii="Arial" w:cs="Arial" w:eastAsia="Arial" w:hAnsi="Arial"/>
                <w:sz w:val="18"/>
                <w:szCs w:val="18"/>
                <w:color w:val="auto"/>
              </w:rPr>
              <w:t>(5,452)</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2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prior years’ audit issues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Non-deductible items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320" w:type="dxa"/>
            <w:vAlign w:val="bottom"/>
            <w:shd w:val="clear" w:color="auto" w:fill="CCEEFF"/>
          </w:tcPr>
          <w:p>
            <w:pPr>
              <w:spacing w:after="0"/>
              <w:rPr>
                <w:sz w:val="18"/>
                <w:szCs w:val="18"/>
                <w:color w:val="auto"/>
              </w:rPr>
            </w:pPr>
          </w:p>
        </w:tc>
        <w:tc>
          <w:tcPr>
            <w:tcW w:w="39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9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-29210</wp:posOffset>
            </wp:positionV>
            <wp:extent cx="48450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2002, the Internal Revenue Service completed its examination of the Company’s federal income tax returns through 1999. The Company believes that adequate tax accruals have been provided for all years.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has U.S. general business credit carryforwards of $3,716 which expire in 2024. The net tax effect of foreign loss carryforwards at January 2, 2005 totaled $25,320 which expire as follows:</w:t>
      </w:r>
    </w:p>
    <w:p>
      <w:pPr>
        <w:spacing w:after="0" w:line="114"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0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2005-2007</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2008-2010</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2011-2014</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No expiration</w:t>
            </w:r>
          </w:p>
        </w:tc>
        <w:tc>
          <w:tcPr>
            <w:tcW w:w="3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has established a valuation allowance for loss carryforwards and future deductible items in certain foreign jurisdictions. The valuation allowance is determined in accordance with the provisions of Statement of Financial Accounting Standards No. 109 (SFAS 109), “Accounting for Income Taxes,” which requires an assessment of both negative and positive evidence when measuring the need for a valuation allowance. The Company’s foreign losses in recent periods in these jurisdictions represented sufficient negative evidence to require a valuation allowance under SFAS 109. The Company intends to maintain a valuation allowance until sufficient positive evidence exists to support realization of the foreign deferred tax assets.</w:t>
      </w:r>
    </w:p>
    <w:p>
      <w:pPr>
        <w:spacing w:after="0" w:line="1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Provision has not been made for U.S. or additional foreign income taxes on an estimated $18,620 of undistributed earnings of foreign subsidiaries, which are permanently reinvested. If such earnings were to be remitted, management believes that U.S. foreign tax credits would largely eliminate any such U.S. and foreign income taxes.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paid income taxes of $13,700 in 2004, $10,000 in 2003 and $10,300 in 2002. Deferred income taxes recorded in other comprehensive income as a result of foreign currency translation adjustments were a charge of $943 in 2004, $2,513 in 2003 and $1,021 in 2002. Deferred income taxes recorded in other comprehensive income as a result of unrealized gains on marketable securities classified as available-for-sale were a charge of $90 in 2004, $71 in 2003 and a benefit of $11 in 2002.</w:t>
      </w:r>
    </w:p>
    <w:p>
      <w:pPr>
        <w:sectPr>
          <w:pgSz w:w="11900" w:h="16838" w:orient="portrait"/>
          <w:cols w:equalWidth="0" w:num="1">
            <w:col w:w="11400"/>
          </w:cols>
          <w:pgMar w:left="240" w:top="280" w:right="259" w:bottom="1440" w:gutter="0" w:footer="0" w:header="0"/>
        </w:sectPr>
      </w:pPr>
    </w:p>
    <w:bookmarkStart w:id="47" w:name="page48"/>
    <w:bookmarkEnd w:id="4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Performance Incentive Plan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Performance Incentive Plan (the “Plan”), the Company may grant stock options (both incentive and nonqualified), stock appreciation rights (SARs), restricted awards and performance awards to key employees utilizing the Company’s Class A stock. Stock options may not be granted at prices less than the fair market value on the date of grant, nor for a term exceeding 10 years. The Plan provides that the maximum number of shares available for grants is 10 percent of the outstanding Class A stock, adjusted for Plan activity over the preceding five years. Shares available for future grants at year-end 2004, 2003 and 2002 were 818,000, 797,000 and 1,133,000, respectively.</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applies APB No. 25 and related Interpretations in accounting for the Plan. Accordingly, no compensation cost has been recognized for incentive and nonqualified stock options. The following table illustrates the effect on net income and earnings per share if the Company had applied the fair value recognition provisions of SFAS No. 123 to stock-based employee compensation.</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1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2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(as restated)</w:t>
            </w:r>
          </w:p>
        </w:tc>
        <w:tc>
          <w:tcPr>
            <w:tcW w:w="24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95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w:t>
            </w:r>
          </w:p>
        </w:tc>
        <w:tc>
          <w:tcPr>
            <w:tcW w:w="8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earnings, net of related tax effects</w:t>
            </w:r>
          </w:p>
        </w:tc>
        <w:tc>
          <w:tcPr>
            <w:tcW w:w="8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Deduct: Total stock-based employee compensation expense determined</w:t>
            </w:r>
          </w:p>
        </w:tc>
        <w:tc>
          <w:tcPr>
            <w:tcW w:w="8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fair value based method for all awards, net of related tax effects</w:t>
            </w:r>
          </w:p>
        </w:tc>
        <w:tc>
          <w:tcPr>
            <w:tcW w:w="84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8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95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19,091</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Basic-as reported</w:t>
            </w:r>
          </w:p>
        </w:tc>
        <w:tc>
          <w:tcPr>
            <w:tcW w:w="95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61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Basic-pro forma</w:t>
            </w:r>
          </w:p>
        </w:tc>
        <w:tc>
          <w:tcPr>
            <w:tcW w:w="95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Diluted-as reported</w:t>
            </w:r>
          </w:p>
        </w:tc>
        <w:tc>
          <w:tcPr>
            <w:tcW w:w="95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61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Diluted-pro forma</w:t>
            </w:r>
          </w:p>
        </w:tc>
        <w:tc>
          <w:tcPr>
            <w:tcW w:w="95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-850265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-850265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-850265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-850265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-850265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-850265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-850265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-850265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-850265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Since stock options generally become exercisable over several years and additional grants are likely to be made in future years, the pro forma amounts for compensation cost may not be indicative of the effects on net income and earnings per share for future years.</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fair value of each option included is estimated on the date of grant using the Black-Scholes option-pricing model with the following weighted average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4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lives</w:t>
            </w:r>
          </w:p>
        </w:tc>
        <w:tc>
          <w:tcPr>
            <w:tcW w:w="3940" w:type="dxa"/>
            <w:vAlign w:val="bottom"/>
            <w:gridSpan w:val="3"/>
          </w:tcPr>
          <w:p>
            <w:pPr>
              <w:jc w:val="center"/>
              <w:ind w:left="2836"/>
              <w:spacing w:after="0"/>
              <w:rPr>
                <w:sz w:val="20"/>
                <w:szCs w:val="20"/>
                <w:color w:val="auto"/>
              </w:rPr>
            </w:pPr>
            <w:r>
              <w:rPr>
                <w:rFonts w:ascii="Arial" w:cs="Arial" w:eastAsia="Arial" w:hAnsi="Arial"/>
                <w:sz w:val="18"/>
                <w:szCs w:val="18"/>
                <w:color w:val="auto"/>
                <w:w w:val="87"/>
              </w:rPr>
              <w:t>5 yrs</w:t>
            </w:r>
          </w:p>
        </w:tc>
        <w:tc>
          <w:tcPr>
            <w:tcW w:w="88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5 yrs</w:t>
            </w: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87"/>
              </w:rPr>
              <w:t>5 yrs</w:t>
            </w:r>
          </w:p>
        </w:tc>
        <w:tc>
          <w:tcPr>
            <w:tcW w:w="0" w:type="dxa"/>
            <w:vAlign w:val="bottom"/>
          </w:tcPr>
          <w:p>
            <w:pPr>
              <w:spacing w:after="0"/>
              <w:rPr>
                <w:sz w:val="1"/>
                <w:szCs w:val="1"/>
                <w:color w:val="auto"/>
              </w:rPr>
            </w:pPr>
          </w:p>
        </w:tc>
      </w:tr>
    </w:tbl>
    <w:p>
      <w:pPr>
        <w:sectPr>
          <w:pgSz w:w="11900" w:h="16838" w:orient="portrait"/>
          <w:cols w:equalWidth="0" w:num="1">
            <w:col w:w="11260"/>
          </w:cols>
          <w:pgMar w:left="240" w:top="280" w:right="399" w:bottom="1440" w:gutter="0" w:footer="0" w:header="0"/>
        </w:sectPr>
      </w:pPr>
    </w:p>
    <w:bookmarkStart w:id="48" w:name="page49"/>
    <w:bookmarkEnd w:id="4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48</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summary of the status of stock option grants under the Plan as of January 2, 2005, December 28, 2003 and December 29, 2002, and changes during the years ended on those dates, is presented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ind w:left="360"/>
              <w:spacing w:after="0"/>
              <w:rPr>
                <w:sz w:val="20"/>
                <w:szCs w:val="20"/>
                <w:color w:val="auto"/>
              </w:rPr>
            </w:pPr>
            <w:r>
              <w:rPr>
                <w:rFonts w:ascii="Arial" w:cs="Arial" w:eastAsia="Arial" w:hAnsi="Arial"/>
                <w:sz w:val="14"/>
                <w:szCs w:val="14"/>
                <w:b w:val="1"/>
                <w:bCs w:val="1"/>
                <w:color w:val="auto"/>
                <w:w w:val="84"/>
              </w:rPr>
              <w:t>Weighted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Options</w:t>
            </w:r>
          </w:p>
        </w:tc>
        <w:tc>
          <w:tcPr>
            <w:tcW w:w="3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2,370,000</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(40,000)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(123,000)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2,673,000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1,454,000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2,673,000</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(158,000)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(105,000)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3,042,000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1,830,000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3,042,000</w:t>
            </w:r>
          </w:p>
        </w:tc>
        <w:tc>
          <w:tcPr>
            <w:tcW w:w="40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(632,000)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(157,000)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2,574,000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1,751,000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 average fair value of options granted during the year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-3324225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-3324225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-3324225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-3324225</wp:posOffset>
            </wp:positionV>
            <wp:extent cx="53594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-1849120</wp:posOffset>
            </wp:positionV>
            <wp:extent cx="53594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-1849120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-1849120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-1849120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-374015</wp:posOffset>
            </wp:positionV>
            <wp:extent cx="53594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-374015</wp:posOffset>
            </wp:positionV>
            <wp:extent cx="53594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table above includes non-employee director shares of 82,000, 70,000 and 64,000 outstanding at year-end 2004, 2003 and 2002, respectively.</w:t>
      </w:r>
    </w:p>
    <w:p>
      <w:pPr>
        <w:sectPr>
          <w:pgSz w:w="11900" w:h="16838" w:orient="portrait"/>
          <w:cols w:equalWidth="0" w:num="1">
            <w:col w:w="11200"/>
          </w:cols>
          <w:pgMar w:left="240" w:top="280" w:right="459" w:bottom="1440" w:gutter="0" w:footer="0" w:header="0"/>
        </w:sectPr>
      </w:pPr>
    </w:p>
    <w:bookmarkStart w:id="49" w:name="page50"/>
    <w:bookmarkEnd w:id="4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49</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options outstanding at year-end 2004:</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Options Outstanding</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6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25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as of 1/02/05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Life (Years)</w:t>
            </w:r>
          </w:p>
        </w:tc>
        <w:tc>
          <w:tcPr>
            <w:tcW w:w="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center"/>
              <w:ind w:left="295"/>
              <w:spacing w:after="0"/>
              <w:rPr>
                <w:sz w:val="20"/>
                <w:szCs w:val="20"/>
                <w:color w:val="auto"/>
              </w:rPr>
            </w:pPr>
            <w:r>
              <w:rPr>
                <w:rFonts w:ascii="Arial" w:cs="Arial" w:eastAsia="Arial" w:hAnsi="Arial"/>
                <w:sz w:val="14"/>
                <w:szCs w:val="14"/>
                <w:b w:val="1"/>
                <w:bCs w:val="1"/>
                <w:color w:val="auto"/>
                <w:w w:val="86"/>
              </w:rPr>
              <w:t>as of 1/02/05</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$20.00-22.00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$22.01-24.00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530,000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411,000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$24.01-25.00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617,000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$25.01-28.00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509,000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25.76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$28.01-32.00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633,000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$32.01-36.50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243,000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242,000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$20.00-36.50</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2,574,000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Restricted awards are issued to certain key employees and are subject to forfeiture until the end of an established restriction period. Restricted awards totaling 99,400, 159,900 and 101,800 shares were granted under the Plan during 2004, 2003 and 2002, respectively. The weighted average grant date price of such awards was $28.06, $24.71 and $22.72 for 2004, 2003 and 2002, respectively. Restricted awards outstanding totaled 222,000, 269,000 and 228,000 shares at year-end 2004, 2003 and 2002, respectively, and have a weighted average remaining life of 1.8 years at January 2, 2005.</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compensation cost recognized for restricted awards was $2,800, $2,800 and $3,000 for 2004, 2003 and 2002, respectively. As of January 2, 2005, no SARs have been granted under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 Commitments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conducts its field operations primarily from leased facilities. The following is a schedule by fiscal year of future minimum commitments under operating leases as of January 2, 2005:</w:t>
      </w:r>
    </w:p>
    <w:p>
      <w:pPr>
        <w:spacing w:after="0" w:line="127"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540" w:type="dxa"/>
            <w:vAlign w:val="bottom"/>
          </w:tcPr>
          <w:p>
            <w:pPr>
              <w:ind w:left="420"/>
              <w:spacing w:after="0"/>
              <w:rPr>
                <w:sz w:val="20"/>
                <w:szCs w:val="20"/>
                <w:color w:val="auto"/>
              </w:rPr>
            </w:pPr>
            <w:r>
              <w:rPr>
                <w:rFonts w:ascii="Arial" w:cs="Arial" w:eastAsia="Arial" w:hAnsi="Arial"/>
                <w:sz w:val="18"/>
                <w:szCs w:val="18"/>
                <w:color w:val="auto"/>
              </w:rPr>
              <w:t>2005</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46,600</w:t>
            </w:r>
          </w:p>
        </w:tc>
      </w:tr>
      <w:tr>
        <w:trPr>
          <w:trHeight w:val="216"/>
        </w:trPr>
        <w:tc>
          <w:tcPr>
            <w:tcW w:w="2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r>
      <w:tr>
        <w:trPr>
          <w:trHeight w:val="216"/>
        </w:trPr>
        <w:tc>
          <w:tcPr>
            <w:tcW w:w="2540" w:type="dxa"/>
            <w:vAlign w:val="bottom"/>
          </w:tcPr>
          <w:p>
            <w:pPr>
              <w:ind w:left="420"/>
              <w:spacing w:after="0"/>
              <w:rPr>
                <w:sz w:val="20"/>
                <w:szCs w:val="20"/>
                <w:color w:val="auto"/>
              </w:rPr>
            </w:pPr>
            <w:r>
              <w:rPr>
                <w:rFonts w:ascii="Arial" w:cs="Arial" w:eastAsia="Arial" w:hAnsi="Arial"/>
                <w:sz w:val="18"/>
                <w:szCs w:val="18"/>
                <w:color w:val="auto"/>
              </w:rPr>
              <w:t>2007</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29,600</w:t>
            </w:r>
          </w:p>
        </w:tc>
      </w:tr>
      <w:tr>
        <w:trPr>
          <w:trHeight w:val="216"/>
        </w:trPr>
        <w:tc>
          <w:tcPr>
            <w:tcW w:w="2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r>
      <w:tr>
        <w:trPr>
          <w:trHeight w:val="216"/>
        </w:trPr>
        <w:tc>
          <w:tcPr>
            <w:tcW w:w="2540" w:type="dxa"/>
            <w:vAlign w:val="bottom"/>
          </w:tcPr>
          <w:p>
            <w:pPr>
              <w:ind w:left="420"/>
              <w:spacing w:after="0"/>
              <w:rPr>
                <w:sz w:val="20"/>
                <w:szCs w:val="20"/>
                <w:color w:val="auto"/>
              </w:rPr>
            </w:pPr>
            <w:r>
              <w:rPr>
                <w:rFonts w:ascii="Arial" w:cs="Arial" w:eastAsia="Arial" w:hAnsi="Arial"/>
                <w:sz w:val="18"/>
                <w:szCs w:val="18"/>
                <w:color w:val="auto"/>
              </w:rPr>
              <w:t>2009</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16"/>
        </w:trPr>
        <w:tc>
          <w:tcPr>
            <w:tcW w:w="2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Later years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r>
      <w:tr>
        <w:trPr>
          <w:trHeight w:val="108"/>
        </w:trPr>
        <w:tc>
          <w:tcPr>
            <w:tcW w:w="25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02"/>
        </w:trPr>
        <w:tc>
          <w:tcPr>
            <w:tcW w:w="2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2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164,700</w:t>
            </w:r>
          </w:p>
        </w:tc>
      </w:tr>
      <w:tr>
        <w:trPr>
          <w:trHeight w:val="129"/>
        </w:trPr>
        <w:tc>
          <w:tcPr>
            <w:tcW w:w="2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-27305</wp:posOffset>
            </wp:positionV>
            <wp:extent cx="4330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fiscal 2004, 2003 and 2002 amounted to $50,600, $49,200 and $46,900, respectively.</w:t>
      </w:r>
    </w:p>
    <w:p>
      <w:pPr>
        <w:sectPr>
          <w:pgSz w:w="11900" w:h="16838" w:orient="portrait"/>
          <w:cols w:equalWidth="0" w:num="1">
            <w:col w:w="11380"/>
          </w:cols>
          <w:pgMar w:left="240" w:top="280" w:right="279" w:bottom="1440" w:gutter="0" w:footer="0" w:header="0"/>
        </w:sectPr>
      </w:pPr>
    </w:p>
    <w:bookmarkStart w:id="50" w:name="page51"/>
    <w:bookmarkEnd w:id="5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is subject to various legal proceedings, claims and liabilities which arise in the ordinary course of its business. Litigation is subject to many uncertainties, the outcome of individual litigated matters is not predictable with assurance and it is reasonably possible that some of the foregoing matters could be decided unfavorably to the Company. Although the amount of the liability at year-end 2004 with respect to these matters cannot be ascertained, the Company believes that any resulting liability will not be material to the financial position of the Company at year-end 2004.</w:t>
      </w:r>
    </w:p>
    <w:p>
      <w:pPr>
        <w:spacing w:after="0" w:line="9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 has entered into unconditional purchase obligations totaling $26.4 million which it expects to utilize in the ordinary course of business. The Company has no material unrecorded commitments, losses, contingencies or guarantees associated with any related parties or unconsolidated entities.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Disclosures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reportable segments are: (1) U.S. Commercial Staffing, (2) Professional, Technical and Staffing Alternatives (PTSA) and (3) International. U.S. Commercial Staffing includes traditional office services, along with education, call center and light industrial staffing. PTSA includes various specialty staffing services ranging from finance and engineering to information, legal and health care. The staffing alternatives units include staff leasing, outsourcing, consulting, recruitment and vendor management services. International includes staffing services in the countries outside the U.S. listed below. The accounting policies of the segments are the same as those described in the “Summary of Significant Accounting Policies.”</w:t>
      </w:r>
    </w:p>
    <w:p>
      <w:pPr>
        <w:spacing w:after="0" w:line="10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During 2004, international operations were conducted in Australia, Belgium, Canada, Denmark, France, Germany, Hong Kong, Hungary, India, Indonesia, Ireland, Italy, Luxembourg, Malaysia, Mexico, the Netherlands, New Zealand, Norway, the Philippines, Puerto Rico, Russia, Singapore, Spain, Sweden, Switzerland, Thailand and the United Kingdom.</w:t>
      </w:r>
    </w:p>
    <w:p>
      <w:pPr>
        <w:spacing w:after="0" w:line="12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 following table presents information about the reported operating income of the Company for the fiscal years 2004, 2003 and 2002. Segment data presented is net of intersegment revenues. Asset information by reportable segment is not reported, since the Company does not produce such information internally.</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Commercial Staffing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2,327,910</w:t>
            </w:r>
          </w:p>
        </w:tc>
        <w:tc>
          <w:tcPr>
            <w:tcW w:w="2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2,131,529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2,104,622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PTSA</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1,033,427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1,622,714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1,298,624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1,081,953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4,984,051</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4,325,155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4,056,945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Commercial Staffing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119,368</w:t>
            </w:r>
          </w:p>
        </w:tc>
        <w:tc>
          <w:tcPr>
            <w:tcW w:w="2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93,207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PTSA</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International</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(160,317)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(136,797)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(144,149)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34,010</w:t>
            </w:r>
          </w:p>
        </w:tc>
        <w:tc>
          <w:tcPr>
            <w:tcW w:w="2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-1161415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-1161415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-1161415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-1161415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-1161415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-1161415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-1161415</wp:posOffset>
            </wp:positionV>
            <wp:extent cx="53594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53594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53594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bookmarkStart w:id="51" w:name="page52"/>
    <w:bookmarkEnd w:id="5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51</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Specified items included in segment earnings for the fiscal years 2004, 2003 and 2002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1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81"/>
              </w:rPr>
              <w:t>(as restated)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3"/>
              </w:rPr>
              <w:t>(as restated)</w:t>
            </w:r>
          </w:p>
        </w:tc>
        <w:tc>
          <w:tcPr>
            <w:tcW w:w="4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(as restated)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U.S. Commercial Staffing</w:t>
            </w:r>
          </w:p>
        </w:tc>
        <w:tc>
          <w:tcPr>
            <w:tcW w:w="11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10" w:type="dxa"/>
            <w:vAlign w:val="bottom"/>
          </w:tcPr>
          <w:p>
            <w:pPr>
              <w:jc w:val="right"/>
              <w:spacing w:after="0"/>
              <w:rPr>
                <w:sz w:val="20"/>
                <w:szCs w:val="20"/>
                <w:color w:val="auto"/>
              </w:rPr>
            </w:pPr>
            <w:r>
              <w:rPr>
                <w:rFonts w:ascii="Arial" w:cs="Arial" w:eastAsia="Arial" w:hAnsi="Arial"/>
                <w:sz w:val="18"/>
                <w:szCs w:val="18"/>
                <w:color w:val="auto"/>
              </w:rPr>
              <w:t>4,966</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PTSA</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8,632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Total</w:t>
            </w:r>
          </w:p>
        </w:tc>
        <w:tc>
          <w:tcPr>
            <w:tcW w:w="11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47,929</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61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U.S. Commercial Staffing</w:t>
            </w:r>
          </w:p>
        </w:tc>
        <w:tc>
          <w:tcPr>
            <w:tcW w:w="11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1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PTSA</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Total</w:t>
            </w:r>
          </w:p>
        </w:tc>
        <w:tc>
          <w:tcPr>
            <w:tcW w:w="11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61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U.S. Commercial Staffing</w:t>
            </w:r>
          </w:p>
        </w:tc>
        <w:tc>
          <w:tcPr>
            <w:tcW w:w="11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1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PTSA</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Total</w:t>
            </w:r>
          </w:p>
        </w:tc>
        <w:tc>
          <w:tcPr>
            <w:tcW w:w="11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132"/>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w w:val="88"/>
              </w:rPr>
              <w:t>A summary of long-lived assets information by geographic area as of the years ended 2004 and 2003 follows:</w:t>
            </w: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7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(as restated)</w:t>
            </w:r>
          </w:p>
        </w:tc>
        <w:tc>
          <w:tcPr>
            <w:tcW w:w="4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(as restated)</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Domestic</w:t>
            </w: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$ 190,631</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$ 196,350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84,525</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610" w:type="dxa"/>
            <w:vAlign w:val="bottom"/>
          </w:tcPr>
          <w:p>
            <w:pPr>
              <w:spacing w:after="0"/>
              <w:rPr>
                <w:sz w:val="9"/>
                <w:szCs w:val="9"/>
                <w:color w:val="auto"/>
              </w:rPr>
            </w:pPr>
          </w:p>
        </w:tc>
        <w:tc>
          <w:tcPr>
            <w:tcW w:w="580" w:type="dxa"/>
            <w:vAlign w:val="bottom"/>
            <w:gridSpan w:val="3"/>
          </w:tcPr>
          <w:p>
            <w:pPr>
              <w:spacing w:after="0"/>
              <w:rPr>
                <w:sz w:val="9"/>
                <w:szCs w:val="9"/>
                <w:color w:val="auto"/>
              </w:rPr>
            </w:pPr>
          </w:p>
        </w:tc>
        <w:tc>
          <w:tcPr>
            <w:tcW w:w="720" w:type="dxa"/>
            <w:vAlign w:val="bottom"/>
            <w:gridSpan w:val="2"/>
          </w:tcPr>
          <w:p>
            <w:pPr>
              <w:spacing w:after="0"/>
              <w:rPr>
                <w:sz w:val="9"/>
                <w:szCs w:val="9"/>
                <w:color w:val="auto"/>
              </w:rPr>
            </w:pPr>
          </w:p>
        </w:tc>
        <w:tc>
          <w:tcPr>
            <w:tcW w:w="1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$ 282,822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$ 280,875</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6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-3811270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-3811270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-3811270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-3811270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-3811270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-3811270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-3811270</wp:posOffset>
            </wp:positionV>
            <wp:extent cx="4584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-2679065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-2679065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-2679065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-2679065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-2679065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-2679065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-2679065</wp:posOffset>
            </wp:positionV>
            <wp:extent cx="4584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-1546860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-1546860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-1546860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-1546860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-1546860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-1546860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-1546860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-1546860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-1546860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Long-lived assets include property and equipment and intangible assets. No single foreign country’s long-lived assets were material to the consolidated long-lived assets of the Company.</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Foreign revenue is based on the country in which the legal subsidiary is domiciled. No single foreign country’s revenue was material to the consolidated revenues of the Company.</w:t>
      </w:r>
    </w:p>
    <w:p>
      <w:pPr>
        <w:sectPr>
          <w:pgSz w:w="11900" w:h="16838" w:orient="portrait"/>
          <w:cols w:equalWidth="0" w:num="1">
            <w:col w:w="11400"/>
          </w:cols>
          <w:pgMar w:left="240" w:top="280" w:right="259" w:bottom="1440" w:gutter="0" w:footer="0" w:header="0"/>
        </w:sectPr>
      </w:pPr>
    </w:p>
    <w:bookmarkStart w:id="52" w:name="page53"/>
    <w:bookmarkEnd w:id="5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Pronouncement</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2004, the FASB issued SFAS No. 123 (revised 2004), “Share-Based Payment” (“SFAS 123R”), which replaces SFAS No. 123, “Accounting for Stock-Based Compensation” (“SFAS 123”) and supercedes APB Opinion No. 25, “Accounting for Stock Issued to Employees.” SFAS 123R requires all share-based payments to employees, including grants of employee stock options, to be recognized in the financial statements based on their fair values, beginning with the first interim or annual period after June 15, 2005, with early adoption encouraged. The pro forma disclosures previously permitted under SFAS 123 no longer will be an alternative to financial statement recognition. We are required to adopt SFAS 123R in our third quarter of fiscal 2005, beginning July 4, 2005. Under SFAS 123R, we must determine the appropriate fair value model to be used for valuing share-based payments, the amortization method for compensation cost and the transition method to be used at date of adoption. The transition methods include prospective and retroactive adoption alternatives. Under the retroactive alternatives,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have not yet determined the method of adoption or the effect of adopting SFAS 123R, and we have not determined whether the adoption will result in amounts that are similar to the current pro forma disclosures under SFAS 123.</w:t>
      </w:r>
    </w:p>
    <w:p>
      <w:pPr>
        <w:sectPr>
          <w:pgSz w:w="11900" w:h="16838" w:orient="portrait"/>
          <w:cols w:equalWidth="0" w:num="1">
            <w:col w:w="11420"/>
          </w:cols>
          <w:pgMar w:left="240" w:top="280" w:right="239" w:bottom="1440" w:gutter="0" w:footer="0" w:header="0"/>
        </w:sectPr>
      </w:pPr>
    </w:p>
    <w:bookmarkStart w:id="53" w:name="page54"/>
    <w:bookmarkEnd w:id="5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operating results for each of the quarters in the 2004 and 2003 fiscal years have been restated to give effect to the restatement in Note 2. The following tables show quarterly information as restated and as previously reported: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2004</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500" w:type="dxa"/>
            <w:vAlign w:val="bottom"/>
            <w:gridSpan w:val="3"/>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Second</w:t>
            </w:r>
          </w:p>
        </w:tc>
        <w:tc>
          <w:tcPr>
            <w:tcW w:w="22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Third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Fourth</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$ 1,158,811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$ 1,224,464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$ 1,244,854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$ 1,355,922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$ 4,984,051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183,356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198,082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202,368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213,960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797,766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190,037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8,094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Diluted earnings per share (1)</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2003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Restated:</w:t>
            </w: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500" w:type="dxa"/>
            <w:vAlign w:val="bottom"/>
            <w:gridSpan w:val="3"/>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Second</w:t>
            </w:r>
          </w:p>
        </w:tc>
        <w:tc>
          <w:tcPr>
            <w:tcW w:w="22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Third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Fourth</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0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$ 1,003,397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$ 1,059,517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$ 1,097,268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$ 1,164,973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$ 4,325,155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165,552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172,404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172,607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186,068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169,998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Diluted earnings per share (1)</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Earnings per share amounts for each quarter are required to be computed independently and may not equal the amounts computed for the total year.</w:t>
      </w:r>
    </w:p>
    <w:p>
      <w:pPr>
        <w:sectPr>
          <w:pgSz w:w="11900" w:h="16838" w:orient="portrait"/>
          <w:cols w:equalWidth="0" w:num="1">
            <w:col w:w="11420"/>
          </w:cols>
          <w:pgMar w:left="240" w:top="280" w:right="239" w:bottom="1440" w:gutter="0" w:footer="0" w:header="0"/>
        </w:sectPr>
      </w:pPr>
    </w:p>
    <w:bookmarkStart w:id="54" w:name="page55"/>
    <w:bookmarkEnd w:id="5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54</w:t>
      </w:r>
    </w:p>
    <w:p>
      <w:pPr>
        <w:spacing w:after="0" w:line="1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2004</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Previously Reported:</w:t>
            </w: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500" w:type="dxa"/>
            <w:vAlign w:val="bottom"/>
            <w:gridSpan w:val="3"/>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Second</w:t>
            </w:r>
          </w:p>
        </w:tc>
        <w:tc>
          <w:tcPr>
            <w:tcW w:w="22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Third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Fourth</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$ 1,158,811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$ 1,224,464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$ 1,244,854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$ 1,355,922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$ 4,984,051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183,356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198,082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202,368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214,700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798,506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189,908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1,065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7,372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Diluted earnings per share (1)</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Fiscal Year 2003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Previously Reported:</w:t>
            </w: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500" w:type="dxa"/>
            <w:vAlign w:val="bottom"/>
            <w:gridSpan w:val="3"/>
            <w:vMerge w:val="continue"/>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Second</w:t>
            </w:r>
          </w:p>
        </w:tc>
        <w:tc>
          <w:tcPr>
            <w:tcW w:w="220" w:type="dxa"/>
            <w:vAlign w:val="bottom"/>
          </w:tcPr>
          <w:p>
            <w:pPr>
              <w:spacing w:after="0"/>
              <w:rPr>
                <w:sz w:val="9"/>
                <w:szCs w:val="9"/>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Third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Fourth</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0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$ 1,003,397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$ 1,059,517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$ 1,097,268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$ 1,164,973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$ 4,325,155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jc w:val="right"/>
              <w:spacing w:after="0"/>
              <w:rPr>
                <w:sz w:val="20"/>
                <w:szCs w:val="20"/>
                <w:color w:val="auto"/>
              </w:rPr>
            </w:pPr>
            <w:r>
              <w:rPr>
                <w:rFonts w:ascii="Arial" w:cs="Arial" w:eastAsia="Arial" w:hAnsi="Arial"/>
                <w:sz w:val="18"/>
                <w:szCs w:val="18"/>
                <w:color w:val="auto"/>
              </w:rPr>
              <w:t>165,552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172,404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172,607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186,068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696,631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169,898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Diluted earnings per share (1)</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Earnings per share amounts for each quarter are required to be computed independently and may not equal the amounts computed for the total year.</w:t>
      </w:r>
    </w:p>
    <w:p>
      <w:pPr>
        <w:sectPr>
          <w:pgSz w:w="11900" w:h="16838" w:orient="portrait"/>
          <w:cols w:equalWidth="0" w:num="1">
            <w:col w:w="11420"/>
          </w:cols>
          <w:pgMar w:left="240" w:top="2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55</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RESERVES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Charged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to costs</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Deductions</w:t>
            </w:r>
          </w:p>
        </w:tc>
        <w:tc>
          <w:tcPr>
            <w:tcW w:w="1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beginning</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exchange</w:t>
            </w:r>
          </w:p>
        </w:tc>
        <w:tc>
          <w:tcPr>
            <w:tcW w:w="2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at 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of year</w:t>
            </w:r>
          </w:p>
        </w:tc>
        <w:tc>
          <w:tcPr>
            <w:tcW w:w="2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79"/>
              </w:rPr>
              <w:t>effects</w:t>
            </w:r>
          </w:p>
        </w:tc>
        <w:tc>
          <w:tcPr>
            <w:tcW w:w="2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reserves</w:t>
            </w:r>
          </w:p>
        </w:tc>
        <w:tc>
          <w:tcPr>
            <w:tcW w:w="12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Description</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00" w:type="dxa"/>
            <w:vAlign w:val="bottom"/>
            <w:gridSpan w:val="5"/>
          </w:tcPr>
          <w:p>
            <w:pPr>
              <w:spacing w:after="0"/>
              <w:rPr>
                <w:sz w:val="20"/>
                <w:szCs w:val="20"/>
                <w:color w:val="auto"/>
              </w:rPr>
            </w:pPr>
            <w:r>
              <w:rPr>
                <w:rFonts w:ascii="Arial" w:cs="Arial" w:eastAsia="Arial" w:hAnsi="Arial"/>
                <w:sz w:val="18"/>
                <w:szCs w:val="18"/>
                <w:color w:val="auto"/>
              </w:rPr>
              <w:t>Fifty-three weeks ended January 2, 2005:</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Reserve deducted in the balance sheet from the assets to which it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applies -</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80" w:type="dxa"/>
            <w:vAlign w:val="bottom"/>
            <w:gridSpan w:val="3"/>
          </w:tcPr>
          <w:p>
            <w:pPr>
              <w:ind w:left="60"/>
              <w:spacing w:after="0"/>
              <w:rPr>
                <w:sz w:val="20"/>
                <w:szCs w:val="20"/>
                <w:color w:val="auto"/>
              </w:rPr>
            </w:pPr>
            <w:r>
              <w:rPr>
                <w:rFonts w:ascii="Arial" w:cs="Arial" w:eastAsia="Arial" w:hAnsi="Arial"/>
                <w:sz w:val="18"/>
                <w:szCs w:val="18"/>
                <w:color w:val="auto"/>
              </w:rPr>
              <w:t>Allowance for doubtful accounts</w:t>
            </w: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6,931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0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(5,911)</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$16,228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Deferred tax assets valuation allowance</w:t>
            </w:r>
          </w:p>
        </w:tc>
        <w:tc>
          <w:tcPr>
            <w:tcW w:w="140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2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1"/>
              </w:rPr>
              <w:t>(3,226)</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$25,975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300" w:type="dxa"/>
            <w:vAlign w:val="bottom"/>
            <w:gridSpan w:val="5"/>
          </w:tcPr>
          <w:p>
            <w:pPr>
              <w:spacing w:after="0"/>
              <w:rPr>
                <w:sz w:val="20"/>
                <w:szCs w:val="20"/>
                <w:color w:val="auto"/>
              </w:rPr>
            </w:pPr>
            <w:r>
              <w:rPr>
                <w:rFonts w:ascii="Arial" w:cs="Arial" w:eastAsia="Arial" w:hAnsi="Arial"/>
                <w:sz w:val="18"/>
                <w:szCs w:val="18"/>
                <w:color w:val="auto"/>
              </w:rPr>
              <w:t>Fifty-two weeks ended December 28, 2003:</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Reserve deducted in the balance sheet from the assets to which it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applies -</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80" w:type="dxa"/>
            <w:vAlign w:val="bottom"/>
            <w:gridSpan w:val="3"/>
          </w:tcPr>
          <w:p>
            <w:pPr>
              <w:ind w:left="60"/>
              <w:spacing w:after="0"/>
              <w:rPr>
                <w:sz w:val="20"/>
                <w:szCs w:val="20"/>
                <w:color w:val="auto"/>
              </w:rPr>
            </w:pPr>
            <w:r>
              <w:rPr>
                <w:rFonts w:ascii="Arial" w:cs="Arial" w:eastAsia="Arial" w:hAnsi="Arial"/>
                <w:sz w:val="18"/>
                <w:szCs w:val="18"/>
                <w:color w:val="auto"/>
              </w:rPr>
              <w:t>Allowance for doubtful accounts</w:t>
            </w: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10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(6,185)</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$14,983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Deferred tax assets valuation allowance</w:t>
            </w:r>
          </w:p>
        </w:tc>
        <w:tc>
          <w:tcPr>
            <w:tcW w:w="140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64"/>
              <w:spacing w:after="0"/>
              <w:rPr>
                <w:sz w:val="20"/>
                <w:szCs w:val="20"/>
                <w:color w:val="auto"/>
              </w:rPr>
            </w:pPr>
            <w:r>
              <w:rPr>
                <w:rFonts w:ascii="Arial" w:cs="Arial" w:eastAsia="Arial" w:hAnsi="Arial"/>
                <w:sz w:val="18"/>
                <w:szCs w:val="18"/>
                <w:color w:val="auto"/>
                <w:w w:val="88"/>
              </w:rPr>
              <w:t>—</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$24,878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300" w:type="dxa"/>
            <w:vAlign w:val="bottom"/>
            <w:gridSpan w:val="5"/>
          </w:tcPr>
          <w:p>
            <w:pPr>
              <w:spacing w:after="0"/>
              <w:rPr>
                <w:sz w:val="20"/>
                <w:szCs w:val="20"/>
                <w:color w:val="auto"/>
              </w:rPr>
            </w:pPr>
            <w:r>
              <w:rPr>
                <w:rFonts w:ascii="Arial" w:cs="Arial" w:eastAsia="Arial" w:hAnsi="Arial"/>
                <w:sz w:val="18"/>
                <w:szCs w:val="18"/>
                <w:color w:val="auto"/>
              </w:rPr>
              <w:t>Fifty-two weeks ended December 29, 2002:</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Reserve deducted in the balance sheet from the assets to which it</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applies -</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80" w:type="dxa"/>
            <w:vAlign w:val="bottom"/>
            <w:gridSpan w:val="3"/>
          </w:tcPr>
          <w:p>
            <w:pPr>
              <w:ind w:left="60"/>
              <w:spacing w:after="0"/>
              <w:rPr>
                <w:sz w:val="20"/>
                <w:szCs w:val="20"/>
                <w:color w:val="auto"/>
              </w:rPr>
            </w:pPr>
            <w:r>
              <w:rPr>
                <w:rFonts w:ascii="Arial" w:cs="Arial" w:eastAsia="Arial" w:hAnsi="Arial"/>
                <w:sz w:val="18"/>
                <w:szCs w:val="18"/>
                <w:color w:val="auto"/>
              </w:rPr>
              <w:t>Allowance for doubtful accounts</w:t>
            </w:r>
          </w:p>
        </w:tc>
        <w:tc>
          <w:tcPr>
            <w:tcW w:w="1400" w:type="dxa"/>
            <w:vAlign w:val="bottom"/>
            <w:gridSpan w:val="2"/>
          </w:tcPr>
          <w:p>
            <w:pPr>
              <w:ind w:left="13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12,105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02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(7,905)</w:t>
            </w:r>
          </w:p>
        </w:tc>
        <w:tc>
          <w:tcPr>
            <w:tcW w:w="720" w:type="dxa"/>
            <w:vAlign w:val="bottom"/>
            <w:gridSpan w:val="3"/>
          </w:tcPr>
          <w:p>
            <w:pPr>
              <w:jc w:val="center"/>
              <w:ind w:left="12"/>
              <w:spacing w:after="0"/>
              <w:rPr>
                <w:sz w:val="20"/>
                <w:szCs w:val="20"/>
                <w:color w:val="auto"/>
              </w:rPr>
            </w:pPr>
            <w:r>
              <w:rPr>
                <w:rFonts w:ascii="Arial" w:cs="Arial" w:eastAsia="Arial" w:hAnsi="Arial"/>
                <w:sz w:val="18"/>
                <w:szCs w:val="18"/>
                <w:color w:val="auto"/>
                <w:w w:val="89"/>
              </w:rPr>
              <w:t>$12,533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Deferred tax assets valuation allowance</w:t>
            </w:r>
          </w:p>
        </w:tc>
        <w:tc>
          <w:tcPr>
            <w:tcW w:w="1400" w:type="dxa"/>
            <w:vAlign w:val="bottom"/>
            <w:gridSpan w:val="2"/>
            <w:shd w:val="clear" w:color="auto" w:fill="CCEEFF"/>
          </w:tcPr>
          <w:p>
            <w:pPr>
              <w:ind w:left="13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64"/>
              <w:spacing w:after="0"/>
              <w:rPr>
                <w:sz w:val="20"/>
                <w:szCs w:val="20"/>
                <w:color w:val="auto"/>
              </w:rPr>
            </w:pPr>
            <w:r>
              <w:rPr>
                <w:rFonts w:ascii="Arial" w:cs="Arial" w:eastAsia="Arial" w:hAnsi="Arial"/>
                <w:sz w:val="18"/>
                <w:szCs w:val="18"/>
                <w:color w:val="auto"/>
                <w:w w:val="88"/>
              </w:rPr>
              <w:t>—</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$11,088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40" w:type="dxa"/>
            <w:vAlign w:val="bottom"/>
            <w:gridSpan w:val="3"/>
          </w:tcPr>
          <w:p>
            <w:pPr>
              <w:jc w:val="center"/>
              <w:ind w:left="3816"/>
              <w:spacing w:after="0"/>
              <w:rPr>
                <w:sz w:val="20"/>
                <w:szCs w:val="20"/>
                <w:color w:val="auto"/>
              </w:rPr>
            </w:pPr>
            <w:r>
              <w:rPr>
                <w:rFonts w:ascii="Arial" w:cs="Arial" w:eastAsia="Arial" w:hAnsi="Arial"/>
                <w:sz w:val="18"/>
                <w:szCs w:val="18"/>
                <w:color w:val="auto"/>
                <w:w w:val="89"/>
              </w:rPr>
              <w:t>56</w:t>
            </w:r>
          </w:p>
        </w:tc>
        <w:tc>
          <w:tcPr>
            <w:tcW w:w="43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0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rPr>
              <w:t>INDEX TO EXHIBITS</w:t>
            </w:r>
          </w:p>
        </w:tc>
        <w:tc>
          <w:tcPr>
            <w:tcW w:w="5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8"/>
              </w:rPr>
              <w:t>REQUIRED BY ITEM 601,</w:t>
            </w:r>
          </w:p>
        </w:tc>
        <w:tc>
          <w:tcPr>
            <w:tcW w:w="5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0" w:type="dxa"/>
            <w:vAlign w:val="bottom"/>
            <w:gridSpan w:val="3"/>
          </w:tcPr>
          <w:p>
            <w:pPr>
              <w:jc w:val="center"/>
              <w:ind w:right="1080"/>
              <w:spacing w:after="0" w:line="190" w:lineRule="exact"/>
              <w:rPr>
                <w:sz w:val="20"/>
                <w:szCs w:val="20"/>
                <w:color w:val="auto"/>
              </w:rPr>
            </w:pPr>
            <w:r>
              <w:rPr>
                <w:rFonts w:ascii="Arial" w:cs="Arial" w:eastAsia="Arial" w:hAnsi="Arial"/>
                <w:sz w:val="18"/>
                <w:szCs w:val="18"/>
                <w:b w:val="1"/>
                <w:bCs w:val="1"/>
                <w:color w:val="auto"/>
                <w:w w:val="98"/>
              </w:rPr>
              <w:t>REGULATION S-K</w:t>
            </w:r>
          </w:p>
        </w:tc>
        <w:tc>
          <w:tcPr>
            <w:tcW w:w="560" w:type="dxa"/>
            <w:vAlign w:val="bottom"/>
          </w:tcPr>
          <w:p>
            <w:pPr>
              <w:spacing w:after="0"/>
              <w:rPr>
                <w:sz w:val="16"/>
                <w:szCs w:val="16"/>
                <w:color w:val="auto"/>
              </w:rPr>
            </w:pPr>
          </w:p>
        </w:tc>
      </w:tr>
      <w:tr>
        <w:trPr>
          <w:trHeight w:val="307"/>
        </w:trPr>
        <w:tc>
          <w:tcPr>
            <w:tcW w:w="1020" w:type="dxa"/>
            <w:vAlign w:val="bottom"/>
            <w:gridSpan w:val="3"/>
          </w:tcPr>
          <w:p>
            <w:pPr>
              <w:jc w:val="right"/>
              <w:ind w:right="640"/>
              <w:spacing w:after="0"/>
              <w:rPr>
                <w:sz w:val="20"/>
                <w:szCs w:val="20"/>
                <w:color w:val="auto"/>
              </w:rPr>
            </w:pPr>
            <w:r>
              <w:rPr>
                <w:rFonts w:ascii="Arial" w:cs="Arial" w:eastAsia="Arial" w:hAnsi="Arial"/>
                <w:sz w:val="14"/>
                <w:szCs w:val="14"/>
                <w:color w:val="auto"/>
                <w:w w:val="85"/>
              </w:rPr>
              <w:t>Exhibit</w:t>
            </w:r>
          </w:p>
        </w:tc>
        <w:tc>
          <w:tcPr>
            <w:tcW w:w="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4"/>
                <w:szCs w:val="14"/>
                <w:color w:val="auto"/>
              </w:rPr>
              <w:t>No.</w:t>
            </w:r>
          </w:p>
        </w:tc>
        <w:tc>
          <w:tcPr>
            <w:tcW w:w="9820" w:type="dxa"/>
            <w:vAlign w:val="bottom"/>
            <w:gridSpan w:val="4"/>
          </w:tcPr>
          <w:p>
            <w:pPr>
              <w:spacing w:after="0"/>
              <w:rPr>
                <w:sz w:val="20"/>
                <w:szCs w:val="20"/>
                <w:color w:val="auto"/>
              </w:rPr>
            </w:pPr>
            <w:r>
              <w:rPr>
                <w:rFonts w:ascii="Arial" w:cs="Arial" w:eastAsia="Arial" w:hAnsi="Arial"/>
                <w:sz w:val="14"/>
                <w:szCs w:val="14"/>
                <w:color w:val="auto"/>
              </w:rPr>
              <w:t>Description</w:t>
            </w:r>
          </w:p>
        </w:tc>
        <w:tc>
          <w:tcPr>
            <w:tcW w:w="560" w:type="dxa"/>
            <w:vAlign w:val="bottom"/>
          </w:tcPr>
          <w:p>
            <w:pPr>
              <w:spacing w:after="0"/>
              <w:rPr>
                <w:sz w:val="20"/>
                <w:szCs w:val="20"/>
                <w:color w:val="auto"/>
              </w:rPr>
            </w:pPr>
            <w:r>
              <w:rPr>
                <w:rFonts w:ascii="Arial" w:cs="Arial" w:eastAsia="Arial" w:hAnsi="Arial"/>
                <w:sz w:val="14"/>
                <w:szCs w:val="14"/>
                <w:color w:val="auto"/>
                <w:w w:val="84"/>
              </w:rPr>
              <w:t>Document</w:t>
            </w: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309"/>
        </w:trPr>
        <w:tc>
          <w:tcPr>
            <w:tcW w:w="1020" w:type="dxa"/>
            <w:vAlign w:val="bottom"/>
            <w:gridSpan w:val="3"/>
          </w:tcPr>
          <w:p>
            <w:pPr>
              <w:jc w:val="right"/>
              <w:ind w:right="620"/>
              <w:spacing w:after="0"/>
              <w:rPr>
                <w:sz w:val="20"/>
                <w:szCs w:val="20"/>
                <w:color w:val="auto"/>
              </w:rPr>
            </w:pPr>
            <w:r>
              <w:rPr>
                <w:rFonts w:ascii="Arial" w:cs="Arial" w:eastAsia="Arial" w:hAnsi="Arial"/>
                <w:sz w:val="18"/>
                <w:szCs w:val="18"/>
                <w:color w:val="auto"/>
              </w:rPr>
              <w:t>3.1</w:t>
            </w:r>
          </w:p>
        </w:tc>
        <w:tc>
          <w:tcPr>
            <w:tcW w:w="9820" w:type="dxa"/>
            <w:vAlign w:val="bottom"/>
            <w:gridSpan w:val="4"/>
          </w:tcPr>
          <w:p>
            <w:pPr>
              <w:spacing w:after="0"/>
              <w:rPr>
                <w:sz w:val="20"/>
                <w:szCs w:val="20"/>
                <w:color w:val="auto"/>
              </w:rPr>
            </w:pPr>
            <w:r>
              <w:rPr>
                <w:rFonts w:ascii="Arial" w:cs="Arial" w:eastAsia="Arial" w:hAnsi="Arial"/>
                <w:sz w:val="18"/>
                <w:szCs w:val="18"/>
                <w:color w:val="auto"/>
                <w:w w:val="95"/>
              </w:rPr>
              <w:t>Restated Certificate of Incorporation. (Reference is made to Exhibit 3.1 to the Form 10-K for the year ended December 28, 2003,</w:t>
            </w:r>
          </w:p>
        </w:tc>
        <w:tc>
          <w:tcPr>
            <w:tcW w:w="5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filed with the Commission in February, 2004, which is incorporated herein by reference.)</w:t>
            </w:r>
          </w:p>
        </w:tc>
        <w:tc>
          <w:tcPr>
            <w:tcW w:w="560" w:type="dxa"/>
            <w:vAlign w:val="bottom"/>
          </w:tcPr>
          <w:p>
            <w:pPr>
              <w:spacing w:after="0"/>
              <w:rPr>
                <w:sz w:val="19"/>
                <w:szCs w:val="19"/>
                <w:color w:val="auto"/>
              </w:rPr>
            </w:pPr>
          </w:p>
        </w:tc>
      </w:tr>
      <w:tr>
        <w:trPr>
          <w:trHeight w:val="318"/>
        </w:trPr>
        <w:tc>
          <w:tcPr>
            <w:tcW w:w="1020" w:type="dxa"/>
            <w:vAlign w:val="bottom"/>
            <w:gridSpan w:val="3"/>
          </w:tcPr>
          <w:p>
            <w:pPr>
              <w:jc w:val="right"/>
              <w:ind w:right="620"/>
              <w:spacing w:after="0"/>
              <w:rPr>
                <w:sz w:val="20"/>
                <w:szCs w:val="20"/>
                <w:color w:val="auto"/>
              </w:rPr>
            </w:pPr>
            <w:r>
              <w:rPr>
                <w:rFonts w:ascii="Arial" w:cs="Arial" w:eastAsia="Arial" w:hAnsi="Arial"/>
                <w:sz w:val="18"/>
                <w:szCs w:val="18"/>
                <w:color w:val="auto"/>
              </w:rPr>
              <w:t>3.2</w:t>
            </w:r>
          </w:p>
        </w:tc>
        <w:tc>
          <w:tcPr>
            <w:tcW w:w="9820" w:type="dxa"/>
            <w:vAlign w:val="bottom"/>
            <w:gridSpan w:val="4"/>
          </w:tcPr>
          <w:p>
            <w:pPr>
              <w:spacing w:after="0"/>
              <w:rPr>
                <w:sz w:val="20"/>
                <w:szCs w:val="20"/>
                <w:color w:val="auto"/>
              </w:rPr>
            </w:pPr>
            <w:r>
              <w:rPr>
                <w:rFonts w:ascii="Arial" w:cs="Arial" w:eastAsia="Arial" w:hAnsi="Arial"/>
                <w:sz w:val="18"/>
                <w:szCs w:val="18"/>
                <w:color w:val="auto"/>
                <w:w w:val="95"/>
              </w:rPr>
              <w:t>By-laws. (Reference is made to Exhibit 3.2 to the Form 10-K for the year ended December 28, 2003, filed with the Commission in</w:t>
            </w:r>
          </w:p>
        </w:tc>
        <w:tc>
          <w:tcPr>
            <w:tcW w:w="5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February, 2004, which is incorporated herein by reference.)</w:t>
            </w:r>
          </w:p>
        </w:tc>
        <w:tc>
          <w:tcPr>
            <w:tcW w:w="560" w:type="dxa"/>
            <w:vAlign w:val="bottom"/>
          </w:tcPr>
          <w:p>
            <w:pPr>
              <w:spacing w:after="0"/>
              <w:rPr>
                <w:sz w:val="19"/>
                <w:szCs w:val="19"/>
                <w:color w:val="auto"/>
              </w:rPr>
            </w:pPr>
          </w:p>
        </w:tc>
      </w:tr>
    </w:tbl>
    <w:p>
      <w:pPr>
        <w:spacing w:after="0" w:line="102" w:lineRule="exact"/>
        <w:rPr>
          <w:sz w:val="20"/>
          <w:szCs w:val="20"/>
          <w:color w:val="auto"/>
        </w:rPr>
      </w:pPr>
    </w:p>
    <w:p>
      <w:pPr>
        <w:ind w:left="1020" w:right="1120" w:hanging="846"/>
        <w:spacing w:after="0" w:line="306"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Rights of security holders are defined in Articles Fourth, Fifth, Seventh, Eighth, Ninth, Tenth, Eleventh, Twelfth, Thirteenth, Fourteenth and Fifteenth of the Restated Certificate of Incorporation. (Reference is made to Exhibit 4 to the Form 10-K for the year ended December 28, 2003, filed with the Commission in February, 2004, which is incorporated herein by reference.)</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060" w:type="dxa"/>
            <w:vAlign w:val="bottom"/>
          </w:tcPr>
          <w:p>
            <w:pPr>
              <w:ind w:left="300"/>
              <w:spacing w:after="0"/>
              <w:rPr>
                <w:sz w:val="20"/>
                <w:szCs w:val="20"/>
                <w:color w:val="auto"/>
              </w:rPr>
            </w:pPr>
            <w:r>
              <w:rPr>
                <w:rFonts w:ascii="Arial" w:cs="Arial" w:eastAsia="Arial" w:hAnsi="Arial"/>
                <w:sz w:val="18"/>
                <w:szCs w:val="18"/>
                <w:color w:val="auto"/>
                <w:w w:val="94"/>
              </w:rPr>
              <w:t>Short-Term Incentive Plan, as amended and restated on March 23, 1998 and further amended on February 6, 2003. (Reference is</w:t>
            </w:r>
          </w:p>
        </w:tc>
        <w:tc>
          <w:tcPr>
            <w:tcW w:w="6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w w:val="95"/>
              </w:rPr>
              <w:t>made to Exhibit 10.1 to the Form 10-Q for the quarterly period ended June 29, 2003, filed with the Commission in August, 2003,</w:t>
            </w:r>
          </w:p>
        </w:tc>
        <w:tc>
          <w:tcPr>
            <w:tcW w:w="62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which is incorporated herein by reference).</w:t>
            </w:r>
          </w:p>
        </w:tc>
        <w:tc>
          <w:tcPr>
            <w:tcW w:w="620" w:type="dxa"/>
            <w:vAlign w:val="bottom"/>
          </w:tcPr>
          <w:p>
            <w:pPr>
              <w:spacing w:after="0"/>
              <w:rPr>
                <w:sz w:val="19"/>
                <w:szCs w:val="19"/>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tcPr>
          <w:p>
            <w:pPr>
              <w:ind w:left="300"/>
              <w:spacing w:after="0"/>
              <w:rPr>
                <w:sz w:val="20"/>
                <w:szCs w:val="20"/>
                <w:color w:val="auto"/>
              </w:rPr>
            </w:pPr>
            <w:r>
              <w:rPr>
                <w:rFonts w:ascii="Arial" w:cs="Arial" w:eastAsia="Arial" w:hAnsi="Arial"/>
                <w:sz w:val="18"/>
                <w:szCs w:val="18"/>
                <w:color w:val="auto"/>
                <w:w w:val="95"/>
              </w:rPr>
              <w:t>Kelly Services, Inc. Performance Incentive Plan, as amended and restated on March 29, 1996 and further amended on April 14,</w:t>
            </w:r>
          </w:p>
        </w:tc>
        <w:tc>
          <w:tcPr>
            <w:tcW w:w="62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w w:val="93"/>
              </w:rPr>
              <w:t>2000 and July 29, 2003. (Reference is made to Exhibit 10.2 to the Form 10-K for the year ended December 28, 2003, filed with the</w:t>
            </w:r>
          </w:p>
        </w:tc>
        <w:tc>
          <w:tcPr>
            <w:tcW w:w="62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Commission in February, 2004, which is incorporated herein by reference.)</w:t>
            </w:r>
          </w:p>
        </w:tc>
        <w:tc>
          <w:tcPr>
            <w:tcW w:w="620" w:type="dxa"/>
            <w:vAlign w:val="bottom"/>
          </w:tcPr>
          <w:p>
            <w:pPr>
              <w:spacing w:after="0"/>
              <w:rPr>
                <w:sz w:val="19"/>
                <w:szCs w:val="19"/>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10060" w:type="dxa"/>
            <w:vAlign w:val="bottom"/>
          </w:tcPr>
          <w:p>
            <w:pPr>
              <w:ind w:left="300"/>
              <w:spacing w:after="0"/>
              <w:rPr>
                <w:sz w:val="20"/>
                <w:szCs w:val="20"/>
                <w:color w:val="auto"/>
              </w:rPr>
            </w:pPr>
            <w:r>
              <w:rPr>
                <w:rFonts w:ascii="Arial" w:cs="Arial" w:eastAsia="Arial" w:hAnsi="Arial"/>
                <w:sz w:val="18"/>
                <w:szCs w:val="18"/>
                <w:color w:val="auto"/>
                <w:w w:val="97"/>
              </w:rPr>
              <w:t>Kelly Services, Inc. 1999 Non-Employee Directors Stock Option Plan. (Reference is made to Exhibit 99.1 to the Form S-8 filed</w:t>
            </w:r>
          </w:p>
        </w:tc>
        <w:tc>
          <w:tcPr>
            <w:tcW w:w="62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with the Commission in April, 2004, which is incorporated herein by reference.)</w:t>
            </w:r>
          </w:p>
        </w:tc>
        <w:tc>
          <w:tcPr>
            <w:tcW w:w="620" w:type="dxa"/>
            <w:vAlign w:val="bottom"/>
          </w:tcPr>
          <w:p>
            <w:pPr>
              <w:spacing w:after="0"/>
              <w:rPr>
                <w:sz w:val="19"/>
                <w:szCs w:val="19"/>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060" w:type="dxa"/>
            <w:vAlign w:val="bottom"/>
          </w:tcPr>
          <w:p>
            <w:pPr>
              <w:ind w:left="300"/>
              <w:spacing w:after="0"/>
              <w:rPr>
                <w:sz w:val="20"/>
                <w:szCs w:val="20"/>
                <w:color w:val="auto"/>
              </w:rPr>
            </w:pPr>
            <w:r>
              <w:rPr>
                <w:rFonts w:ascii="Arial" w:cs="Arial" w:eastAsia="Arial" w:hAnsi="Arial"/>
                <w:sz w:val="18"/>
                <w:szCs w:val="18"/>
                <w:color w:val="auto"/>
                <w:w w:val="96"/>
              </w:rPr>
              <w:t>Kelly Services, Inc. Non-Employee Director Stock Award Plan. (Reference is made to Exhibit 99.2 to the Form S-8 filed with the</w:t>
            </w:r>
          </w:p>
        </w:tc>
        <w:tc>
          <w:tcPr>
            <w:tcW w:w="62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Commission in April, 2004, which is incorporated herein by reference.)</w:t>
            </w:r>
          </w:p>
        </w:tc>
        <w:tc>
          <w:tcPr>
            <w:tcW w:w="620" w:type="dxa"/>
            <w:vAlign w:val="bottom"/>
          </w:tcPr>
          <w:p>
            <w:pPr>
              <w:spacing w:after="0"/>
              <w:rPr>
                <w:sz w:val="19"/>
                <w:szCs w:val="19"/>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060" w:type="dxa"/>
            <w:vAlign w:val="bottom"/>
          </w:tcPr>
          <w:p>
            <w:pPr>
              <w:ind w:left="300"/>
              <w:spacing w:after="0"/>
              <w:rPr>
                <w:sz w:val="20"/>
                <w:szCs w:val="20"/>
                <w:color w:val="auto"/>
              </w:rPr>
            </w:pPr>
            <w:r>
              <w:rPr>
                <w:rFonts w:ascii="Arial" w:cs="Arial" w:eastAsia="Arial" w:hAnsi="Arial"/>
                <w:sz w:val="18"/>
                <w:szCs w:val="18"/>
                <w:color w:val="auto"/>
                <w:w w:val="95"/>
              </w:rPr>
              <w:t>Loan Agreement dated as of June 24, 2003. (Reference is made to Exhibit 10.2 to the Form 10-Q for the quarterly period ended</w:t>
            </w:r>
          </w:p>
        </w:tc>
        <w:tc>
          <w:tcPr>
            <w:tcW w:w="62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June 29, 2003, filed with the Commission in August, 2003, which is incorporated herein by reference).</w:t>
            </w:r>
          </w:p>
        </w:tc>
        <w:tc>
          <w:tcPr>
            <w:tcW w:w="620" w:type="dxa"/>
            <w:vAlign w:val="bottom"/>
          </w:tcPr>
          <w:p>
            <w:pPr>
              <w:spacing w:after="0"/>
              <w:rPr>
                <w:sz w:val="19"/>
                <w:szCs w:val="19"/>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14</w:t>
            </w:r>
          </w:p>
        </w:tc>
        <w:tc>
          <w:tcPr>
            <w:tcW w:w="10060" w:type="dxa"/>
            <w:vAlign w:val="bottom"/>
          </w:tcPr>
          <w:p>
            <w:pPr>
              <w:ind w:left="300"/>
              <w:spacing w:after="0"/>
              <w:rPr>
                <w:sz w:val="20"/>
                <w:szCs w:val="20"/>
                <w:color w:val="auto"/>
              </w:rPr>
            </w:pPr>
            <w:r>
              <w:rPr>
                <w:rFonts w:ascii="Arial" w:cs="Arial" w:eastAsia="Arial" w:hAnsi="Arial"/>
                <w:sz w:val="18"/>
                <w:szCs w:val="18"/>
                <w:color w:val="auto"/>
              </w:rPr>
              <w:t>Code of Business Conduct and Ethics, adopted February 9, 2004, as amended on February 7, 2005.</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10060" w:type="dxa"/>
            <w:vAlign w:val="bottom"/>
          </w:tcPr>
          <w:p>
            <w:pPr>
              <w:ind w:left="300"/>
              <w:spacing w:after="0"/>
              <w:rPr>
                <w:sz w:val="20"/>
                <w:szCs w:val="20"/>
                <w:color w:val="auto"/>
              </w:rPr>
            </w:pPr>
            <w:r>
              <w:rPr>
                <w:rFonts w:ascii="Arial" w:cs="Arial" w:eastAsia="Arial" w:hAnsi="Arial"/>
                <w:sz w:val="18"/>
                <w:szCs w:val="18"/>
                <w:color w:val="auto"/>
              </w:rPr>
              <w:t>Subsidiaries of Registrant.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w:t>
            </w:r>
          </w:p>
        </w:tc>
        <w:tc>
          <w:tcPr>
            <w:tcW w:w="1006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w:t>
            </w:r>
          </w:p>
        </w:tc>
        <w:tc>
          <w:tcPr>
            <w:tcW w:w="10060" w:type="dxa"/>
            <w:vAlign w:val="bottom"/>
          </w:tcPr>
          <w:p>
            <w:pPr>
              <w:ind w:left="300"/>
              <w:spacing w:after="0"/>
              <w:rPr>
                <w:sz w:val="20"/>
                <w:szCs w:val="20"/>
                <w:color w:val="auto"/>
              </w:rPr>
            </w:pPr>
            <w:r>
              <w:rPr>
                <w:rFonts w:ascii="Arial" w:cs="Arial" w:eastAsia="Arial" w:hAnsi="Arial"/>
                <w:sz w:val="18"/>
                <w:szCs w:val="18"/>
                <w:color w:val="auto"/>
              </w:rPr>
              <w:t>Power of Attorney.</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10060" w:type="dxa"/>
            <w:vAlign w:val="bottom"/>
          </w:tcPr>
          <w:p>
            <w:pPr>
              <w:ind w:left="300"/>
              <w:spacing w:after="0"/>
              <w:rPr>
                <w:sz w:val="20"/>
                <w:szCs w:val="20"/>
                <w:color w:val="auto"/>
              </w:rPr>
            </w:pPr>
            <w:r>
              <w:rPr>
                <w:rFonts w:ascii="Arial" w:cs="Arial" w:eastAsia="Arial" w:hAnsi="Arial"/>
                <w:sz w:val="18"/>
                <w:szCs w:val="18"/>
                <w:color w:val="auto"/>
              </w:rPr>
              <w:t>Certification Pursuant to Rule 13a-14(a)/15d-14(a).</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060" w:type="dxa"/>
            <w:vAlign w:val="bottom"/>
          </w:tcPr>
          <w:p>
            <w:pPr>
              <w:ind w:left="300"/>
              <w:spacing w:after="0"/>
              <w:rPr>
                <w:sz w:val="20"/>
                <w:szCs w:val="20"/>
                <w:color w:val="auto"/>
              </w:rPr>
            </w:pPr>
            <w:r>
              <w:rPr>
                <w:rFonts w:ascii="Arial" w:cs="Arial" w:eastAsia="Arial" w:hAnsi="Arial"/>
                <w:sz w:val="18"/>
                <w:szCs w:val="18"/>
                <w:color w:val="auto"/>
              </w:rPr>
              <w:t>Certification Pursuant to Rule 13a-14(a)/15d-14(a).</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w:t>
            </w:r>
          </w:p>
        </w:tc>
        <w:tc>
          <w:tcPr>
            <w:tcW w:w="62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100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w:t>
            </w:r>
          </w:p>
        </w:tc>
        <w:tc>
          <w:tcPr>
            <w:tcW w:w="62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00"/>
          </w:cols>
          <w:pgMar w:left="260" w:top="2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1"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Board of Directors (the “Board”) of Kelly Services, Inc. (“the Company”) has adopted the following Code of Business Conduct and Ethics (the “Code”) for itself and the officers and employees of the Company (the “employees”). The Code is intended to help us recognize and deal with ethical issues, deter wrongdoing, provide mechanisms to report dishonest or unethical conduct and help foster a culture of honesty and accountability as we collectively work to achieve our vision as the world’s best staffing services company. Each of us has a personal responsibility to comply with both the letter and the spirit of this Code.</w:t>
      </w:r>
    </w:p>
    <w:p>
      <w:pPr>
        <w:spacing w:after="0" w:line="8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No code or policy can anticipate every situation that may arise. This Code is intended to serve as a guide. Employees are encouraged to ask their manager questions about particular circumstances that may involve the provisions of this Code. Employees also may present their questions to the Head of Internal Audit or the General Counsel, who may consult outside legal counsel as appropriate.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Conflict of Interest</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“conflict of interest” occurs when our individual private interests interfere, or appear to interfere, in any way with the interests of the Company. Each of us must avoid conflicts of interest with the Company. Any situation that involves, or may reasonably be expected to involve, a conflict of interest with the Company must be disclosed immediately to the Head of Internal Audit or the General Counsel.</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Code does not attempt to describe all possible conflicts of interest which could develop. Some of the more common conflicts from which we should refrain, are:</w:t>
      </w:r>
    </w:p>
    <w:p>
      <w:pPr>
        <w:spacing w:after="0" w:line="37" w:lineRule="exact"/>
        <w:rPr>
          <w:sz w:val="20"/>
          <w:szCs w:val="20"/>
          <w:color w:val="auto"/>
        </w:rPr>
      </w:pPr>
    </w:p>
    <w:p>
      <w:pPr>
        <w:ind w:left="900" w:right="340" w:hanging="446"/>
        <w:spacing w:after="0" w:line="34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 employee or a family member receiving an improper personal benefit as a result of the employee’s position with the Company. A “family member” means a spouse, parents, children and siblings, whether by blood, marriage or adoption, or anyone who resides in an employee’s home;</w:t>
      </w:r>
    </w:p>
    <w:p>
      <w:pPr>
        <w:ind w:left="900" w:right="520" w:hanging="446"/>
        <w:spacing w:after="0" w:line="325"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knowingly engaging in any conduct or activity that is inconsistent with the Company’s best interests or that disrupts or impairs the Company’s relationship with any person or entity with which the Company has or proposes to enter into a business or contractual relationship;</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accepting compensation, in any form, from any source other than the Company, which affects job performance in any way;</w:t>
      </w:r>
    </w:p>
    <w:p>
      <w:pPr>
        <w:spacing w:after="0" w:line="103"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offering, giving or receiving gifts to or from anyone who deals with the Company in cases where the gift is being made to influence our actions in our position with the Company, or where acceptance of the gifts could create the appearance of an impropriety.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Opportunities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us has a responsibility to the Company to advance its legitimate interests. We must not:</w:t>
      </w:r>
    </w:p>
    <w:p>
      <w:pPr>
        <w:spacing w:after="0" w:line="77" w:lineRule="exact"/>
        <w:rPr>
          <w:sz w:val="20"/>
          <w:szCs w:val="20"/>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personally take for ourselves or divert to others opportunities that are discovered through the use of Company property, information or our respective position;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Company employees, property, information or our respective positions for personal gain;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compete with the Company, directly or indirectly, for business opportunities.</w:t>
      </w:r>
    </w:p>
    <w:p>
      <w:pPr>
        <w:sectPr>
          <w:pgSz w:w="11900" w:h="16838" w:orient="portrait"/>
          <w:cols w:equalWidth="0" w:num="1">
            <w:col w:w="11420"/>
          </w:cols>
          <w:pgMar w:left="240" w:top="13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us must maintain the confidentiality of information entrusted to us by the Company and its customers.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 and Proper Use of Company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each protect the Company’s assets and ensure their efficient use. No one is to use Company assets for personal benefit.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Dealing</w:t>
      </w:r>
    </w:p>
    <w:p>
      <w:pPr>
        <w:spacing w:after="0" w:line="83"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have a responsibility to deal fairly with each other, our customers and our suppliers. No one must take unfair advantage of anyone else through manipulation, concealment, abuse of confidential information, misrepresentation of material facts or any other unfair dealing practices.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with Laws, Rules and Regulations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of us shall comply with all laws, rules and regulations applicable to the Company, including the Foreign Corrupt Practices Act, antitrust laws and insider trading laws, and all policies established by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Waivers of the Code of Business Conduct and Ethics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waiver of this Code as it applies to individual Directors or Executive Officers must be made by the Board of Directors and will be disclosed in accordance with applicable federal law and NASDAQ rules. Requests for waivers of the Code as it applies to officers and employees must be made in writing to the Head of Internal Audit or the General Counsel and must be confirmed in writing.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Reporting Dishonest or Unethical Behavior</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 in doubt about the best course of action in a particular situation, employees should talk to their managers or other appropriate personnel. Known or suspected violations of laws, rules and regulations applicable to the Company, of this Code or any Company policy must be promptly reported in writing to the Head of Internal Audit or the General Counsel. Alternatively, anonymous reports of known or suspected violations may be made through the fraud hotline at 1-877-553-9002. Retaliation of any kind against any Director, officer or employee for reports made in good faith is expressly prohibited and will result in corrective action, including termination of employment.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Public Company Reporting</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Chief Executive Officer and the Chief Financial Officer, the Corporate Controller and their designees (the “senior financial officers”) have the additional responsibility to file with the Securities and Exchange Commission full, fair, timely and understandable reports and documents; these same disclosure requirements apply to all of the Company’s public communications. In addition to the reporting requirements set forth elsewhere in this Code the senior financial officers must report any known or suspected violations of the Code to the Audit Committee.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Failure to Comply; Compliance Procedures</w:t>
      </w:r>
    </w:p>
    <w:p>
      <w:pPr>
        <w:spacing w:after="0" w:line="8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failure by any Director, officer or employee to comply with the laws, rules or regulations governing the Company’s business, this Code or any Company policy will constitute grounds for corrective action, up to and including termination of employment or engagement. Reports of known or suspected violations will be promptly investigated by the appropriate function, which may include Audit, Human Resources or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Adopted by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9, 2004, as amended on February 7, 2005</w:t>
      </w:r>
    </w:p>
    <w:p>
      <w:pPr>
        <w:sectPr>
          <w:pgSz w:w="11900" w:h="16838" w:orient="portrait"/>
          <w:cols w:equalWidth="0" w:num="1">
            <w:col w:w="11380"/>
          </w:cols>
          <w:pgMar w:left="240" w:top="274" w:right="2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840" w:type="dxa"/>
            <w:vAlign w:val="bottom"/>
          </w:tcPr>
          <w:p>
            <w:pPr>
              <w:ind w:left="400"/>
              <w:spacing w:after="0"/>
              <w:rPr>
                <w:sz w:val="20"/>
                <w:szCs w:val="20"/>
                <w:color w:val="auto"/>
              </w:rPr>
            </w:pPr>
            <w:r>
              <w:rPr>
                <w:rFonts w:ascii="Arial" w:cs="Arial" w:eastAsia="Arial" w:hAnsi="Arial"/>
                <w:sz w:val="14"/>
                <w:szCs w:val="14"/>
                <w:b w:val="1"/>
                <w:bCs w:val="1"/>
                <w:color w:val="auto"/>
              </w:rPr>
              <w:t>State/Jurisdiction</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840" w:type="dxa"/>
            <w:vAlign w:val="bottom"/>
          </w:tcPr>
          <w:p>
            <w:pPr>
              <w:ind w:left="440"/>
              <w:spacing w:after="0"/>
              <w:rPr>
                <w:sz w:val="20"/>
                <w:szCs w:val="20"/>
                <w:color w:val="auto"/>
              </w:rPr>
            </w:pPr>
            <w:r>
              <w:rPr>
                <w:rFonts w:ascii="Arial" w:cs="Arial" w:eastAsia="Arial" w:hAnsi="Arial"/>
                <w:sz w:val="14"/>
                <w:szCs w:val="14"/>
                <w:b w:val="1"/>
                <w:bCs w:val="1"/>
                <w:color w:val="auto"/>
              </w:rPr>
              <w:t>of Incorporation</w:t>
            </w:r>
          </w:p>
        </w:tc>
        <w:tc>
          <w:tcPr>
            <w:tcW w:w="220" w:type="dxa"/>
            <w:vAlign w:val="bottom"/>
          </w:tcPr>
          <w:p>
            <w:pPr>
              <w:spacing w:after="0"/>
              <w:rPr>
                <w:sz w:val="15"/>
                <w:szCs w:val="15"/>
                <w:color w:val="auto"/>
              </w:rPr>
            </w:pPr>
          </w:p>
        </w:tc>
        <w:tc>
          <w:tcPr>
            <w:tcW w:w="2840" w:type="dxa"/>
            <w:vAlign w:val="bottom"/>
          </w:tcPr>
          <w:p>
            <w:pPr>
              <w:ind w:left="980"/>
              <w:spacing w:after="0"/>
              <w:rPr>
                <w:sz w:val="20"/>
                <w:szCs w:val="20"/>
                <w:color w:val="auto"/>
              </w:rPr>
            </w:pPr>
            <w:r>
              <w:rPr>
                <w:rFonts w:ascii="Arial" w:cs="Arial" w:eastAsia="Arial" w:hAnsi="Arial"/>
                <w:sz w:val="14"/>
                <w:szCs w:val="14"/>
                <w:b w:val="1"/>
                <w:bCs w:val="1"/>
                <w:color w:val="auto"/>
              </w:rPr>
              <w:t>Business Name</w:t>
            </w:r>
          </w:p>
        </w:tc>
      </w:tr>
      <w:tr>
        <w:trPr>
          <w:trHeight w:val="95"/>
        </w:trPr>
        <w:tc>
          <w:tcPr>
            <w:tcW w:w="8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r>
      <w:tr>
        <w:trPr>
          <w:trHeight w:val="316"/>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(Canada), Ltd.</w:t>
            </w:r>
          </w:p>
        </w:tc>
        <w:tc>
          <w:tcPr>
            <w:tcW w:w="1840" w:type="dxa"/>
            <w:vAlign w:val="bottom"/>
          </w:tcPr>
          <w:p>
            <w:pPr>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Properties, Inc.</w:t>
            </w:r>
          </w:p>
        </w:tc>
        <w:tc>
          <w:tcPr>
            <w:tcW w:w="1840" w:type="dxa"/>
            <w:vAlign w:val="bottom"/>
          </w:tcPr>
          <w:p>
            <w:pPr>
              <w:spacing w:after="0"/>
              <w:rPr>
                <w:sz w:val="20"/>
                <w:szCs w:val="20"/>
                <w:color w:val="auto"/>
              </w:rPr>
            </w:pPr>
            <w:r>
              <w:rPr>
                <w:rFonts w:ascii="Arial" w:cs="Arial" w:eastAsia="Arial" w:hAnsi="Arial"/>
                <w:sz w:val="18"/>
                <w:szCs w:val="18"/>
                <w:color w:val="auto"/>
              </w:rPr>
              <w:t>Michigan</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Properties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Receivables Services, LLC</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Receivables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Staff Leasing, Inc.</w:t>
            </w:r>
          </w:p>
        </w:tc>
        <w:tc>
          <w:tcPr>
            <w:tcW w:w="1840" w:type="dxa"/>
            <w:vAlign w:val="bottom"/>
          </w:tcPr>
          <w:p>
            <w:pPr>
              <w:spacing w:after="0"/>
              <w:rPr>
                <w:sz w:val="20"/>
                <w:szCs w:val="20"/>
                <w:color w:val="auto"/>
              </w:rPr>
            </w:pPr>
            <w:r>
              <w:rPr>
                <w:rFonts w:ascii="Arial" w:cs="Arial" w:eastAsia="Arial" w:hAnsi="Arial"/>
                <w:sz w:val="18"/>
                <w:szCs w:val="18"/>
                <w:color w:val="auto"/>
              </w:rPr>
              <w:t>California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Staff Leasing</w:t>
            </w:r>
          </w:p>
        </w:tc>
      </w:tr>
      <w:tr>
        <w:trPr>
          <w:trHeight w:val="277"/>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(Ireland), Ltd.</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Properties,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9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(UK), Ltd.</w:t>
            </w:r>
          </w:p>
        </w:tc>
        <w:tc>
          <w:tcPr>
            <w:tcW w:w="184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 Ltd.</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Properties,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97"/>
        </w:trPr>
        <w:tc>
          <w:tcPr>
            <w:tcW w:w="6520" w:type="dxa"/>
            <w:vAlign w:val="bottom"/>
            <w:gridSpan w:val="2"/>
          </w:tcPr>
          <w:p>
            <w:pPr>
              <w:spacing w:after="0"/>
              <w:rPr>
                <w:sz w:val="20"/>
                <w:szCs w:val="20"/>
                <w:color w:val="auto"/>
              </w:rPr>
            </w:pPr>
            <w:r>
              <w:rPr>
                <w:rFonts w:ascii="Arial" w:cs="Arial" w:eastAsia="Arial" w:hAnsi="Arial"/>
                <w:sz w:val="18"/>
                <w:szCs w:val="18"/>
                <w:color w:val="auto"/>
              </w:rPr>
              <w:t>Kelly Payroll Services Limited</w:t>
            </w:r>
          </w:p>
        </w:tc>
        <w:tc>
          <w:tcPr>
            <w:tcW w:w="1840" w:type="dxa"/>
            <w:vAlign w:val="bottom"/>
          </w:tcPr>
          <w:p>
            <w:pPr>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 Ltd.</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Home Care Services, Inc.</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Home Care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(Australia), Ltd.</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(New Zealand), Ltd.</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of Denmark, Inc.</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(Nederland), B.V.</w:t>
            </w:r>
          </w:p>
        </w:tc>
        <w:tc>
          <w:tcPr>
            <w:tcW w:w="1840" w:type="dxa"/>
            <w:vAlign w:val="bottom"/>
          </w:tcPr>
          <w:p>
            <w:pPr>
              <w:spacing w:after="0"/>
              <w:rPr>
                <w:sz w:val="20"/>
                <w:szCs w:val="20"/>
                <w:color w:val="auto"/>
              </w:rPr>
            </w:pPr>
            <w:r>
              <w:rPr>
                <w:rFonts w:ascii="Arial" w:cs="Arial" w:eastAsia="Arial" w:hAnsi="Arial"/>
                <w:sz w:val="18"/>
                <w:szCs w:val="18"/>
                <w:color w:val="auto"/>
              </w:rPr>
              <w:t>The Netherlands</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77"/>
        </w:trPr>
        <w:tc>
          <w:tcPr>
            <w:tcW w:w="6520" w:type="dxa"/>
            <w:vAlign w:val="bottom"/>
            <w:gridSpan w:val="2"/>
          </w:tcPr>
          <w:p>
            <w:pPr>
              <w:spacing w:after="0"/>
              <w:rPr>
                <w:sz w:val="20"/>
                <w:szCs w:val="20"/>
                <w:color w:val="auto"/>
              </w:rPr>
            </w:pPr>
            <w:r>
              <w:rPr>
                <w:rFonts w:ascii="Arial" w:cs="Arial" w:eastAsia="Arial" w:hAnsi="Arial"/>
                <w:sz w:val="18"/>
                <w:szCs w:val="18"/>
                <w:color w:val="auto"/>
              </w:rPr>
              <w:t>Kelly Administratiekantoor B.V.</w:t>
            </w:r>
          </w:p>
        </w:tc>
        <w:tc>
          <w:tcPr>
            <w:tcW w:w="1840" w:type="dxa"/>
            <w:vAlign w:val="bottom"/>
          </w:tcPr>
          <w:p>
            <w:pPr>
              <w:spacing w:after="0"/>
              <w:rPr>
                <w:sz w:val="20"/>
                <w:szCs w:val="20"/>
                <w:color w:val="auto"/>
              </w:rPr>
            </w:pPr>
            <w:r>
              <w:rPr>
                <w:rFonts w:ascii="Arial" w:cs="Arial" w:eastAsia="Arial" w:hAnsi="Arial"/>
                <w:sz w:val="18"/>
                <w:szCs w:val="18"/>
                <w:color w:val="auto"/>
              </w:rPr>
              <w:t>The Netherlands</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(Nederland) B.V.)</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91"/>
        </w:trPr>
        <w:tc>
          <w:tcPr>
            <w:tcW w:w="6520" w:type="dxa"/>
            <w:vAlign w:val="bottom"/>
            <w:gridSpan w:val="2"/>
          </w:tcPr>
          <w:p>
            <w:pPr>
              <w:spacing w:after="0"/>
              <w:rPr>
                <w:sz w:val="20"/>
                <w:szCs w:val="20"/>
                <w:color w:val="auto"/>
              </w:rPr>
            </w:pPr>
            <w:r>
              <w:rPr>
                <w:rFonts w:ascii="Arial" w:cs="Arial" w:eastAsia="Arial" w:hAnsi="Arial"/>
                <w:sz w:val="18"/>
                <w:szCs w:val="18"/>
                <w:color w:val="auto"/>
              </w:rPr>
              <w:t>Kelly Managed Services (Nederland) B.V.</w:t>
            </w:r>
          </w:p>
        </w:tc>
        <w:tc>
          <w:tcPr>
            <w:tcW w:w="1840" w:type="dxa"/>
            <w:vAlign w:val="bottom"/>
          </w:tcPr>
          <w:p>
            <w:pPr>
              <w:spacing w:after="0"/>
              <w:rPr>
                <w:sz w:val="20"/>
                <w:szCs w:val="20"/>
                <w:color w:val="auto"/>
              </w:rPr>
            </w:pPr>
            <w:r>
              <w:rPr>
                <w:rFonts w:ascii="Arial" w:cs="Arial" w:eastAsia="Arial" w:hAnsi="Arial"/>
                <w:sz w:val="18"/>
                <w:szCs w:val="18"/>
                <w:color w:val="auto"/>
              </w:rPr>
              <w:t>The Netherlands</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(Nederland) B.V.)</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97"/>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Norge A.S.</w:t>
            </w:r>
          </w:p>
        </w:tc>
        <w:tc>
          <w:tcPr>
            <w:tcW w:w="1840" w:type="dxa"/>
            <w:vAlign w:val="bottom"/>
          </w:tcPr>
          <w:p>
            <w:pPr>
              <w:spacing w:after="0"/>
              <w:rPr>
                <w:sz w:val="20"/>
                <w:szCs w:val="20"/>
                <w:color w:val="auto"/>
              </w:rPr>
            </w:pPr>
            <w:r>
              <w:rPr>
                <w:rFonts w:ascii="Arial" w:cs="Arial" w:eastAsia="Arial" w:hAnsi="Arial"/>
                <w:sz w:val="18"/>
                <w:szCs w:val="18"/>
                <w:color w:val="auto"/>
              </w:rPr>
              <w:t>Norway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Mexico, S.A. de C.V.</w:t>
            </w:r>
          </w:p>
        </w:tc>
        <w:tc>
          <w:tcPr>
            <w:tcW w:w="1840" w:type="dxa"/>
            <w:vAlign w:val="bottom"/>
          </w:tcPr>
          <w:p>
            <w:pPr>
              <w:spacing w:after="0"/>
              <w:rPr>
                <w:sz w:val="20"/>
                <w:szCs w:val="20"/>
                <w:color w:val="auto"/>
              </w:rPr>
            </w:pPr>
            <w:r>
              <w:rPr>
                <w:rFonts w:ascii="Arial" w:cs="Arial" w:eastAsia="Arial" w:hAnsi="Arial"/>
                <w:sz w:val="18"/>
                <w:szCs w:val="18"/>
                <w:color w:val="auto"/>
              </w:rPr>
              <w:t>Mexico</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Outsourcing de Servicios y Manufactura, S.A. de C.V.</w:t>
            </w:r>
          </w:p>
        </w:tc>
        <w:tc>
          <w:tcPr>
            <w:tcW w:w="1840" w:type="dxa"/>
            <w:vAlign w:val="bottom"/>
          </w:tcPr>
          <w:p>
            <w:pPr>
              <w:spacing w:after="0"/>
              <w:rPr>
                <w:sz w:val="20"/>
                <w:szCs w:val="20"/>
                <w:color w:val="auto"/>
              </w:rPr>
            </w:pPr>
            <w:r>
              <w:rPr>
                <w:rFonts w:ascii="Arial" w:cs="Arial" w:eastAsia="Arial" w:hAnsi="Arial"/>
                <w:sz w:val="18"/>
                <w:szCs w:val="18"/>
                <w:color w:val="auto"/>
              </w:rPr>
              <w:t>Mexico</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QSM, S.A. de C.V.</w:t>
            </w:r>
          </w:p>
        </w:tc>
        <w:tc>
          <w:tcPr>
            <w:tcW w:w="1840" w:type="dxa"/>
            <w:vAlign w:val="bottom"/>
          </w:tcPr>
          <w:p>
            <w:pPr>
              <w:spacing w:after="0"/>
              <w:rPr>
                <w:sz w:val="20"/>
                <w:szCs w:val="20"/>
                <w:color w:val="auto"/>
              </w:rPr>
            </w:pPr>
            <w:r>
              <w:rPr>
                <w:rFonts w:ascii="Arial" w:cs="Arial" w:eastAsia="Arial" w:hAnsi="Arial"/>
                <w:sz w:val="18"/>
                <w:szCs w:val="18"/>
                <w:color w:val="auto"/>
              </w:rPr>
              <w:t>Mexico</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(Suisse) S.A.</w:t>
            </w:r>
          </w:p>
        </w:tc>
        <w:tc>
          <w:tcPr>
            <w:tcW w:w="1840" w:type="dxa"/>
            <w:vAlign w:val="bottom"/>
          </w:tcPr>
          <w:p>
            <w:pPr>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8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France, S.A.S.</w:t>
            </w:r>
          </w:p>
        </w:tc>
        <w:tc>
          <w:tcPr>
            <w:tcW w:w="1840" w:type="dxa"/>
            <w:vAlign w:val="bottom"/>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77"/>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Interim, S.A.S.</w:t>
            </w:r>
          </w:p>
        </w:tc>
        <w:tc>
          <w:tcPr>
            <w:tcW w:w="1840" w:type="dxa"/>
            <w:vAlign w:val="bottom"/>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France S.A.S)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REGISTRANT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840" w:type="dxa"/>
            <w:vAlign w:val="bottom"/>
          </w:tcPr>
          <w:p>
            <w:pPr>
              <w:ind w:left="400"/>
              <w:spacing w:after="0"/>
              <w:rPr>
                <w:sz w:val="20"/>
                <w:szCs w:val="20"/>
                <w:color w:val="auto"/>
              </w:rPr>
            </w:pPr>
            <w:r>
              <w:rPr>
                <w:rFonts w:ascii="Arial" w:cs="Arial" w:eastAsia="Arial" w:hAnsi="Arial"/>
                <w:sz w:val="14"/>
                <w:szCs w:val="14"/>
                <w:b w:val="1"/>
                <w:bCs w:val="1"/>
                <w:color w:val="auto"/>
              </w:rPr>
              <w:t>State/Jurisdiction</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840" w:type="dxa"/>
            <w:vAlign w:val="bottom"/>
          </w:tcPr>
          <w:p>
            <w:pPr>
              <w:ind w:left="440"/>
              <w:spacing w:after="0"/>
              <w:rPr>
                <w:sz w:val="20"/>
                <w:szCs w:val="20"/>
                <w:color w:val="auto"/>
              </w:rPr>
            </w:pPr>
            <w:r>
              <w:rPr>
                <w:rFonts w:ascii="Arial" w:cs="Arial" w:eastAsia="Arial" w:hAnsi="Arial"/>
                <w:sz w:val="14"/>
                <w:szCs w:val="14"/>
                <w:b w:val="1"/>
                <w:bCs w:val="1"/>
                <w:color w:val="auto"/>
              </w:rPr>
              <w:t>of Incorporation</w:t>
            </w:r>
          </w:p>
        </w:tc>
        <w:tc>
          <w:tcPr>
            <w:tcW w:w="220" w:type="dxa"/>
            <w:vAlign w:val="bottom"/>
          </w:tcPr>
          <w:p>
            <w:pPr>
              <w:spacing w:after="0"/>
              <w:rPr>
                <w:sz w:val="15"/>
                <w:szCs w:val="15"/>
                <w:color w:val="auto"/>
              </w:rPr>
            </w:pPr>
          </w:p>
        </w:tc>
        <w:tc>
          <w:tcPr>
            <w:tcW w:w="2840" w:type="dxa"/>
            <w:vAlign w:val="bottom"/>
          </w:tcPr>
          <w:p>
            <w:pPr>
              <w:ind w:left="980"/>
              <w:spacing w:after="0"/>
              <w:rPr>
                <w:sz w:val="20"/>
                <w:szCs w:val="20"/>
                <w:color w:val="auto"/>
              </w:rPr>
            </w:pPr>
            <w:r>
              <w:rPr>
                <w:rFonts w:ascii="Arial" w:cs="Arial" w:eastAsia="Arial" w:hAnsi="Arial"/>
                <w:sz w:val="14"/>
                <w:szCs w:val="14"/>
                <w:b w:val="1"/>
                <w:bCs w:val="1"/>
                <w:color w:val="auto"/>
              </w:rPr>
              <w:t>Business Name</w:t>
            </w:r>
          </w:p>
        </w:tc>
      </w:tr>
      <w:tr>
        <w:trPr>
          <w:trHeight w:val="95"/>
        </w:trPr>
        <w:tc>
          <w:tcPr>
            <w:tcW w:w="8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r>
      <w:tr>
        <w:trPr>
          <w:trHeight w:val="309"/>
        </w:trPr>
        <w:tc>
          <w:tcPr>
            <w:tcW w:w="6520" w:type="dxa"/>
            <w:vAlign w:val="bottom"/>
            <w:gridSpan w:val="2"/>
          </w:tcPr>
          <w:p>
            <w:pPr>
              <w:spacing w:after="0"/>
              <w:rPr>
                <w:sz w:val="20"/>
                <w:szCs w:val="20"/>
                <w:color w:val="auto"/>
              </w:rPr>
            </w:pPr>
            <w:r>
              <w:rPr>
                <w:rFonts w:ascii="Arial" w:cs="Arial" w:eastAsia="Arial" w:hAnsi="Arial"/>
                <w:sz w:val="18"/>
                <w:szCs w:val="18"/>
                <w:color w:val="auto"/>
              </w:rPr>
              <w:t>Competences RH</w:t>
            </w:r>
          </w:p>
        </w:tc>
        <w:tc>
          <w:tcPr>
            <w:tcW w:w="1840" w:type="dxa"/>
            <w:vAlign w:val="bottom"/>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Competences RH</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France S.A.S.)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Luxembourg S.A.R.L.</w:t>
            </w:r>
          </w:p>
        </w:tc>
        <w:tc>
          <w:tcPr>
            <w:tcW w:w="1840" w:type="dxa"/>
            <w:vAlign w:val="bottom"/>
          </w:tcPr>
          <w:p>
            <w:pPr>
              <w:spacing w:after="0"/>
              <w:rPr>
                <w:sz w:val="20"/>
                <w:szCs w:val="20"/>
                <w:color w:val="auto"/>
              </w:rPr>
            </w:pPr>
            <w:r>
              <w:rPr>
                <w:rFonts w:ascii="Arial" w:cs="Arial" w:eastAsia="Arial" w:hAnsi="Arial"/>
                <w:sz w:val="18"/>
                <w:szCs w:val="18"/>
                <w:color w:val="auto"/>
              </w:rPr>
              <w:t>Luxembourg</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Italia Srl</w:t>
            </w:r>
          </w:p>
        </w:tc>
        <w:tc>
          <w:tcPr>
            <w:tcW w:w="1840" w:type="dxa"/>
            <w:vAlign w:val="bottom"/>
          </w:tcPr>
          <w:p>
            <w:pPr>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Inc. and Kelly Properties,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w:t>
            </w:r>
          </w:p>
        </w:tc>
        <w:tc>
          <w:tcPr>
            <w:tcW w:w="1840" w:type="dxa"/>
            <w:vAlign w:val="bottom"/>
          </w:tcPr>
          <w:p>
            <w:pPr>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w w:val="93"/>
              </w:rPr>
              <w:t>(Societa di fornitura di lavoro temporaneo) SpA (a subsidiary of Kelly Services, Inc. and</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Kelly Properties,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8"/>
        </w:trPr>
        <w:tc>
          <w:tcPr>
            <w:tcW w:w="6520" w:type="dxa"/>
            <w:vAlign w:val="bottom"/>
            <w:gridSpan w:val="2"/>
          </w:tcPr>
          <w:p>
            <w:pPr>
              <w:spacing w:after="0"/>
              <w:rPr>
                <w:sz w:val="20"/>
                <w:szCs w:val="20"/>
                <w:color w:val="auto"/>
              </w:rPr>
            </w:pPr>
            <w:r>
              <w:rPr>
                <w:rFonts w:ascii="Arial" w:cs="Arial" w:eastAsia="Arial" w:hAnsi="Arial"/>
                <w:sz w:val="18"/>
                <w:szCs w:val="18"/>
                <w:color w:val="auto"/>
              </w:rPr>
              <w:t>Kelly Management Services, Srl.</w:t>
            </w:r>
          </w:p>
        </w:tc>
        <w:tc>
          <w:tcPr>
            <w:tcW w:w="1840" w:type="dxa"/>
            <w:vAlign w:val="bottom"/>
          </w:tcPr>
          <w:p>
            <w:pPr>
              <w:spacing w:after="0"/>
              <w:rPr>
                <w:sz w:val="20"/>
                <w:szCs w:val="20"/>
                <w:color w:val="auto"/>
              </w:rPr>
            </w:pPr>
            <w:r>
              <w:rPr>
                <w:rFonts w:ascii="Arial" w:cs="Arial" w:eastAsia="Arial" w:hAnsi="Arial"/>
                <w:sz w:val="18"/>
                <w:szCs w:val="18"/>
                <w:color w:val="auto"/>
              </w:rPr>
              <w:t>Italy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Management Services</w:t>
            </w:r>
          </w:p>
        </w:tc>
      </w:tr>
      <w:tr>
        <w:trPr>
          <w:trHeight w:val="31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Empleo Empresa de Trabajo Temporal, S.L.</w:t>
            </w:r>
          </w:p>
        </w:tc>
        <w:tc>
          <w:tcPr>
            <w:tcW w:w="1840" w:type="dxa"/>
            <w:vAlign w:val="bottom"/>
          </w:tcPr>
          <w:p>
            <w:pPr>
              <w:spacing w:after="0"/>
              <w:rPr>
                <w:sz w:val="20"/>
                <w:szCs w:val="20"/>
                <w:color w:val="auto"/>
              </w:rPr>
            </w:pPr>
            <w:r>
              <w:rPr>
                <w:rFonts w:ascii="Arial" w:cs="Arial" w:eastAsia="Arial" w:hAnsi="Arial"/>
                <w:sz w:val="18"/>
                <w:szCs w:val="18"/>
                <w:color w:val="auto"/>
              </w:rPr>
              <w:t>Spain</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Seleccion y Formacion, S.L.)</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Seleccion y Formacion, S.L.</w:t>
            </w:r>
          </w:p>
        </w:tc>
        <w:tc>
          <w:tcPr>
            <w:tcW w:w="1840" w:type="dxa"/>
            <w:vAlign w:val="bottom"/>
          </w:tcPr>
          <w:p>
            <w:pPr>
              <w:spacing w:after="0"/>
              <w:rPr>
                <w:sz w:val="20"/>
                <w:szCs w:val="20"/>
                <w:color w:val="auto"/>
              </w:rPr>
            </w:pPr>
            <w:r>
              <w:rPr>
                <w:rFonts w:ascii="Arial" w:cs="Arial" w:eastAsia="Arial" w:hAnsi="Arial"/>
                <w:sz w:val="18"/>
                <w:szCs w:val="18"/>
                <w:color w:val="auto"/>
              </w:rPr>
              <w:t>Spain</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CIS, Inc.</w:t>
            </w:r>
          </w:p>
        </w:tc>
        <w:tc>
          <w:tcPr>
            <w:tcW w:w="1840" w:type="dxa"/>
            <w:vAlign w:val="bottom"/>
          </w:tcPr>
          <w:p>
            <w:pPr>
              <w:spacing w:after="0"/>
              <w:rPr>
                <w:sz w:val="20"/>
                <w:szCs w:val="20"/>
                <w:color w:val="auto"/>
              </w:rPr>
            </w:pPr>
            <w:r>
              <w:rPr>
                <w:rFonts w:ascii="Arial" w:cs="Arial" w:eastAsia="Arial" w:hAnsi="Arial"/>
                <w:sz w:val="18"/>
                <w:szCs w:val="18"/>
                <w:color w:val="auto"/>
              </w:rPr>
              <w:t>Delaware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ooo Kelly Services CIS</w:t>
            </w:r>
          </w:p>
        </w:tc>
        <w:tc>
          <w:tcPr>
            <w:tcW w:w="1840" w:type="dxa"/>
            <w:vAlign w:val="bottom"/>
          </w:tcPr>
          <w:p>
            <w:pPr>
              <w:spacing w:after="0"/>
              <w:rPr>
                <w:sz w:val="20"/>
                <w:szCs w:val="20"/>
                <w:color w:val="auto"/>
              </w:rPr>
            </w:pPr>
            <w:r>
              <w:rPr>
                <w:rFonts w:ascii="Arial" w:cs="Arial" w:eastAsia="Arial" w:hAnsi="Arial"/>
                <w:sz w:val="18"/>
                <w:szCs w:val="18"/>
                <w:color w:val="auto"/>
              </w:rPr>
              <w:t>Russia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Deutschland GmbH</w:t>
            </w:r>
          </w:p>
        </w:tc>
        <w:tc>
          <w:tcPr>
            <w:tcW w:w="18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1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Consulting GmbH</w:t>
            </w:r>
          </w:p>
        </w:tc>
        <w:tc>
          <w:tcPr>
            <w:tcW w:w="18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Deutschland GmbH)</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Zeitarbeit GmbH &amp; Co. OHG</w:t>
            </w:r>
          </w:p>
        </w:tc>
        <w:tc>
          <w:tcPr>
            <w:tcW w:w="18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Consulting GmbH and Kelly Services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2"/>
        </w:trPr>
        <w:tc>
          <w:tcPr>
            <w:tcW w:w="6520" w:type="dxa"/>
            <w:vAlign w:val="bottom"/>
            <w:gridSpan w:val="2"/>
          </w:tcPr>
          <w:p>
            <w:pPr>
              <w:ind w:left="220"/>
              <w:spacing w:after="0"/>
              <w:rPr>
                <w:sz w:val="20"/>
                <w:szCs w:val="20"/>
                <w:color w:val="auto"/>
              </w:rPr>
            </w:pPr>
            <w:r>
              <w:rPr>
                <w:rFonts w:ascii="Arial" w:cs="Arial" w:eastAsia="Arial" w:hAnsi="Arial"/>
                <w:sz w:val="18"/>
                <w:szCs w:val="18"/>
                <w:color w:val="auto"/>
              </w:rPr>
              <w:t>Deutschland GmbH)</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Personal Marketing GmbH</w:t>
            </w:r>
          </w:p>
        </w:tc>
        <w:tc>
          <w:tcPr>
            <w:tcW w:w="18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Deutschland GmbH)</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Training GmbH</w:t>
            </w:r>
          </w:p>
        </w:tc>
        <w:tc>
          <w:tcPr>
            <w:tcW w:w="18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Deutschland GmbH)</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1420"/>
          </w:cols>
          <w:pgMar w:left="240" w:top="42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OF REGISTRANT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840" w:type="dxa"/>
            <w:vAlign w:val="bottom"/>
          </w:tcPr>
          <w:p>
            <w:pPr>
              <w:ind w:left="400"/>
              <w:spacing w:after="0"/>
              <w:rPr>
                <w:sz w:val="20"/>
                <w:szCs w:val="20"/>
                <w:color w:val="auto"/>
              </w:rPr>
            </w:pPr>
            <w:r>
              <w:rPr>
                <w:rFonts w:ascii="Arial" w:cs="Arial" w:eastAsia="Arial" w:hAnsi="Arial"/>
                <w:sz w:val="14"/>
                <w:szCs w:val="14"/>
                <w:b w:val="1"/>
                <w:bCs w:val="1"/>
                <w:color w:val="auto"/>
              </w:rPr>
              <w:t>State/Jurisdiction</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4"/>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840" w:type="dxa"/>
            <w:vAlign w:val="bottom"/>
          </w:tcPr>
          <w:p>
            <w:pPr>
              <w:ind w:left="440"/>
              <w:spacing w:after="0"/>
              <w:rPr>
                <w:sz w:val="20"/>
                <w:szCs w:val="20"/>
                <w:color w:val="auto"/>
              </w:rPr>
            </w:pPr>
            <w:r>
              <w:rPr>
                <w:rFonts w:ascii="Arial" w:cs="Arial" w:eastAsia="Arial" w:hAnsi="Arial"/>
                <w:sz w:val="14"/>
                <w:szCs w:val="14"/>
                <w:b w:val="1"/>
                <w:bCs w:val="1"/>
                <w:color w:val="auto"/>
              </w:rPr>
              <w:t>of Incorporation</w:t>
            </w:r>
          </w:p>
        </w:tc>
        <w:tc>
          <w:tcPr>
            <w:tcW w:w="220" w:type="dxa"/>
            <w:vAlign w:val="bottom"/>
          </w:tcPr>
          <w:p>
            <w:pPr>
              <w:spacing w:after="0"/>
              <w:rPr>
                <w:sz w:val="15"/>
                <w:szCs w:val="15"/>
                <w:color w:val="auto"/>
              </w:rPr>
            </w:pPr>
          </w:p>
        </w:tc>
        <w:tc>
          <w:tcPr>
            <w:tcW w:w="2840" w:type="dxa"/>
            <w:vAlign w:val="bottom"/>
          </w:tcPr>
          <w:p>
            <w:pPr>
              <w:ind w:left="980"/>
              <w:spacing w:after="0"/>
              <w:rPr>
                <w:sz w:val="20"/>
                <w:szCs w:val="20"/>
                <w:color w:val="auto"/>
              </w:rPr>
            </w:pPr>
            <w:r>
              <w:rPr>
                <w:rFonts w:ascii="Arial" w:cs="Arial" w:eastAsia="Arial" w:hAnsi="Arial"/>
                <w:sz w:val="14"/>
                <w:szCs w:val="14"/>
                <w:b w:val="1"/>
                <w:bCs w:val="1"/>
                <w:color w:val="auto"/>
              </w:rPr>
              <w:t>Business Name</w:t>
            </w:r>
          </w:p>
        </w:tc>
      </w:tr>
      <w:tr>
        <w:trPr>
          <w:trHeight w:val="95"/>
        </w:trPr>
        <w:tc>
          <w:tcPr>
            <w:tcW w:w="80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r>
      <w:tr>
        <w:trPr>
          <w:trHeight w:val="417"/>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Interim (Belgium) S.A., N.V.</w:t>
            </w:r>
          </w:p>
        </w:tc>
        <w:tc>
          <w:tcPr>
            <w:tcW w:w="1840" w:type="dxa"/>
            <w:vAlign w:val="bottom"/>
          </w:tcPr>
          <w:p>
            <w:pPr>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Inc. and Kelly Properties,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1"/>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Select (Belgium) S.A., N.V.</w:t>
            </w:r>
          </w:p>
        </w:tc>
        <w:tc>
          <w:tcPr>
            <w:tcW w:w="1840" w:type="dxa"/>
            <w:vAlign w:val="bottom"/>
          </w:tcPr>
          <w:p>
            <w:pPr>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Kelly Services, Inc. and Kelly Properties, Inc.)</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w:t>
            </w:r>
          </w:p>
        </w:tc>
        <w:tc>
          <w:tcPr>
            <w:tcW w:w="1840" w:type="dxa"/>
            <w:vAlign w:val="bottom"/>
          </w:tcPr>
          <w:p>
            <w:pPr>
              <w:spacing w:after="0"/>
              <w:rPr>
                <w:sz w:val="20"/>
                <w:szCs w:val="20"/>
                <w:color w:val="auto"/>
              </w:rPr>
            </w:pPr>
            <w:r>
              <w:rPr>
                <w:rFonts w:ascii="Arial" w:cs="Arial" w:eastAsia="Arial" w:hAnsi="Arial"/>
                <w:sz w:val="18"/>
                <w:szCs w:val="18"/>
                <w:color w:val="auto"/>
              </w:rPr>
              <w:t>Sweden</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(Singapore) Pte. Ltd.</w:t>
            </w:r>
          </w:p>
        </w:tc>
        <w:tc>
          <w:tcPr>
            <w:tcW w:w="1840" w:type="dxa"/>
            <w:vAlign w:val="bottom"/>
          </w:tcPr>
          <w:p>
            <w:pPr>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BTI Consultants Pte. Ltd. (a subsidiary of Business Trends Pte. Ltd.)</w:t>
            </w:r>
          </w:p>
        </w:tc>
        <w:tc>
          <w:tcPr>
            <w:tcW w:w="1840" w:type="dxa"/>
            <w:vAlign w:val="bottom"/>
          </w:tcPr>
          <w:p>
            <w:pPr>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(Malaysia) SDN. BHD.</w:t>
            </w:r>
          </w:p>
        </w:tc>
        <w:tc>
          <w:tcPr>
            <w:tcW w:w="1840" w:type="dxa"/>
            <w:vAlign w:val="bottom"/>
          </w:tcPr>
          <w:p>
            <w:pPr>
              <w:spacing w:after="0"/>
              <w:rPr>
                <w:sz w:val="20"/>
                <w:szCs w:val="20"/>
                <w:color w:val="auto"/>
              </w:rPr>
            </w:pPr>
            <w:r>
              <w:rPr>
                <w:rFonts w:ascii="Arial" w:cs="Arial" w:eastAsia="Arial" w:hAnsi="Arial"/>
                <w:sz w:val="18"/>
                <w:szCs w:val="18"/>
                <w:color w:val="auto"/>
              </w:rPr>
              <w:t>Malaysia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Agensi Pekerjaan BTI Consultants SDN. BHD.</w:t>
            </w:r>
          </w:p>
        </w:tc>
        <w:tc>
          <w:tcPr>
            <w:tcW w:w="1840" w:type="dxa"/>
            <w:vAlign w:val="bottom"/>
          </w:tcPr>
          <w:p>
            <w:pPr>
              <w:spacing w:after="0"/>
              <w:rPr>
                <w:sz w:val="20"/>
                <w:szCs w:val="20"/>
                <w:color w:val="auto"/>
              </w:rPr>
            </w:pPr>
            <w:r>
              <w:rPr>
                <w:rFonts w:ascii="Arial" w:cs="Arial" w:eastAsia="Arial" w:hAnsi="Arial"/>
                <w:sz w:val="18"/>
                <w:szCs w:val="18"/>
                <w:color w:val="auto"/>
              </w:rPr>
              <w:t>Malaysia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BTI Consultants (India) Private Limited</w:t>
            </w:r>
          </w:p>
        </w:tc>
        <w:tc>
          <w:tcPr>
            <w:tcW w:w="1840" w:type="dxa"/>
            <w:vAlign w:val="bottom"/>
          </w:tcPr>
          <w:p>
            <w:pPr>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18"/>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India Private Limited</w:t>
            </w:r>
          </w:p>
        </w:tc>
        <w:tc>
          <w:tcPr>
            <w:tcW w:w="1840" w:type="dxa"/>
            <w:vAlign w:val="bottom"/>
          </w:tcPr>
          <w:p>
            <w:pPr>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(a subsidiary of BTI Consultants (India) Pvt. Ltd.)</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38"/>
        </w:trPr>
        <w:tc>
          <w:tcPr>
            <w:tcW w:w="6520" w:type="dxa"/>
            <w:vAlign w:val="bottom"/>
            <w:gridSpan w:val="2"/>
          </w:tcPr>
          <w:p>
            <w:pPr>
              <w:spacing w:after="0"/>
              <w:rPr>
                <w:sz w:val="20"/>
                <w:szCs w:val="20"/>
                <w:color w:val="auto"/>
              </w:rPr>
            </w:pPr>
            <w:r>
              <w:rPr>
                <w:rFonts w:ascii="Arial" w:cs="Arial" w:eastAsia="Arial" w:hAnsi="Arial"/>
                <w:sz w:val="18"/>
                <w:szCs w:val="18"/>
                <w:color w:val="auto"/>
              </w:rPr>
              <w:t>BTI Consultants Hong Kong Limited</w:t>
            </w:r>
          </w:p>
        </w:tc>
        <w:tc>
          <w:tcPr>
            <w:tcW w:w="1840" w:type="dxa"/>
            <w:vAlign w:val="bottom"/>
          </w:tcPr>
          <w:p>
            <w:pPr>
              <w:spacing w:after="0"/>
              <w:rPr>
                <w:sz w:val="20"/>
                <w:szCs w:val="20"/>
                <w:color w:val="auto"/>
              </w:rPr>
            </w:pPr>
            <w:r>
              <w:rPr>
                <w:rFonts w:ascii="Arial" w:cs="Arial" w:eastAsia="Arial" w:hAnsi="Arial"/>
                <w:sz w:val="18"/>
                <w:szCs w:val="18"/>
                <w:color w:val="auto"/>
              </w:rPr>
              <w:t>Hong Kong</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Hong Kong Limited</w:t>
            </w:r>
          </w:p>
        </w:tc>
        <w:tc>
          <w:tcPr>
            <w:tcW w:w="1840" w:type="dxa"/>
            <w:vAlign w:val="bottom"/>
          </w:tcPr>
          <w:p>
            <w:pPr>
              <w:spacing w:after="0"/>
              <w:rPr>
                <w:sz w:val="20"/>
                <w:szCs w:val="20"/>
                <w:color w:val="auto"/>
              </w:rPr>
            </w:pPr>
            <w:r>
              <w:rPr>
                <w:rFonts w:ascii="Arial" w:cs="Arial" w:eastAsia="Arial" w:hAnsi="Arial"/>
                <w:sz w:val="18"/>
                <w:szCs w:val="18"/>
                <w:color w:val="auto"/>
              </w:rPr>
              <w:t>Hong Kong</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BTI Executive Placement (Thailand) Co. Ltd.</w:t>
            </w:r>
          </w:p>
        </w:tc>
        <w:tc>
          <w:tcPr>
            <w:tcW w:w="1840" w:type="dxa"/>
            <w:vAlign w:val="bottom"/>
          </w:tcPr>
          <w:p>
            <w:pPr>
              <w:spacing w:after="0"/>
              <w:rPr>
                <w:sz w:val="20"/>
                <w:szCs w:val="20"/>
                <w:color w:val="auto"/>
              </w:rPr>
            </w:pPr>
            <w:r>
              <w:rPr>
                <w:rFonts w:ascii="Arial" w:cs="Arial" w:eastAsia="Arial" w:hAnsi="Arial"/>
                <w:sz w:val="18"/>
                <w:szCs w:val="18"/>
                <w:color w:val="auto"/>
              </w:rPr>
              <w:t>Thailand</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PT Kelly Services Indonesia</w:t>
            </w:r>
          </w:p>
        </w:tc>
        <w:tc>
          <w:tcPr>
            <w:tcW w:w="1840" w:type="dxa"/>
            <w:vAlign w:val="bottom"/>
          </w:tcPr>
          <w:p>
            <w:pPr>
              <w:spacing w:after="0"/>
              <w:rPr>
                <w:sz w:val="20"/>
                <w:szCs w:val="20"/>
                <w:color w:val="auto"/>
              </w:rPr>
            </w:pPr>
            <w:r>
              <w:rPr>
                <w:rFonts w:ascii="Arial" w:cs="Arial" w:eastAsia="Arial" w:hAnsi="Arial"/>
                <w:sz w:val="18"/>
                <w:szCs w:val="18"/>
                <w:color w:val="auto"/>
              </w:rPr>
              <w:t>Indonesia</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BTI Consultants</w:t>
            </w: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Kelly Services Hungary Staffing Limited Liability Company</w:t>
            </w:r>
          </w:p>
        </w:tc>
        <w:tc>
          <w:tcPr>
            <w:tcW w:w="1840" w:type="dxa"/>
            <w:vAlign w:val="bottom"/>
          </w:tcPr>
          <w:p>
            <w:pPr>
              <w:spacing w:after="0"/>
              <w:rPr>
                <w:sz w:val="20"/>
                <w:szCs w:val="20"/>
                <w:color w:val="auto"/>
              </w:rPr>
            </w:pPr>
            <w:r>
              <w:rPr>
                <w:rFonts w:ascii="Arial" w:cs="Arial" w:eastAsia="Arial" w:hAnsi="Arial"/>
                <w:sz w:val="18"/>
                <w:szCs w:val="18"/>
                <w:color w:val="auto"/>
              </w:rPr>
              <w:t>Hungary</w:t>
            </w: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Kelly Services</w:t>
            </w:r>
          </w:p>
        </w:tc>
      </w:tr>
    </w:tbl>
    <w:p>
      <w:pPr>
        <w:sectPr>
          <w:pgSz w:w="11900" w:h="16838" w:orient="portrait"/>
          <w:cols w:equalWidth="0" w:num="1">
            <w:col w:w="11420"/>
          </w:cols>
          <w:pgMar w:left="240" w:top="42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23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33-48782, 33-51239 and 333-114837), Form S-3 (No. 333-79329) and Form S-4 (No. 333-37660) of Kelly Services, Inc. of our report dated February 18, 2005, except for Note 2 to the consolidated financial statements, as to which the date is May 12, 2005, relating to the financial statements, financial statement schedule, management’s assessment of the effectiveness of internal control over financial reporting and the effectiveness of internal control over financial reporting, which appears in this Form 10-K/A.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12, 2005</w:t>
      </w:r>
    </w:p>
    <w:p>
      <w:pPr>
        <w:sectPr>
          <w:pgSz w:w="11900" w:h="16838" w:orient="portrait"/>
          <w:cols w:equalWidth="0" w:num="1">
            <w:col w:w="11420"/>
          </w:cols>
          <w:pgMar w:left="240" w:top="1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Each of the undersigned directors of Kelly Services, Inc. does hereby appoint William K. Gerber and Daniel T. Lis, signing singly, his or her true and lawful attorneys, to execute for and on behalf of the undersigned Form 10-K Annual Report pursuant to Section 13 or 15(d) of the Securities Exchange Act of 1934 for the fiscal year ending January 2, 2005,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7th day of February, 2005.</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Terence E. Adderley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Terence E. Adderley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T. Camden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 T. Camden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Jane E.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Jane E. Dutton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Maureen A. Fay, 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Maureen A. Fay, O.P.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Verne G. Istock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Verne G. Istock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R. Parfet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R. Parfet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 Joseph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929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 Joseph White</w:t>
      </w:r>
    </w:p>
    <w:p>
      <w:pPr>
        <w:sectPr>
          <w:pgSz w:w="11900" w:h="16838" w:orient="portrait"/>
          <w:cols w:equalWidth="0" w:num="1">
            <w:col w:w="11420"/>
          </w:cols>
          <w:pgMar w:left="240" w:top="13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Terence E. Adderley, certify that:</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to Annual Report on Form 10-K/A of Kelly Services,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20" w:right="800" w:firstLine="1"/>
        <w:spacing w:after="0" w:line="347" w:lineRule="auto"/>
        <w:tabs>
          <w:tab w:leader="none" w:pos="1159"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Terence E. Adderley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Terence E. Adderley</w:t>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William K. Gerber, certify that:</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Amendment to Annual Report on Form 10-K/A of Kelly Services,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20" w:right="800" w:firstLine="1"/>
        <w:spacing w:after="0" w:line="347" w:lineRule="auto"/>
        <w:tabs>
          <w:tab w:leader="none" w:pos="1159"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William K. Gerber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K. Gerber</w:t>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Amendment to Annual Report of Kelly Services, Inc. (the “Company”) on Form 10-K/A for the period ended January 2, 2005 as filed with the Securities and Exchange Commission on the date hereof (the “Report”), I, Terence E. Adderley,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Terence E. Adderley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Terence E. Adderley</w:t>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Amendment to Annual Report of Kelly Services, Inc. (the “Company”) on Form 10-K/A for the period ended January 2, 2005 as filed with the Securities and Exchange Commission on the date hereof (the “Report”), I, William K. Gerber, Chief Financial Officer of the Company, certify, pursuant to 18 U.S.C. Section 1350, as adopted pursuant to Section 906 of the Sarbanes-Oxley Act of 2002, that:</w:t>
      </w:r>
    </w:p>
    <w:p>
      <w:pPr>
        <w:spacing w:after="0" w:line="4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374"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William K. Gerber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K. Gerber</w:t>
      </w:r>
    </w:p>
    <w:p>
      <w:pPr>
        <w:spacing w:after="0" w:line="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Letter"/>
      <w:start w:val="1"/>
    </w:lvl>
    <w:lvl w:ilvl="1">
      <w:lvlJc w:val="left"/>
      <w:lvlText w:val="(%2)"/>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lowerLetter"/>
      <w:start w:val="1"/>
    </w:lvl>
    <w:lvl w:ilvl="1">
      <w:lvlJc w:val="left"/>
      <w:lvlText w:val="(%2)"/>
      <w:numFmt w:val="decimal"/>
      <w:start w:val="3"/>
    </w:lvl>
  </w:abstractNum>
  <w:abstractNum w:abstractNumId="10">
    <w:nsid w:val="6B68079A"/>
    <w:multiLevelType w:val="hybridMultilevel"/>
    <w:lvl w:ilvl="0">
      <w:lvlJc w:val="left"/>
      <w:lvlText w:val="(%1)"/>
      <w:numFmt w:val="lowerLetter"/>
      <w:start w:val="2"/>
    </w:lvl>
    <w:lvl w:ilvl="1">
      <w:lvlJc w:val="left"/>
      <w:lvlText w:val="%2"/>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4"/>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2019-12-13T02:35:32Z</dcterms:created>
  <dcterms:modified xsi:type="dcterms:W3CDTF">2019-12-13T02:35:32Z</dcterms:modified>
</cp:coreProperties>
</file>