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ind w:left="340" w:right="160"/>
        <w:spacing w:after="0" w:line="24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30480</wp:posOffset>
            </wp:positionH>
            <wp:positionV relativeFrom="paragraph">
              <wp:posOffset>-220345</wp:posOffset>
            </wp:positionV>
            <wp:extent cx="117475" cy="11747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475" cy="117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30480</wp:posOffset>
            </wp:positionH>
            <wp:positionV relativeFrom="paragraph">
              <wp:posOffset>-554355</wp:posOffset>
            </wp:positionV>
            <wp:extent cx="117475" cy="11747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475" cy="117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6160" w:type="dxa"/>
            <w:vAlign w:val="bottom"/>
          </w:tcPr>
          <w:p>
            <w:pPr>
              <w:jc w:val="center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160" w:type="dxa"/>
            <w:vAlign w:val="bottom"/>
            <w:vMerge w:val="restart"/>
          </w:tcPr>
          <w:p>
            <w:pPr>
              <w:jc w:val="center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61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160" w:type="dxa"/>
            <w:vAlign w:val="bottom"/>
            <w:vMerge w:val="restart"/>
          </w:tcPr>
          <w:p>
            <w:pPr>
              <w:jc w:val="center"/>
              <w:ind w:right="280"/>
              <w:spacing w:after="0" w:line="17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61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6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6160" w:type="dxa"/>
            <w:vAlign w:val="bottom"/>
            <w:vMerge w:val="restart"/>
          </w:tcPr>
          <w:p>
            <w:pPr>
              <w:jc w:val="center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1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5182870</wp:posOffset>
            </wp:positionH>
            <wp:positionV relativeFrom="paragraph">
              <wp:posOffset>-600710</wp:posOffset>
            </wp:positionV>
            <wp:extent cx="56515" cy="6140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15" cy="6140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3904615</wp:posOffset>
            </wp:positionH>
            <wp:positionV relativeFrom="paragraph">
              <wp:posOffset>-600710</wp:posOffset>
            </wp:positionV>
            <wp:extent cx="56515" cy="6140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15" cy="6140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-1727200</wp:posOffset>
            </wp:positionH>
            <wp:positionV relativeFrom="paragraph">
              <wp:posOffset>636905</wp:posOffset>
            </wp:positionV>
            <wp:extent cx="6998970" cy="41986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8970" cy="4198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7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400"/>
            <w:col w:w="8380"/>
          </w:cols>
          <w:pgMar w:left="460" w:top="213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1. Name and Address of Reporting Person</w:t>
      </w:r>
      <w:r>
        <w:rPr>
          <w:rFonts w:ascii="Arial" w:cs="Arial" w:eastAsia="Arial" w:hAnsi="Arial"/>
          <w:sz w:val="20"/>
          <w:szCs w:val="20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CUBBIN ROBERT S</w:t>
        </w:r>
      </w:hyperlink>
    </w:p>
    <w:p>
      <w:pPr>
        <w:spacing w:after="0" w:line="27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999 W. BIG BEAVER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2. Issuer Name </w:t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19"/>
          <w:szCs w:val="19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19"/>
            <w:szCs w:val="19"/>
            <w:u w:val="single" w:color="auto"/>
            <w:color w:val="0000EE"/>
          </w:rPr>
          <w:t>KELLY SERVICES INC</w:t>
        </w:r>
        <w:r>
          <w:rPr>
            <w:rFonts w:ascii="Times New Roman" w:cs="Times New Roman" w:eastAsia="Times New Roman" w:hAnsi="Times New Roman"/>
            <w:sz w:val="19"/>
            <w:szCs w:val="19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19"/>
          <w:szCs w:val="19"/>
          <w:color w:val="000000"/>
        </w:rPr>
        <w:t>[</w:t>
      </w:r>
      <w:r>
        <w:rPr>
          <w:rFonts w:ascii="Times New Roman" w:cs="Times New Roman" w:eastAsia="Times New Roman" w:hAnsi="Times New Roman"/>
          <w:sz w:val="19"/>
          <w:szCs w:val="19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KELYA</w:t>
      </w:r>
      <w:r>
        <w:rPr>
          <w:rFonts w:ascii="Times New Roman" w:cs="Times New Roman" w:eastAsia="Times New Roman" w:hAnsi="Times New Roman"/>
          <w:sz w:val="19"/>
          <w:szCs w:val="19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00"/>
        </w:rPr>
        <w:t>]</w:t>
      </w:r>
    </w:p>
    <w:p>
      <w:pPr>
        <w:spacing w:after="0" w:line="35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05/07/2026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8" w:right="740" w:hanging="8"/>
        <w:spacing w:after="0" w:line="281" w:lineRule="auto"/>
        <w:tabs>
          <w:tab w:leader="none" w:pos="145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Relationship of Reporting Person(s) to Issuer (Check all applicable)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528"/>
        <w:spacing w:after="0"/>
        <w:tabs>
          <w:tab w:leader="none" w:pos="208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jc w:val="right"/>
        <w:ind w:right="480"/>
        <w:spacing w:after="0"/>
        <w:tabs>
          <w:tab w:leader="none" w:pos="7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528"/>
        <w:spacing w:after="0"/>
        <w:tabs>
          <w:tab w:leader="none" w:pos="208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below)</w:t>
      </w:r>
    </w:p>
    <w:p>
      <w:pPr>
        <w:spacing w:after="0" w:line="4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12" w:space="720"/>
            <w:col w:w="3348"/>
          </w:cols>
          <w:pgMar w:left="460" w:top="213" w:right="359" w:bottom="1440" w:gutter="0" w:footer="0" w:header="0"/>
          <w:type w:val="continuous"/>
        </w:sectPr>
      </w:pPr>
    </w:p>
    <w:p>
      <w:pPr>
        <w:spacing w:after="0" w:line="98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(Street)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2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4. If Amendment, Date of Original Filed (Month/Day/Year)</w:t>
            </w:r>
          </w:p>
        </w:tc>
        <w:tc>
          <w:tcPr>
            <w:tcW w:w="3700" w:type="dxa"/>
            <w:vAlign w:val="bottom"/>
            <w:gridSpan w:val="9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6. Individual or Joint/Group Filing (Check 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TROY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MI</w:t>
            </w:r>
          </w:p>
        </w:tc>
        <w:tc>
          <w:tcPr>
            <w:tcW w:w="10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48084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14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filed by One Reporting Person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(City)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(State)</w:t>
            </w:r>
          </w:p>
        </w:tc>
        <w:tc>
          <w:tcPr>
            <w:tcW w:w="10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(Zip)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3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jc w:val="right"/>
              <w:ind w:right="1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</w:tcPr>
          <w:p>
            <w:pPr>
              <w:ind w:left="9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1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1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</w:tcPr>
          <w:p>
            <w:pPr>
              <w:ind w:left="9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1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3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00" w:type="dxa"/>
            <w:vAlign w:val="bottom"/>
            <w:gridSpan w:val="11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1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2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1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1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6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6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142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5"/>
              </w:rPr>
              <w:t>Reported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Class A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by Issuer's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Class A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  <w:vMerge w:val="restart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Non-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Common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Common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0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15,463.92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vertAlign w:val="superscript"/>
              </w:rPr>
              <w:t>(1)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15,463.92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60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80,296.0948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vertAlign w:val="superscript"/>
              </w:rPr>
              <w:t>(2)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Employee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30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</w:t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ind w:right="143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05/07/2026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16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05/10/2017</w:t>
            </w:r>
          </w:p>
        </w:tc>
        <w:tc>
          <w:tcPr>
            <w:tcW w:w="620" w:type="dxa"/>
            <w:vAlign w:val="bottom"/>
          </w:tcPr>
          <w:p>
            <w:pPr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05/10/2027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Stock,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right"/>
              <w:ind w:right="184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9.7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34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8"/>
                <w:szCs w:val="8"/>
                <w:color w:val="0000FF"/>
              </w:rPr>
              <w:t>Stock, Par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9"/>
              </w:rPr>
              <w:t>Par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8"/>
                <w:szCs w:val="8"/>
                <w:color w:val="0000FF"/>
              </w:rPr>
              <w:t>Director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Value $1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  <w:vMerge w:val="restart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Deferred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Value $1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Comp 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7007225</wp:posOffset>
            </wp:positionH>
            <wp:positionV relativeFrom="paragraph">
              <wp:posOffset>-1792605</wp:posOffset>
            </wp:positionV>
            <wp:extent cx="28575" cy="17983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1798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60" w:hanging="124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Shares deferred pursuant to Kelly Services, Inc. Non-Employee Directors Deferred Compensation Plan.</w:t>
      </w:r>
    </w:p>
    <w:p>
      <w:pPr>
        <w:spacing w:after="0" w:line="47" w:lineRule="exact"/>
        <w:rPr>
          <w:rFonts w:ascii="Times New Roman" w:cs="Times New Roman" w:eastAsia="Times New Roman" w:hAnsi="Times New Roman"/>
          <w:sz w:val="12"/>
          <w:szCs w:val="12"/>
          <w:color w:val="008000"/>
        </w:rPr>
      </w:pPr>
    </w:p>
    <w:p>
      <w:pPr>
        <w:ind w:left="160" w:hanging="124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Includes shares acquired pursuant to a dividend reinvestment feature of Kelly Services, Inc., Non-Employee Directors Deferred Compensation Plan.</w:t>
      </w:r>
    </w:p>
    <w:p>
      <w:pPr>
        <w:ind w:left="6600"/>
        <w:spacing w:after="0" w:line="18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 xml:space="preserve">/s/ Cynthia D. Mull, attorney-in-  </w:t>
      </w:r>
      <w:r>
        <w:rPr>
          <w:rFonts w:ascii="Times New Roman" w:cs="Times New Roman" w:eastAsia="Times New Roman" w:hAnsi="Times New Roman"/>
          <w:sz w:val="32"/>
          <w:szCs w:val="32"/>
          <w:color w:val="0000FF"/>
          <w:vertAlign w:val="subscript"/>
        </w:rPr>
        <w:t>05/10/2026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4188460</wp:posOffset>
            </wp:positionH>
            <wp:positionV relativeFrom="paragraph">
              <wp:posOffset>-25400</wp:posOffset>
            </wp:positionV>
            <wp:extent cx="1325245" cy="762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5245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fact for Mr. Cubbin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4188460</wp:posOffset>
            </wp:positionH>
            <wp:positionV relativeFrom="paragraph">
              <wp:posOffset>-17780</wp:posOffset>
            </wp:positionV>
            <wp:extent cx="793115" cy="762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3115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5584825</wp:posOffset>
            </wp:positionH>
            <wp:positionV relativeFrom="paragraph">
              <wp:posOffset>-80010</wp:posOffset>
            </wp:positionV>
            <wp:extent cx="464820" cy="762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4820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Reminder: Report on a separate line for each class of securities beneficially owned directly or indirectly.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4 (b)(v).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jc w:val="both"/>
        <w:ind w:left="40" w:right="3920" w:hanging="4"/>
        <w:spacing w:after="0" w:line="322" w:lineRule="auto"/>
        <w:tabs>
          <w:tab w:leader="none" w:pos="171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3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251644" TargetMode="External"/><Relationship Id="rId14" Type="http://schemas.openxmlformats.org/officeDocument/2006/relationships/hyperlink" Target="http://www.sec.gov/cgi-bin/browse-edgar?action=getcompany&amp;CIK=000005513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2026-05-11T06:17:52Z</dcterms:created>
  <dcterms:modified xsi:type="dcterms:W3CDTF">2026-05-11T06:17:52Z</dcterms:modified>
</cp:coreProperties>
</file>