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3872865</wp:posOffset>
            </wp:positionH>
            <wp:positionV relativeFrom="paragraph">
              <wp:posOffset>-593090</wp:posOffset>
            </wp:positionV>
            <wp:extent cx="56515" cy="60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628015</wp:posOffset>
            </wp:positionV>
            <wp:extent cx="7000875" cy="4907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490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Duggirala Amala</w:t>
        </w:r>
      </w:hyperlink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999 W.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KELYA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780" w:hanging="4"/>
        <w:spacing w:after="0" w:line="27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TROY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48084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ind w:right="265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15,463.92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15,463.92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05/07/2026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01/12/2022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01/12/2032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Stock,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54,220.5092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Directors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 Par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Value $1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Value $1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ind w:right="305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1,030.93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1,030.93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55,251.4392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05/07/2026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01/12/2022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01/12/2032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Stock,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Directors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Stock, Par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Value $1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Value $1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544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1. Shares deferred pursuant to the Kelly Services, Inc. Non-Employee Directors Deferred Compensation Plan.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8020" w:type="dxa"/>
            <w:vAlign w:val="bottom"/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2. Cash portion of retainer deferred into Class A Common Stock pursuant to the Kelly Services, Inc. Non-Employee Directors Deferred Compensation Plan.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56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3. Includes shares acquired pursuant to a dividend reinvestment feature of the Kelly Services, Inc. Non-Employee Directors Deferred Compensation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Cynthia D. Mull, attorney-in-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 for Ms. Duggirala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2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2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-3639820</wp:posOffset>
            </wp:positionV>
            <wp:extent cx="27940" cy="2536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6350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2026-05-11T06:21:40Z</dcterms:created>
  <dcterms:modified xsi:type="dcterms:W3CDTF">2026-05-11T06:21:40Z</dcterms:modified>
</cp:coreProperties>
</file>