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wp:posOffset>
            </wp:positionH>
            <wp:positionV relativeFrom="paragraph">
              <wp:posOffset>203835</wp:posOffset>
            </wp:positionV>
            <wp:extent cx="6426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243205</wp:posOffset>
            </wp:positionV>
            <wp:extent cx="6426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2898140</wp:posOffset>
            </wp:positionH>
            <wp:positionV relativeFrom="paragraph">
              <wp:posOffset>202565</wp:posOffset>
            </wp:positionV>
            <wp:extent cx="1346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0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2898140</wp:posOffset>
            </wp:positionH>
            <wp:positionV relativeFrom="paragraph">
              <wp:posOffset>202565</wp:posOffset>
            </wp:positionV>
            <wp:extent cx="1346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56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1" w:lineRule="exact"/>
        <w:rPr>
          <w:sz w:val="24"/>
          <w:szCs w:val="24"/>
          <w:color w:val="auto"/>
        </w:rPr>
      </w:pPr>
    </w:p>
    <w:p>
      <w:pPr>
        <w:ind w:left="56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26" w:lineRule="exact"/>
        <w:rPr>
          <w:sz w:val="24"/>
          <w:szCs w:val="24"/>
          <w:color w:val="auto"/>
        </w:rPr>
      </w:pPr>
    </w:p>
    <w:p>
      <w:pPr>
        <w:ind w:left="1080" w:hanging="516"/>
        <w:spacing w:after="0"/>
        <w:tabs>
          <w:tab w:leader="none" w:pos="10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98" w:lineRule="exact"/>
        <w:rPr>
          <w:rFonts w:ascii="MS PGothic" w:cs="MS PGothic" w:eastAsia="MS PGothic" w:hAnsi="MS PGothic"/>
          <w:sz w:val="17"/>
          <w:szCs w:val="17"/>
          <w:color w:val="auto"/>
        </w:rPr>
      </w:pPr>
    </w:p>
    <w:p>
      <w:pPr>
        <w:ind w:left="1080" w:hanging="516"/>
        <w:spacing w:after="0"/>
        <w:tabs>
          <w:tab w:leader="none" w:pos="10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06" w:lineRule="exact"/>
        <w:rPr>
          <w:sz w:val="24"/>
          <w:szCs w:val="24"/>
          <w:color w:val="auto"/>
        </w:rPr>
      </w:pPr>
    </w:p>
    <w:p>
      <w:pPr>
        <w:ind w:left="1080" w:hanging="516"/>
        <w:spacing w:after="0"/>
        <w:tabs>
          <w:tab w:leader="none" w:pos="10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02" w:lineRule="exact"/>
        <w:rPr>
          <w:sz w:val="24"/>
          <w:szCs w:val="24"/>
          <w:color w:val="auto"/>
        </w:rPr>
      </w:pPr>
    </w:p>
    <w:p>
      <w:pPr>
        <w:ind w:left="1080" w:hanging="516"/>
        <w:spacing w:after="0"/>
        <w:tabs>
          <w:tab w:leader="none" w:pos="10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02" w:lineRule="exact"/>
        <w:rPr>
          <w:rFonts w:ascii="MS PGothic" w:cs="MS PGothic" w:eastAsia="MS PGothic" w:hAnsi="MS PGothic"/>
          <w:sz w:val="17"/>
          <w:szCs w:val="17"/>
          <w:color w:val="auto"/>
        </w:rPr>
      </w:pPr>
    </w:p>
    <w:p>
      <w:pPr>
        <w:ind w:left="1080" w:hanging="516"/>
        <w:spacing w:after="0"/>
        <w:tabs>
          <w:tab w:leader="none" w:pos="10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Kelly Services Inc.</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7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6" w:lineRule="exact"/>
        <w:rPr>
          <w:sz w:val="24"/>
          <w:szCs w:val="24"/>
          <w:color w:val="auto"/>
        </w:rPr>
      </w:pPr>
    </w:p>
    <w:p>
      <w:pPr>
        <w:ind w:left="1080" w:hanging="516"/>
        <w:spacing w:after="0"/>
        <w:tabs>
          <w:tab w:leader="none" w:pos="10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1" w:lineRule="exact"/>
        <w:rPr>
          <w:sz w:val="24"/>
          <w:szCs w:val="24"/>
          <w:color w:val="auto"/>
        </w:rPr>
      </w:pPr>
    </w:p>
    <w:p>
      <w:pPr>
        <w:ind w:left="1080" w:hanging="516"/>
        <w:spacing w:after="0"/>
        <w:tabs>
          <w:tab w:leader="none" w:pos="10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1" w:lineRule="exact"/>
        <w:rPr>
          <w:rFonts w:ascii="MS PGothic" w:cs="MS PGothic" w:eastAsia="MS PGothic" w:hAnsi="MS PGothic"/>
          <w:sz w:val="17"/>
          <w:szCs w:val="17"/>
          <w:color w:val="auto"/>
        </w:rPr>
      </w:pPr>
    </w:p>
    <w:p>
      <w:pPr>
        <w:ind w:left="1080" w:hanging="516"/>
        <w:spacing w:after="0"/>
        <w:tabs>
          <w:tab w:leader="none" w:pos="10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wp:posOffset>
            </wp:positionH>
            <wp:positionV relativeFrom="paragraph">
              <wp:posOffset>170180</wp:posOffset>
            </wp:positionV>
            <wp:extent cx="64268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209550</wp:posOffset>
            </wp:positionV>
            <wp:extent cx="64268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210820</wp:posOffset>
            </wp:positionV>
            <wp:extent cx="6049010" cy="7813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49010" cy="78130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398" w:lineRule="exact"/>
        <w:rPr>
          <w:sz w:val="20"/>
          <w:szCs w:val="20"/>
          <w:color w:val="auto"/>
        </w:rPr>
      </w:pPr>
    </w:p>
    <w:p>
      <w:pPr>
        <w:jc w:val="right"/>
        <w:ind w:right="520"/>
        <w:spacing w:after="0"/>
        <w:tabs>
          <w:tab w:leader="none" w:pos="6520" w:val="left"/>
        </w:tabs>
        <w:rPr>
          <w:sz w:val="20"/>
          <w:szCs w:val="20"/>
          <w:color w:val="auto"/>
        </w:rPr>
      </w:pPr>
      <w:r>
        <w:rPr>
          <w:rFonts w:ascii="Arial" w:cs="Arial" w:eastAsia="Arial" w:hAnsi="Arial"/>
          <w:sz w:val="61"/>
          <w:szCs w:val="61"/>
          <w:color w:val="auto"/>
        </w:rPr>
        <w:t xml:space="preserve">       </w:t>
      </w:r>
      <w:r>
        <w:rPr>
          <w:sz w:val="20"/>
          <w:szCs w:val="20"/>
          <w:color w:val="auto"/>
        </w:rPr>
        <w:tab/>
      </w:r>
      <w:r>
        <w:rPr>
          <w:rFonts w:ascii="Arial" w:cs="Arial" w:eastAsia="Arial" w:hAnsi="Arial"/>
          <w:sz w:val="61"/>
          <w:szCs w:val="61"/>
          <w:b w:val="1"/>
          <w:bCs w:val="1"/>
          <w:color w:val="auto"/>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-414655</wp:posOffset>
            </wp:positionV>
            <wp:extent cx="7620" cy="480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48069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-414655</wp:posOffset>
            </wp:positionV>
            <wp:extent cx="819150" cy="393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9150" cy="393700"/>
                    </a:xfrm>
                    <a:prstGeom prst="rect">
                      <a:avLst/>
                    </a:prstGeom>
                    <a:noFill/>
                  </pic:spPr>
                </pic:pic>
              </a:graphicData>
            </a:graphic>
          </wp:anchor>
        </w:drawing>
      </w:r>
    </w:p>
    <w:p>
      <w:pPr>
        <w:spacing w:after="0" w:line="3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April 13, 2026</w:t>
      </w:r>
    </w:p>
    <w:p>
      <w:pPr>
        <w:sectPr>
          <w:pgSz w:w="11900" w:h="16838" w:orient="portrait"/>
          <w:cols w:equalWidth="0" w:num="1">
            <w:col w:w="10680"/>
          </w:cols>
          <w:pgMar w:left="320" w:top="454" w:right="899" w:bottom="1440" w:gutter="0" w:footer="0" w:header="0"/>
        </w:sect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25"/>
          <w:szCs w:val="25"/>
          <w:b w:val="1"/>
          <w:bCs w:val="1"/>
          <w:color w:val="auto"/>
        </w:rPr>
        <w:t>Dear Shareholders:</w:t>
      </w:r>
    </w:p>
    <w:p>
      <w:pPr>
        <w:spacing w:after="0" w:line="137" w:lineRule="exact"/>
        <w:rPr>
          <w:sz w:val="20"/>
          <w:szCs w:val="20"/>
          <w:color w:val="auto"/>
        </w:rPr>
      </w:pPr>
    </w:p>
    <w:p>
      <w:pPr>
        <w:ind w:left="560"/>
        <w:spacing w:after="0" w:line="245" w:lineRule="auto"/>
        <w:rPr>
          <w:sz w:val="20"/>
          <w:szCs w:val="20"/>
          <w:color w:val="auto"/>
        </w:rPr>
      </w:pPr>
      <w:r>
        <w:rPr>
          <w:rFonts w:ascii="Arial" w:cs="Arial" w:eastAsia="Arial" w:hAnsi="Arial"/>
          <w:sz w:val="15"/>
          <w:szCs w:val="15"/>
          <w:color w:val="auto"/>
        </w:rPr>
        <w:t>2025 was a year of transition for Kelly as the Company navigated a dynamic macroeconomic environment and an evolving global and domestic policy landscape. Against this backdrop, we took decisive action to stabilize and strengthen the business, accelerate technology modernization, and position Kelly for growth. 2025 also marked the beginning of a new era of leadership at Kelly as the Company successfully completed a planned CEO succession process. Throughout the year, the Kelly team demonstrated unwavering focus and agility, opportunistically seeking out and capturing demand, driving structural efficiencies, and laying the groundwork for an exciting chapter ahead.</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Stabilizing and Strengthening the Business</w:t>
      </w:r>
    </w:p>
    <w:p>
      <w:pPr>
        <w:spacing w:after="0" w:line="57" w:lineRule="exact"/>
        <w:rPr>
          <w:sz w:val="20"/>
          <w:szCs w:val="20"/>
          <w:color w:val="auto"/>
        </w:rPr>
      </w:pPr>
    </w:p>
    <w:p>
      <w:pPr>
        <w:ind w:left="560" w:right="60"/>
        <w:spacing w:after="0" w:line="267" w:lineRule="auto"/>
        <w:rPr>
          <w:sz w:val="20"/>
          <w:szCs w:val="20"/>
          <w:color w:val="auto"/>
        </w:rPr>
      </w:pPr>
      <w:r>
        <w:rPr>
          <w:rFonts w:ascii="Arial" w:cs="Arial" w:eastAsia="Arial" w:hAnsi="Arial"/>
          <w:sz w:val="14"/>
          <w:szCs w:val="14"/>
          <w:color w:val="auto"/>
        </w:rPr>
        <w:t>In 2025, Kelly focused on driving growth in more resilient markets. Kelly Education delivered year-over-year revenue growth, driven by continued fill rate improvement and solid demand for our market-leading K-12 staffing and pediatric therapy specialties. In the third quarter, Education achieved a portfolio-wide 90% fill rate for the first time, a testament to the operational excellence and deep customer relationships that have made this business one of the best organic growth stories in our industry.</w:t>
      </w:r>
    </w:p>
    <w:p>
      <w:pPr>
        <w:spacing w:after="0" w:line="24" w:lineRule="exact"/>
        <w:rPr>
          <w:sz w:val="20"/>
          <w:szCs w:val="20"/>
          <w:color w:val="auto"/>
        </w:rPr>
      </w:pPr>
    </w:p>
    <w:p>
      <w:pPr>
        <w:ind w:left="560"/>
        <w:spacing w:after="0" w:line="244" w:lineRule="auto"/>
        <w:rPr>
          <w:sz w:val="20"/>
          <w:szCs w:val="20"/>
          <w:color w:val="auto"/>
        </w:rPr>
      </w:pPr>
      <w:r>
        <w:rPr>
          <w:rFonts w:ascii="Arial" w:cs="Arial" w:eastAsia="Arial" w:hAnsi="Arial"/>
          <w:sz w:val="15"/>
          <w:szCs w:val="15"/>
          <w:color w:val="auto"/>
        </w:rPr>
        <w:t>We stabilized the underlying performance of our Science Engineering and Telecom (SET) and Enterprise Talent Management (ETM) businesses as we navigated discrete demand reductions from the federal government and three large customers. Within SET, both our telecom and engineering specialties grew over the prior full-year period, with telecom achieving double-digit growth on robust demand from large carriers. Within ETM, outcome-based solutions, excluding contact center, and payroll process outsourcing also grew on a full-year basis, while our Managed Services Provider specialty gained momentum through new customer wins. Across both segments, we continued to align resources with demand and drove structural efficiencies in our operating model.</w:t>
      </w:r>
    </w:p>
    <w:p>
      <w:pPr>
        <w:spacing w:after="0" w:line="43" w:lineRule="exact"/>
        <w:rPr>
          <w:sz w:val="20"/>
          <w:szCs w:val="20"/>
          <w:color w:val="auto"/>
        </w:rPr>
      </w:pPr>
    </w:p>
    <w:p>
      <w:pPr>
        <w:ind w:left="560" w:right="20"/>
        <w:spacing w:after="0" w:line="245" w:lineRule="auto"/>
        <w:rPr>
          <w:sz w:val="20"/>
          <w:szCs w:val="20"/>
          <w:color w:val="auto"/>
        </w:rPr>
      </w:pPr>
      <w:r>
        <w:rPr>
          <w:rFonts w:ascii="Arial" w:cs="Arial" w:eastAsia="Arial" w:hAnsi="Arial"/>
          <w:sz w:val="15"/>
          <w:szCs w:val="15"/>
          <w:color w:val="auto"/>
        </w:rPr>
        <w:t>Kelly’s scale and capabilities continued to earn recognition from the industry. Everest Group named Kelly both a Leader and Star Performer in each of its Contingent Talent and Strategic Solutions PEAK Matrices, marking the first time a company has achieved this feat, and recognized Kelly as a Leader and Star Performer in RPO. In addition, HRO Today named Kelly the number one global provider of total workforce solutions, encompassing MSP, RPO, and Staffing. These accolades reflect the breadth and depth of our differentiated offerings and the trust that the world’s leading employers place in Kelly to meet their workforce needs.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Accelerating Technology Modernization</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reached a significant milestone in our technology modernization initiative in 2025, completing the cutover of our SET acquisitions to the unified, best-in-class technology platform Kelly acquired through the acquisition of Motion Recruitment Partners. This marks the first phase of a multi-phase strategy to move our enterprise from a fragmented mix of legacy front-, middle-, and back-office technologies to a modern, integrated platform. With our SET acquisitions fully operational within the platform, the business is now benefiting from deeper data and insights, AI and automation at scale, and enhanced productivity. These benefits will extend across SET and the enterprise as we execute our phased approach.</w:t>
      </w:r>
    </w:p>
    <w:p>
      <w:pPr>
        <w:spacing w:after="0" w:line="40"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We accelerated the integration of human-centric AI across the enterprise as well. In the fourth quarter, we launched Grace Boost, a proprietary internal AI platform deployed to every Kelly employee. The platform integrates generative AI into the applications our people use every day to enhance productivity and streamline workflows. We also deployed a scalable and configurable AI recruiting solution that leverages the combined power of people and technology to deliver faster, more cost-effective results for large employers. These practical applications reflect Kelly’s commitment to putting AI directly into the hands of our employees and customers to solve real business challenges.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Positioning for Growth in 2026 and Beyond</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As we enter 2026, we are taking deliberate steps to position Kelly to capitalize on the growth opportunities ahead. Following a successful CEO transition, we are continuing to evolve our leadership team through key appointments. In February, Pat McCall joined Kelly as Chief Growth Officer, bringing 30 years of sales and operations experience and a proven track record of accelerating profitable growth at leading global staffing firms. And in March, Joel Leege was appointed President of SET bringing nearly three decades of experience in specialty staffing and solutions, and a track record of driving above-market growth. Together, Kelly’s refreshed management team is aligned and energized to accelerate progress on our growth strategy.</w:t>
      </w:r>
    </w:p>
    <w:p>
      <w:pPr>
        <w:spacing w:after="0" w:line="56"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Kelly’s Board of Directors also continues to evolve while remaining steadfast in its commitment to sound governance. On January 30, 2026, Kelly entered into a letter of agreement with Hunt Equity Opportunities, LLC (“Hunt”) related to its purchase of the controlling stake of the Company’s Class B common stock previously held by the Terence E. Adderley Revocable Trust K. As part of the agreement, the Board was reconstituted to consist of four new Directors designated by Hunt, including the Chairman of the Board; Kelly’s CEO; and three Directors serving on the</w:t>
      </w:r>
    </w:p>
    <w:p>
      <w:pPr>
        <w:spacing w:after="0" w:line="200" w:lineRule="exact"/>
        <w:rPr>
          <w:sz w:val="20"/>
          <w:szCs w:val="20"/>
          <w:color w:val="auto"/>
        </w:rPr>
      </w:pPr>
    </w:p>
    <w:p>
      <w:pPr>
        <w:sectPr>
          <w:pgSz w:w="11900" w:h="16838" w:orient="portrait"/>
          <w:cols w:equalWidth="0" w:num="2">
            <w:col w:w="5420" w:space="300"/>
            <w:col w:w="4960"/>
          </w:cols>
          <w:pgMar w:left="320" w:top="454" w:right="899" w:bottom="1440" w:gutter="0" w:footer="0" w:header="0"/>
          <w:type w:val="continuous"/>
        </w:sectPr>
      </w:pPr>
    </w:p>
    <w:p>
      <w:pPr>
        <w:spacing w:after="0" w:line="8" w:lineRule="exact"/>
        <w:rPr>
          <w:sz w:val="20"/>
          <w:szCs w:val="20"/>
          <w:color w:val="auto"/>
        </w:rPr>
      </w:pPr>
    </w:p>
    <w:p>
      <w:pPr>
        <w:ind w:left="9220"/>
        <w:spacing w:after="0"/>
        <w:tabs>
          <w:tab w:leader="none" w:pos="1050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6560185</wp:posOffset>
            </wp:positionH>
            <wp:positionV relativeFrom="paragraph">
              <wp:posOffset>-191135</wp:posOffset>
            </wp:positionV>
            <wp:extent cx="7620" cy="212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82" w:lineRule="exact"/>
        <w:rPr>
          <w:sz w:val="20"/>
          <w:szCs w:val="20"/>
          <w:color w:val="auto"/>
        </w:rPr>
      </w:pPr>
    </w:p>
    <w:p>
      <w:pPr>
        <w:ind w:left="560" w:right="5220"/>
        <w:spacing w:after="0" w:line="264" w:lineRule="auto"/>
        <w:rPr>
          <w:sz w:val="20"/>
          <w:szCs w:val="20"/>
          <w:color w:val="auto"/>
        </w:rPr>
      </w:pPr>
      <w:r>
        <w:rPr>
          <w:rFonts w:ascii="Arial" w:cs="Arial" w:eastAsia="Arial" w:hAnsi="Arial"/>
          <w:sz w:val="14"/>
          <w:szCs w:val="14"/>
          <w:color w:val="auto"/>
        </w:rPr>
        <w:t>Board as of the letter agreement date. In connection with these changes, Terrence B. Larkin, Gerald S. Adolph, George S. Corona, InaMarie F. Johnson, and Peter W. Quigley resigned from the Board. We thank them for their dedicated service and contributions to Kelly—particularly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-441325</wp:posOffset>
            </wp:positionV>
            <wp:extent cx="2457450" cy="3622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7450" cy="3622675"/>
                    </a:xfrm>
                    <a:prstGeom prst="rect">
                      <a:avLst/>
                    </a:prstGeom>
                    <a:noFill/>
                  </pic:spPr>
                </pic:pic>
              </a:graphicData>
            </a:graphic>
          </wp:anchor>
        </w:drawing>
      </w:r>
    </w:p>
    <w:p>
      <w:pPr>
        <w:ind w:left="560" w:right="5340"/>
        <w:spacing w:after="0" w:line="255" w:lineRule="auto"/>
        <w:rPr>
          <w:sz w:val="20"/>
          <w:szCs w:val="20"/>
          <w:color w:val="auto"/>
        </w:rPr>
      </w:pPr>
      <w:r>
        <w:rPr>
          <w:rFonts w:ascii="Arial" w:cs="Arial" w:eastAsia="Arial" w:hAnsi="Arial"/>
          <w:sz w:val="15"/>
          <w:szCs w:val="15"/>
          <w:color w:val="auto"/>
        </w:rPr>
        <w:t>Mr. Quigley following a distinguished 23-year career with the Company, including the last five as President and CEO.</w:t>
      </w:r>
    </w:p>
    <w:p>
      <w:pPr>
        <w:spacing w:after="0" w:line="29" w:lineRule="exact"/>
        <w:rPr>
          <w:sz w:val="20"/>
          <w:szCs w:val="20"/>
          <w:color w:val="auto"/>
        </w:rPr>
      </w:pPr>
    </w:p>
    <w:p>
      <w:pPr>
        <w:ind w:left="560" w:right="5280"/>
        <w:spacing w:after="0" w:line="244" w:lineRule="auto"/>
        <w:rPr>
          <w:sz w:val="20"/>
          <w:szCs w:val="20"/>
          <w:color w:val="auto"/>
        </w:rPr>
      </w:pPr>
      <w:r>
        <w:rPr>
          <w:rFonts w:ascii="Arial" w:cs="Arial" w:eastAsia="Arial" w:hAnsi="Arial"/>
          <w:sz w:val="15"/>
          <w:szCs w:val="15"/>
          <w:color w:val="auto"/>
        </w:rPr>
        <w:t>Looking ahead, we have clear organic growth drivers and a pathway to top-line growth and margin expansion in the second half of 2026. In Education, our pipeline of net-new K-12 opportunities remains strong. In SET, we are sharpening our focus on high-growth areas including data centers, AI, and cybersecurity. In ETM, significant new MSP and enterprise staffing wins are coming online, including one of the largest MSP contracts in Kelly’s history. As the discrete demand reductions that impacted our results in 2025 begin to anniversary, we expect the path to improved year-over-year performance to become clearer. Our strategic initiatives to enhance how we go to market as one Kelly enterprise, modernize our technology, and recenter our culture around customer centricity, visibility, and accountability are designed to ensure we capitalize on that inflection.</w:t>
      </w:r>
    </w:p>
    <w:p>
      <w:pPr>
        <w:spacing w:after="0" w:line="40" w:lineRule="exact"/>
        <w:rPr>
          <w:sz w:val="20"/>
          <w:szCs w:val="20"/>
          <w:color w:val="auto"/>
        </w:rPr>
      </w:pPr>
    </w:p>
    <w:p>
      <w:pPr>
        <w:ind w:left="560" w:right="5160"/>
        <w:spacing w:after="0" w:line="244" w:lineRule="auto"/>
        <w:rPr>
          <w:sz w:val="20"/>
          <w:szCs w:val="20"/>
          <w:color w:val="auto"/>
        </w:rPr>
      </w:pPr>
      <w:r>
        <w:rPr>
          <w:rFonts w:ascii="Arial" w:cs="Arial" w:eastAsia="Arial" w:hAnsi="Arial"/>
          <w:sz w:val="15"/>
          <w:szCs w:val="15"/>
          <w:color w:val="auto"/>
        </w:rPr>
        <w:t>Later this year, we will celebrate 80 years of Kelly’s leadership in workforce strategy and solutions. This milestone is a testament to the endurance of our mission to connect people to work in ways that enrich their lives. It also reflects our capacity to transform how we go to market and meet our customers’ evolving needs as the pace of change continues to accelerate. As we prepare to mark this occasion, we have never been more optimistic about Kelly’s future. We move forward with confidence in our strategy, underpinned by a strong balance sheet, healthy cash generation, and a balanced approach to capital allocation. The investments we are making in our people, portfolio, and technology are positioning Kelly to drive profitable growth and to realize the Company’s full potential.</w:t>
      </w:r>
    </w:p>
    <w:p>
      <w:pPr>
        <w:spacing w:after="0" w:line="54" w:lineRule="exact"/>
        <w:rPr>
          <w:sz w:val="20"/>
          <w:szCs w:val="20"/>
          <w:color w:val="auto"/>
        </w:rPr>
      </w:pPr>
    </w:p>
    <w:p>
      <w:pPr>
        <w:ind w:left="560" w:right="5520"/>
        <w:spacing w:after="0" w:line="252" w:lineRule="auto"/>
        <w:rPr>
          <w:sz w:val="20"/>
          <w:szCs w:val="20"/>
          <w:color w:val="auto"/>
        </w:rPr>
      </w:pPr>
      <w:r>
        <w:rPr>
          <w:rFonts w:ascii="Arial" w:cs="Arial" w:eastAsia="Arial" w:hAnsi="Arial"/>
          <w:sz w:val="15"/>
          <w:szCs w:val="15"/>
          <w:color w:val="auto"/>
        </w:rPr>
        <w:t>We thank you for your support and trust at this important moment on Kelly’s journey. As we build on our momentum, we look forward to delivering on the promise of 2026 and accelerating progress on our journey to create long-term value for all our stakeholders.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With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197485</wp:posOffset>
            </wp:positionV>
            <wp:extent cx="638175" cy="330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175" cy="330835"/>
                    </a:xfrm>
                    <a:prstGeom prst="rect">
                      <a:avLst/>
                    </a:prstGeom>
                    <a:noFill/>
                  </pic:spPr>
                </pic:pic>
              </a:graphicData>
            </a:graphic>
          </wp:anchor>
        </w:drawing>
        <w:drawing>
          <wp:anchor simplePos="0" relativeHeight="251657728" behindDoc="1" locked="0" layoutInCell="0" allowOverlap="1">
            <wp:simplePos x="0" y="0"/>
            <wp:positionH relativeFrom="column">
              <wp:posOffset>1692910</wp:posOffset>
            </wp:positionH>
            <wp:positionV relativeFrom="paragraph">
              <wp:posOffset>197485</wp:posOffset>
            </wp:positionV>
            <wp:extent cx="992505" cy="330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2505" cy="330835"/>
                    </a:xfrm>
                    <a:prstGeom prst="rect">
                      <a:avLst/>
                    </a:prstGeom>
                    <a:noFill/>
                  </pic:spPr>
                </pic:pic>
              </a:graphicData>
            </a:graphic>
          </wp:anchor>
        </w:drawing>
      </w:r>
    </w:p>
    <w:p>
      <w:pPr>
        <w:sectPr>
          <w:pgSz w:w="11900" w:h="16838" w:orient="portrait"/>
          <w:cols w:equalWidth="0" w:num="1">
            <w:col w:w="10580"/>
          </w:cols>
          <w:pgMar w:left="320" w:top="45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Chris Hunt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Christopher D. Layden</w:t>
      </w:r>
    </w:p>
    <w:p>
      <w:pPr>
        <w:spacing w:after="0" w:line="42" w:lineRule="exact"/>
        <w:rPr>
          <w:sz w:val="20"/>
          <w:szCs w:val="20"/>
          <w:color w:val="auto"/>
        </w:rPr>
      </w:pPr>
    </w:p>
    <w:p>
      <w:pPr>
        <w:sectPr>
          <w:pgSz w:w="11900" w:h="16838" w:orient="portrait"/>
          <w:cols w:equalWidth="0" w:num="2">
            <w:col w:w="1940" w:space="720"/>
            <w:col w:w="7920"/>
          </w:cols>
          <w:pgMar w:left="320" w:top="454" w:right="999" w:bottom="1440" w:gutter="0" w:footer="0" w:header="0"/>
          <w:type w:val="continuous"/>
        </w:sectPr>
      </w:pPr>
    </w:p>
    <w:p>
      <w:pPr>
        <w:jc w:val="center"/>
        <w:ind w:left="560"/>
        <w:spacing w:after="0"/>
        <w:rPr>
          <w:sz w:val="20"/>
          <w:szCs w:val="20"/>
          <w:color w:val="auto"/>
        </w:rPr>
      </w:pPr>
      <w:r>
        <w:rPr>
          <w:rFonts w:ascii="Arial" w:cs="Arial" w:eastAsia="Arial" w:hAnsi="Arial"/>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273050</wp:posOffset>
            </wp:positionV>
            <wp:extent cx="64268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600"/>
            <w:col w:w="7920"/>
          </w:cols>
          <w:pgMar w:left="320" w:top="454" w:right="99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560"/>
        <w:spacing w:after="0" w:line="274" w:lineRule="auto"/>
        <w:rPr>
          <w:sz w:val="20"/>
          <w:szCs w:val="20"/>
          <w:color w:val="auto"/>
        </w:rPr>
      </w:pPr>
      <w:r>
        <w:rPr>
          <w:rFonts w:ascii="Arial" w:cs="Arial" w:eastAsia="Arial" w:hAnsi="Arial"/>
          <w:sz w:val="21"/>
          <w:szCs w:val="21"/>
          <w:b w:val="1"/>
          <w:bCs w:val="1"/>
          <w:color w:val="auto"/>
        </w:rPr>
        <w:t>“Our team’s resilience and determination through a year of transition have set the stage for what comes next. With a refreshed leadership team, a modernized technology platform, and clear organic growth drivers across our businesses, Kelly is well positioned to realize its full potential. I am confident that 2026 will mark an inflection point on our journey to accelerate profitable growth.”</w:t>
      </w:r>
    </w:p>
    <w:p>
      <w:pPr>
        <w:spacing w:after="0" w:line="200" w:lineRule="exact"/>
        <w:rPr>
          <w:sz w:val="20"/>
          <w:szCs w:val="20"/>
          <w:color w:val="auto"/>
        </w:rPr>
      </w:pPr>
    </w:p>
    <w:p>
      <w:pPr>
        <w:spacing w:after="0" w:line="204"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 xml:space="preserve">Chris Layden, </w:t>
      </w:r>
      <w:r>
        <w:rPr>
          <w:rFonts w:ascii="Arial" w:cs="Arial" w:eastAsia="Arial" w:hAnsi="Arial"/>
          <w:sz w:val="15"/>
          <w:szCs w:val="15"/>
          <w:color w:val="auto"/>
        </w:rPr>
        <w:t>President and CEO</w:t>
      </w:r>
    </w:p>
    <w:p>
      <w:pPr>
        <w:spacing w:after="0" w:line="36"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38"/>
          <w:szCs w:val="38"/>
          <w:color w:val="auto"/>
          <w:vertAlign w:val="superscript"/>
        </w:rPr>
        <w:t>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77825" cy="1809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-204470</wp:posOffset>
            </wp:positionV>
            <wp:extent cx="7620" cy="212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580"/>
          </w:cols>
          <w:pgMar w:left="320" w:top="454"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Notice of Annual Meeting of Shareholders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2026 Annual Meeting of Shareholders</w:t>
      </w:r>
    </w:p>
    <w:p>
      <w:pPr>
        <w:spacing w:after="0" w:line="131" w:lineRule="exact"/>
        <w:rPr>
          <w:sz w:val="20"/>
          <w:szCs w:val="20"/>
          <w:color w:val="auto"/>
        </w:rPr>
      </w:pPr>
    </w:p>
    <w:tbl>
      <w:tblPr>
        <w:tblLayout w:type="fixed"/>
        <w:tblInd w:w="560" w:type="dxa"/>
        <w:tblCellMar>
          <w:top w:w="0" w:type="dxa"/>
          <w:left w:w="0" w:type="dxa"/>
          <w:bottom w:w="0" w:type="dxa"/>
          <w:right w:w="0" w:type="dxa"/>
        </w:tblCellMar>
      </w:tblPr>
      <w:tr>
        <w:trPr>
          <w:trHeight w:val="273"/>
        </w:trPr>
        <w:tc>
          <w:tcPr>
            <w:tcW w:w="2940" w:type="dxa"/>
            <w:vAlign w:val="bottom"/>
            <w:shd w:val="clear" w:color="auto" w:fill="EDEDED"/>
          </w:tcPr>
          <w:p>
            <w:pPr>
              <w:ind w:left="80"/>
              <w:spacing w:after="0"/>
              <w:rPr>
                <w:sz w:val="20"/>
                <w:szCs w:val="20"/>
                <w:color w:val="auto"/>
              </w:rPr>
            </w:pPr>
            <w:r>
              <w:rPr>
                <w:rFonts w:ascii="Arial" w:cs="Arial" w:eastAsia="Arial" w:hAnsi="Arial"/>
                <w:sz w:val="15"/>
                <w:szCs w:val="15"/>
                <w:b w:val="1"/>
                <w:bCs w:val="1"/>
                <w:color w:val="auto"/>
              </w:rPr>
              <w:t>  Date and Time:</w:t>
            </w:r>
          </w:p>
        </w:tc>
        <w:tc>
          <w:tcPr>
            <w:tcW w:w="4360" w:type="dxa"/>
            <w:vAlign w:val="bottom"/>
            <w:shd w:val="clear" w:color="auto" w:fill="EDEDED"/>
          </w:tcPr>
          <w:p>
            <w:pPr>
              <w:ind w:left="1220"/>
              <w:spacing w:after="0"/>
              <w:rPr>
                <w:sz w:val="20"/>
                <w:szCs w:val="20"/>
                <w:color w:val="auto"/>
              </w:rPr>
            </w:pPr>
            <w:r>
              <w:rPr>
                <w:rFonts w:ascii="Arial" w:cs="Arial" w:eastAsia="Arial" w:hAnsi="Arial"/>
                <w:sz w:val="15"/>
                <w:szCs w:val="15"/>
                <w:b w:val="1"/>
                <w:bCs w:val="1"/>
                <w:color w:val="auto"/>
              </w:rPr>
              <w:t>Place:</w:t>
            </w:r>
          </w:p>
        </w:tc>
        <w:tc>
          <w:tcPr>
            <w:tcW w:w="2840" w:type="dxa"/>
            <w:vAlign w:val="bottom"/>
            <w:shd w:val="clear" w:color="auto" w:fill="EDEDED"/>
          </w:tcPr>
          <w:p>
            <w:pPr>
              <w:ind w:left="80"/>
              <w:spacing w:after="0"/>
              <w:rPr>
                <w:sz w:val="20"/>
                <w:szCs w:val="20"/>
                <w:color w:val="auto"/>
              </w:rPr>
            </w:pPr>
            <w:r>
              <w:rPr>
                <w:rFonts w:ascii="Arial" w:cs="Arial" w:eastAsia="Arial" w:hAnsi="Arial"/>
                <w:sz w:val="15"/>
                <w:szCs w:val="15"/>
                <w:b w:val="1"/>
                <w:bCs w:val="1"/>
                <w:color w:val="auto"/>
              </w:rPr>
              <w:t>Record Date:</w:t>
            </w:r>
          </w:p>
        </w:tc>
      </w:tr>
      <w:tr>
        <w:trPr>
          <w:trHeight w:val="261"/>
        </w:trPr>
        <w:tc>
          <w:tcPr>
            <w:tcW w:w="2940" w:type="dxa"/>
            <w:vAlign w:val="bottom"/>
            <w:shd w:val="clear" w:color="auto" w:fill="EDEDED"/>
          </w:tcPr>
          <w:p>
            <w:pPr>
              <w:ind w:left="80"/>
              <w:spacing w:after="0"/>
              <w:rPr>
                <w:sz w:val="20"/>
                <w:szCs w:val="20"/>
                <w:color w:val="auto"/>
              </w:rPr>
            </w:pPr>
            <w:r>
              <w:rPr>
                <w:rFonts w:ascii="Arial" w:cs="Arial" w:eastAsia="Arial" w:hAnsi="Arial"/>
                <w:sz w:val="17"/>
                <w:szCs w:val="17"/>
                <w:color w:val="auto"/>
              </w:rPr>
              <w:t>  Thursday, May 7, 2026, at</w:t>
            </w:r>
          </w:p>
        </w:tc>
        <w:tc>
          <w:tcPr>
            <w:tcW w:w="4360" w:type="dxa"/>
            <w:vAlign w:val="bottom"/>
            <w:shd w:val="clear" w:color="auto" w:fill="EDEDED"/>
          </w:tcPr>
          <w:p>
            <w:pPr>
              <w:ind w:left="1220"/>
              <w:spacing w:after="0"/>
              <w:rPr>
                <w:sz w:val="20"/>
                <w:szCs w:val="20"/>
                <w:color w:val="auto"/>
              </w:rPr>
            </w:pPr>
            <w:r>
              <w:rPr>
                <w:rFonts w:ascii="Arial" w:cs="Arial" w:eastAsia="Arial" w:hAnsi="Arial"/>
                <w:sz w:val="15"/>
                <w:szCs w:val="15"/>
                <w:color w:val="auto"/>
              </w:rPr>
              <w:t>Virtual Meeting:</w:t>
            </w:r>
          </w:p>
        </w:tc>
        <w:tc>
          <w:tcPr>
            <w:tcW w:w="2840" w:type="dxa"/>
            <w:vAlign w:val="bottom"/>
            <w:shd w:val="clear" w:color="auto" w:fill="EDEDED"/>
          </w:tcPr>
          <w:p>
            <w:pPr>
              <w:ind w:left="80"/>
              <w:spacing w:after="0"/>
              <w:rPr>
                <w:sz w:val="20"/>
                <w:szCs w:val="20"/>
                <w:color w:val="auto"/>
              </w:rPr>
            </w:pPr>
            <w:r>
              <w:rPr>
                <w:rFonts w:ascii="Arial" w:cs="Arial" w:eastAsia="Arial" w:hAnsi="Arial"/>
                <w:sz w:val="15"/>
                <w:szCs w:val="15"/>
                <w:color w:val="auto"/>
              </w:rPr>
              <w:t>Close of Business, Eastern Daylight</w:t>
            </w:r>
          </w:p>
        </w:tc>
      </w:tr>
      <w:tr>
        <w:trPr>
          <w:trHeight w:val="209"/>
        </w:trPr>
        <w:tc>
          <w:tcPr>
            <w:tcW w:w="2940" w:type="dxa"/>
            <w:vAlign w:val="bottom"/>
            <w:shd w:val="clear" w:color="auto" w:fill="EDEDED"/>
          </w:tcPr>
          <w:p>
            <w:pPr>
              <w:ind w:left="80"/>
              <w:spacing w:after="0"/>
              <w:rPr>
                <w:sz w:val="20"/>
                <w:szCs w:val="20"/>
                <w:color w:val="auto"/>
              </w:rPr>
            </w:pPr>
            <w:r>
              <w:rPr>
                <w:rFonts w:ascii="Arial" w:cs="Arial" w:eastAsia="Arial" w:hAnsi="Arial"/>
                <w:sz w:val="15"/>
                <w:szCs w:val="15"/>
                <w:color w:val="auto"/>
              </w:rPr>
              <w:t>  12:00 p.m., Eastern Daylight Time</w:t>
            </w:r>
          </w:p>
        </w:tc>
        <w:tc>
          <w:tcPr>
            <w:tcW w:w="4360" w:type="dxa"/>
            <w:vAlign w:val="bottom"/>
            <w:shd w:val="clear" w:color="auto" w:fill="EDEDED"/>
          </w:tcPr>
          <w:p>
            <w:pPr>
              <w:ind w:left="1220"/>
              <w:spacing w:after="0"/>
              <w:rPr>
                <w:sz w:val="20"/>
                <w:szCs w:val="20"/>
                <w:color w:val="auto"/>
              </w:rPr>
            </w:pPr>
            <w:r>
              <w:rPr>
                <w:rFonts w:ascii="Arial" w:cs="Arial" w:eastAsia="Arial" w:hAnsi="Arial"/>
                <w:sz w:val="15"/>
                <w:szCs w:val="15"/>
                <w:color w:val="auto"/>
              </w:rPr>
              <w:t>kellyservices.com</w:t>
            </w:r>
          </w:p>
        </w:tc>
        <w:tc>
          <w:tcPr>
            <w:tcW w:w="2840" w:type="dxa"/>
            <w:vAlign w:val="bottom"/>
            <w:shd w:val="clear" w:color="auto" w:fill="EDEDED"/>
          </w:tcPr>
          <w:p>
            <w:pPr>
              <w:ind w:left="80"/>
              <w:spacing w:after="0"/>
              <w:rPr>
                <w:sz w:val="20"/>
                <w:szCs w:val="20"/>
                <w:color w:val="auto"/>
              </w:rPr>
            </w:pPr>
            <w:r>
              <w:rPr>
                <w:rFonts w:ascii="Arial" w:cs="Arial" w:eastAsia="Arial" w:hAnsi="Arial"/>
                <w:sz w:val="15"/>
                <w:szCs w:val="15"/>
                <w:color w:val="auto"/>
              </w:rPr>
              <w:t>Time, March 19, 2026</w:t>
            </w:r>
          </w:p>
        </w:tc>
      </w:tr>
      <w:tr>
        <w:trPr>
          <w:trHeight w:val="163"/>
        </w:trPr>
        <w:tc>
          <w:tcPr>
            <w:tcW w:w="2940" w:type="dxa"/>
            <w:vAlign w:val="bottom"/>
            <w:shd w:val="clear" w:color="auto" w:fill="EDEDED"/>
          </w:tcPr>
          <w:p>
            <w:pPr>
              <w:spacing w:after="0"/>
              <w:rPr>
                <w:sz w:val="14"/>
                <w:szCs w:val="14"/>
                <w:color w:val="auto"/>
              </w:rPr>
            </w:pPr>
          </w:p>
        </w:tc>
        <w:tc>
          <w:tcPr>
            <w:tcW w:w="4360" w:type="dxa"/>
            <w:vAlign w:val="bottom"/>
            <w:shd w:val="clear" w:color="auto" w:fill="EDEDED"/>
          </w:tcPr>
          <w:p>
            <w:pPr>
              <w:spacing w:after="0"/>
              <w:rPr>
                <w:sz w:val="14"/>
                <w:szCs w:val="14"/>
                <w:color w:val="auto"/>
              </w:rPr>
            </w:pPr>
          </w:p>
        </w:tc>
        <w:tc>
          <w:tcPr>
            <w:tcW w:w="2840" w:type="dxa"/>
            <w:vAlign w:val="bottom"/>
            <w:shd w:val="clear" w:color="auto" w:fill="EDEDED"/>
          </w:tcPr>
          <w:p>
            <w:pPr>
              <w:spacing w:after="0"/>
              <w:rPr>
                <w:sz w:val="14"/>
                <w:szCs w:val="14"/>
                <w:color w:val="auto"/>
              </w:rPr>
            </w:pPr>
          </w:p>
        </w:tc>
      </w:tr>
      <w:tr>
        <w:trPr>
          <w:trHeight w:val="476"/>
        </w:trPr>
        <w:tc>
          <w:tcPr>
            <w:tcW w:w="2940" w:type="dxa"/>
            <w:vAlign w:val="bottom"/>
          </w:tcPr>
          <w:p>
            <w:pPr>
              <w:spacing w:after="0"/>
              <w:rPr>
                <w:sz w:val="20"/>
                <w:szCs w:val="20"/>
                <w:color w:val="auto"/>
              </w:rPr>
            </w:pPr>
            <w:r>
              <w:rPr>
                <w:rFonts w:ascii="Arial" w:cs="Arial" w:eastAsia="Arial" w:hAnsi="Arial"/>
                <w:sz w:val="15"/>
                <w:szCs w:val="15"/>
                <w:b w:val="1"/>
                <w:bCs w:val="1"/>
                <w:color w:val="auto"/>
              </w:rPr>
              <w:t>Voting Matters</w:t>
            </w:r>
          </w:p>
        </w:tc>
        <w:tc>
          <w:tcPr>
            <w:tcW w:w="4360" w:type="dxa"/>
            <w:vAlign w:val="bottom"/>
          </w:tcPr>
          <w:p>
            <w:pPr>
              <w:ind w:left="1040"/>
              <w:spacing w:after="0"/>
              <w:rPr>
                <w:sz w:val="20"/>
                <w:szCs w:val="20"/>
                <w:color w:val="auto"/>
              </w:rPr>
            </w:pPr>
            <w:r>
              <w:rPr>
                <w:rFonts w:ascii="Arial" w:cs="Arial" w:eastAsia="Arial" w:hAnsi="Arial"/>
                <w:sz w:val="15"/>
                <w:szCs w:val="15"/>
                <w:b w:val="1"/>
                <w:bCs w:val="1"/>
                <w:color w:val="auto"/>
              </w:rPr>
              <w:t>How to Vote</w:t>
            </w:r>
          </w:p>
        </w:tc>
        <w:tc>
          <w:tcPr>
            <w:tcW w:w="2840" w:type="dxa"/>
            <w:vAlign w:val="bottom"/>
          </w:tcPr>
          <w:p>
            <w:pPr>
              <w:spacing w:after="0"/>
              <w:rPr>
                <w:sz w:val="24"/>
                <w:szCs w:val="24"/>
                <w:color w:val="auto"/>
              </w:rPr>
            </w:pPr>
          </w:p>
        </w:tc>
      </w:tr>
    </w:tbl>
    <w:p>
      <w:pPr>
        <w:spacing w:after="0" w:line="132" w:lineRule="exact"/>
        <w:rPr>
          <w:sz w:val="20"/>
          <w:szCs w:val="20"/>
          <w:color w:val="auto"/>
        </w:rPr>
      </w:pPr>
    </w:p>
    <w:p>
      <w:pPr>
        <w:sectPr>
          <w:pgSz w:w="11900" w:h="16838" w:orient="portrait"/>
          <w:cols w:equalWidth="0" w:num="1">
            <w:col w:w="10700"/>
          </w:cols>
          <w:pgMar w:left="320" w:top="454" w:right="879" w:bottom="1440" w:gutter="0" w:footer="0" w:header="0"/>
        </w:sectPr>
      </w:pPr>
    </w:p>
    <w:p>
      <w:pPr>
        <w:ind w:left="560"/>
        <w:spacing w:after="0"/>
        <w:rPr>
          <w:sz w:val="20"/>
          <w:szCs w:val="20"/>
          <w:color w:val="auto"/>
        </w:rPr>
      </w:pPr>
      <w:r>
        <w:rPr>
          <w:rFonts w:ascii="Arial" w:cs="Arial" w:eastAsia="Arial" w:hAnsi="Arial"/>
          <w:sz w:val="15"/>
          <w:szCs w:val="15"/>
          <w:b w:val="1"/>
          <w:bCs w:val="1"/>
          <w:color w:val="auto"/>
        </w:rPr>
        <w:t>At the Annual Meeting, you</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will be asked to consider</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46990</wp:posOffset>
            </wp:positionV>
            <wp:extent cx="19926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Proposal 1.</w:t>
      </w:r>
    </w:p>
    <w:p>
      <w:pPr>
        <w:spacing w:after="0" w:line="15" w:lineRule="exact"/>
        <w:rPr>
          <w:sz w:val="20"/>
          <w:szCs w:val="20"/>
          <w:color w:val="auto"/>
        </w:rPr>
      </w:pPr>
    </w:p>
    <w:p>
      <w:pPr>
        <w:ind w:left="560" w:right="640"/>
        <w:spacing w:after="0" w:line="255" w:lineRule="auto"/>
        <w:rPr>
          <w:sz w:val="20"/>
          <w:szCs w:val="20"/>
          <w:color w:val="auto"/>
        </w:rPr>
      </w:pPr>
      <w:r>
        <w:rPr>
          <w:rFonts w:ascii="Arial" w:cs="Arial" w:eastAsia="Arial" w:hAnsi="Arial"/>
          <w:sz w:val="15"/>
          <w:szCs w:val="15"/>
          <w:color w:val="auto"/>
        </w:rPr>
        <w:t>Election of eleven Board-recommended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33655</wp:posOffset>
            </wp:positionV>
            <wp:extent cx="19926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Proposal 2.</w:t>
      </w:r>
    </w:p>
    <w:p>
      <w:pPr>
        <w:spacing w:after="0" w:line="15" w:lineRule="exact"/>
        <w:rPr>
          <w:sz w:val="20"/>
          <w:szCs w:val="20"/>
          <w:color w:val="auto"/>
        </w:rPr>
      </w:pPr>
    </w:p>
    <w:p>
      <w:pPr>
        <w:ind w:left="560" w:right="200"/>
        <w:spacing w:after="0" w:line="255" w:lineRule="auto"/>
        <w:rPr>
          <w:sz w:val="20"/>
          <w:szCs w:val="20"/>
          <w:color w:val="auto"/>
        </w:rPr>
      </w:pPr>
      <w:r>
        <w:rPr>
          <w:rFonts w:ascii="Arial" w:cs="Arial" w:eastAsia="Arial" w:hAnsi="Arial"/>
          <w:sz w:val="15"/>
          <w:szCs w:val="15"/>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33655</wp:posOffset>
            </wp:positionV>
            <wp:extent cx="19926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Proposal 3.</w:t>
      </w:r>
    </w:p>
    <w:p>
      <w:pPr>
        <w:spacing w:after="0" w:line="15" w:lineRule="exact"/>
        <w:rPr>
          <w:sz w:val="20"/>
          <w:szCs w:val="20"/>
          <w:color w:val="auto"/>
        </w:rPr>
      </w:pPr>
    </w:p>
    <w:p>
      <w:pPr>
        <w:ind w:left="560" w:right="120"/>
        <w:spacing w:after="0" w:line="244" w:lineRule="auto"/>
        <w:rPr>
          <w:sz w:val="20"/>
          <w:szCs w:val="20"/>
          <w:color w:val="auto"/>
        </w:rPr>
      </w:pPr>
      <w:r>
        <w:rPr>
          <w:rFonts w:ascii="Arial" w:cs="Arial" w:eastAsia="Arial" w:hAnsi="Arial"/>
          <w:sz w:val="15"/>
          <w:szCs w:val="15"/>
          <w:color w:val="auto"/>
        </w:rPr>
        <w:t>Approve the Amendment to the Company’s Restated Certificate of Incorporation to permit stockholder action by written consent, allow the Chairperson and majority Class B holders to call special meetings, and allow stockholders to fill Board vacancies and new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39370</wp:posOffset>
            </wp:positionV>
            <wp:extent cx="19926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Proposal 4.</w:t>
      </w:r>
    </w:p>
    <w:p>
      <w:pPr>
        <w:spacing w:after="0" w:line="15" w:lineRule="exact"/>
        <w:rPr>
          <w:sz w:val="20"/>
          <w:szCs w:val="20"/>
          <w:color w:val="auto"/>
        </w:rPr>
      </w:pPr>
    </w:p>
    <w:p>
      <w:pPr>
        <w:ind w:left="560" w:right="140"/>
        <w:spacing w:after="0" w:line="248" w:lineRule="auto"/>
        <w:rPr>
          <w:sz w:val="20"/>
          <w:szCs w:val="20"/>
          <w:color w:val="auto"/>
        </w:rPr>
      </w:pPr>
      <w:r>
        <w:rPr>
          <w:rFonts w:ascii="Arial" w:cs="Arial" w:eastAsia="Arial" w:hAnsi="Arial"/>
          <w:sz w:val="15"/>
          <w:szCs w:val="15"/>
          <w:color w:val="auto"/>
        </w:rPr>
        <w:t>Ratification of PricewaterhouseCoopers LLP as the Company’s independent registered public accounting firm for the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37465</wp:posOffset>
            </wp:positionV>
            <wp:extent cx="19926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Proposal 5.</w:t>
      </w:r>
    </w:p>
    <w:p>
      <w:pPr>
        <w:spacing w:after="0" w:line="15" w:lineRule="exact"/>
        <w:rPr>
          <w:sz w:val="20"/>
          <w:szCs w:val="20"/>
          <w:color w:val="auto"/>
        </w:rPr>
      </w:pPr>
    </w:p>
    <w:p>
      <w:pPr>
        <w:ind w:left="560" w:right="500"/>
        <w:spacing w:after="0" w:line="255" w:lineRule="auto"/>
        <w:rPr>
          <w:sz w:val="20"/>
          <w:szCs w:val="20"/>
          <w:color w:val="auto"/>
        </w:rPr>
      </w:pPr>
      <w:r>
        <w:rPr>
          <w:rFonts w:ascii="Arial" w:cs="Arial" w:eastAsia="Arial" w:hAnsi="Arial"/>
          <w:sz w:val="15"/>
          <w:szCs w:val="15"/>
          <w:color w:val="auto"/>
        </w:rPr>
        <w:t>Transaction of any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33655</wp:posOffset>
            </wp:positionV>
            <wp:extent cx="19926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926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20"/>
                <w:szCs w:val="20"/>
                <w:color w:val="auto"/>
              </w:rPr>
            </w:pPr>
            <w:r>
              <w:rPr>
                <w:rFonts w:ascii="Arial" w:cs="Arial" w:eastAsia="Arial" w:hAnsi="Arial"/>
                <w:sz w:val="15"/>
                <w:szCs w:val="15"/>
                <w:b w:val="1"/>
                <w:bCs w:val="1"/>
                <w:color w:val="auto"/>
              </w:rPr>
              <w:t>Online -</w:t>
            </w:r>
          </w:p>
        </w:tc>
        <w:tc>
          <w:tcPr>
            <w:tcW w:w="3060" w:type="dxa"/>
            <w:vAlign w:val="bottom"/>
          </w:tcPr>
          <w:p>
            <w:pPr>
              <w:ind w:left="520"/>
              <w:spacing w:after="0"/>
              <w:rPr>
                <w:sz w:val="20"/>
                <w:szCs w:val="20"/>
                <w:color w:val="auto"/>
              </w:rPr>
            </w:pPr>
            <w:r>
              <w:rPr>
                <w:rFonts w:ascii="Arial" w:cs="Arial" w:eastAsia="Arial" w:hAnsi="Arial"/>
                <w:sz w:val="15"/>
                <w:szCs w:val="15"/>
                <w:b w:val="1"/>
                <w:bCs w:val="1"/>
                <w:color w:val="auto"/>
              </w:rPr>
              <w:t>QR code -</w:t>
            </w:r>
          </w:p>
        </w:tc>
      </w:tr>
      <w:tr>
        <w:trPr>
          <w:trHeight w:val="209"/>
        </w:trPr>
        <w:tc>
          <w:tcPr>
            <w:tcW w:w="2600" w:type="dxa"/>
            <w:vAlign w:val="bottom"/>
          </w:tcPr>
          <w:p>
            <w:pPr>
              <w:spacing w:after="0"/>
              <w:rPr>
                <w:sz w:val="20"/>
                <w:szCs w:val="20"/>
                <w:color w:val="auto"/>
              </w:rPr>
            </w:pPr>
            <w:r>
              <w:rPr>
                <w:rFonts w:ascii="Arial" w:cs="Arial" w:eastAsia="Arial" w:hAnsi="Arial"/>
                <w:sz w:val="15"/>
                <w:szCs w:val="15"/>
                <w:color w:val="auto"/>
              </w:rPr>
              <w:t>www.envisionreports.com/kelyb</w:t>
            </w:r>
          </w:p>
        </w:tc>
        <w:tc>
          <w:tcPr>
            <w:tcW w:w="3060" w:type="dxa"/>
            <w:vAlign w:val="bottom"/>
          </w:tcPr>
          <w:p>
            <w:pPr>
              <w:ind w:left="520"/>
              <w:spacing w:after="0"/>
              <w:rPr>
                <w:sz w:val="20"/>
                <w:szCs w:val="20"/>
                <w:color w:val="auto"/>
              </w:rPr>
            </w:pPr>
            <w:r>
              <w:rPr>
                <w:rFonts w:ascii="Arial" w:cs="Arial" w:eastAsia="Arial" w:hAnsi="Arial"/>
                <w:sz w:val="15"/>
                <w:szCs w:val="15"/>
                <w:color w:val="auto"/>
                <w:w w:val="98"/>
              </w:rPr>
              <w:t>Scan and vote with your mobile device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-525780</wp:posOffset>
            </wp:positionV>
            <wp:extent cx="29146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-549910</wp:posOffset>
            </wp:positionV>
            <wp:extent cx="323215" cy="323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215" cy="323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29146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237490</wp:posOffset>
            </wp:positionV>
            <wp:extent cx="29146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3100" w:val="left"/>
        </w:tabs>
        <w:rPr>
          <w:sz w:val="20"/>
          <w:szCs w:val="20"/>
          <w:color w:val="auto"/>
        </w:rPr>
      </w:pPr>
      <w:r>
        <w:rPr>
          <w:rFonts w:ascii="Arial" w:cs="Arial" w:eastAsia="Arial" w:hAnsi="Arial"/>
          <w:sz w:val="15"/>
          <w:szCs w:val="15"/>
          <w:b w:val="1"/>
          <w:bCs w:val="1"/>
          <w:color w:val="auto"/>
        </w:rPr>
        <w:t xml:space="preserve">Calling - </w:t>
      </w:r>
      <w:r>
        <w:rPr>
          <w:rFonts w:ascii="Arial" w:cs="Arial" w:eastAsia="Arial" w:hAnsi="Arial"/>
          <w:sz w:val="15"/>
          <w:szCs w:val="15"/>
          <w:color w:val="auto"/>
        </w:rPr>
        <w:t>1-800-652-VOTE (8683) Within the</w:t>
      </w:r>
      <w:r>
        <w:rPr>
          <w:sz w:val="20"/>
          <w:szCs w:val="20"/>
          <w:color w:val="auto"/>
        </w:rPr>
        <w:tab/>
      </w:r>
      <w:r>
        <w:rPr>
          <w:rFonts w:ascii="Arial" w:cs="Arial" w:eastAsia="Arial" w:hAnsi="Arial"/>
          <w:sz w:val="14"/>
          <w:szCs w:val="14"/>
          <w:b w:val="1"/>
          <w:bCs w:val="1"/>
          <w:color w:val="auto"/>
        </w:rPr>
        <w:t>Mail -</w:t>
      </w:r>
    </w:p>
    <w:p>
      <w:pPr>
        <w:spacing w:after="0" w:line="15" w:lineRule="exact"/>
        <w:rPr>
          <w:sz w:val="20"/>
          <w:szCs w:val="20"/>
          <w:color w:val="auto"/>
        </w:rPr>
      </w:pPr>
    </w:p>
    <w:p>
      <w:pPr>
        <w:spacing w:after="0"/>
        <w:tabs>
          <w:tab w:leader="none" w:pos="3100" w:val="left"/>
        </w:tabs>
        <w:rPr>
          <w:sz w:val="20"/>
          <w:szCs w:val="20"/>
          <w:color w:val="auto"/>
        </w:rPr>
      </w:pPr>
      <w:r>
        <w:rPr>
          <w:rFonts w:ascii="Arial" w:cs="Arial" w:eastAsia="Arial" w:hAnsi="Arial"/>
          <w:sz w:val="15"/>
          <w:szCs w:val="15"/>
          <w:color w:val="auto"/>
        </w:rPr>
        <w:t>U.S., U.S. territories &amp; Canada on a touch-</w:t>
      </w:r>
      <w:r>
        <w:rPr>
          <w:sz w:val="20"/>
          <w:szCs w:val="20"/>
          <w:color w:val="auto"/>
        </w:rPr>
        <w:tab/>
      </w:r>
      <w:r>
        <w:rPr>
          <w:rFonts w:ascii="Arial" w:cs="Arial" w:eastAsia="Arial" w:hAnsi="Arial"/>
          <w:sz w:val="14"/>
          <w:szCs w:val="14"/>
          <w:color w:val="auto"/>
        </w:rPr>
        <w:t>Return the signed proxy card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tone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275590</wp:posOffset>
            </wp:positionV>
            <wp:extent cx="39776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7640"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40"/>
        <w:spacing w:after="0" w:line="258" w:lineRule="auto"/>
        <w:rPr>
          <w:sz w:val="20"/>
          <w:szCs w:val="20"/>
          <w:color w:val="auto"/>
        </w:rPr>
      </w:pPr>
      <w:r>
        <w:rPr>
          <w:rFonts w:ascii="Arial" w:cs="Arial" w:eastAsia="Arial" w:hAnsi="Arial"/>
          <w:sz w:val="15"/>
          <w:szCs w:val="15"/>
          <w:color w:val="auto"/>
        </w:rPr>
        <w:t>Proxies submitted online or by telephone must be received by 11:59 p.m., Central Daylight Time, on May 6, 2026. If you vote by mail, your proxy card must be received before the Annual Meeting.</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b w:val="1"/>
          <w:bCs w:val="1"/>
          <w:color w:val="auto"/>
        </w:rPr>
        <w:t>Beneficial owners</w:t>
      </w:r>
      <w:r>
        <w:rPr>
          <w:rFonts w:ascii="Arial" w:cs="Arial" w:eastAsia="Arial" w:hAnsi="Arial"/>
          <w:sz w:val="15"/>
          <w:szCs w:val="15"/>
          <w:color w:val="auto"/>
        </w:rPr>
        <w:t>, who own shares through a bank, brokerage firm, or other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can vote by returning the voting instruction form, or by following the instructions for voting via telephone or the Internet, provided by the bank, broker, or other organization. If you own shares in different accounts or in more than one name, you may receive different voting instructions for each type of ownership. Please vote all your shares.</w:t>
      </w:r>
    </w:p>
    <w:p>
      <w:pPr>
        <w:spacing w:after="0" w:line="81"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 xml:space="preserve">If you are a </w:t>
      </w:r>
      <w:r>
        <w:rPr>
          <w:rFonts w:ascii="Arial" w:cs="Arial" w:eastAsia="Arial" w:hAnsi="Arial"/>
          <w:sz w:val="15"/>
          <w:szCs w:val="15"/>
          <w:b w:val="1"/>
          <w:bCs w:val="1"/>
          <w:color w:val="auto"/>
        </w:rPr>
        <w:t>registered shareholder</w:t>
      </w:r>
      <w:r>
        <w:rPr>
          <w:rFonts w:ascii="Arial" w:cs="Arial" w:eastAsia="Arial" w:hAnsi="Arial"/>
          <w:sz w:val="15"/>
          <w:szCs w:val="15"/>
          <w:color w:val="auto"/>
        </w:rPr>
        <w:t xml:space="preserve"> (i.e., you hold your shares through our transfer agent, Computershare), you may vote online,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316230</wp:posOffset>
            </wp:positionV>
            <wp:extent cx="6426835" cy="2000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26835" cy="2000250"/>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3820" w:space="720"/>
            <w:col w:w="6160"/>
          </w:cols>
          <w:pgMar w:left="320" w:top="454" w:right="879" w:bottom="1440" w:gutter="0" w:footer="0" w:header="0"/>
          <w:type w:val="continuous"/>
        </w:sectPr>
      </w:pPr>
    </w:p>
    <w:p>
      <w:pPr>
        <w:spacing w:after="0" w:line="213" w:lineRule="exact"/>
        <w:rPr>
          <w:sz w:val="20"/>
          <w:szCs w:val="20"/>
          <w:color w:val="auto"/>
        </w:rPr>
      </w:pPr>
    </w:p>
    <w:p>
      <w:pPr>
        <w:ind w:left="660" w:right="140"/>
        <w:spacing w:after="0" w:line="275" w:lineRule="auto"/>
        <w:rPr>
          <w:sz w:val="20"/>
          <w:szCs w:val="20"/>
          <w:color w:val="auto"/>
        </w:rPr>
      </w:pPr>
      <w:r>
        <w:rPr>
          <w:rFonts w:ascii="Arial" w:cs="Arial" w:eastAsia="Arial" w:hAnsi="Arial"/>
          <w:sz w:val="15"/>
          <w:szCs w:val="15"/>
          <w:color w:val="auto"/>
        </w:rPr>
        <w:t>If you were a holder of record of the Company’s Class B Common Stock at the close of business on the Record Date, March 19, 2026, you are entitled to vote at the Annual Meeting.</w:t>
      </w:r>
    </w:p>
    <w:p>
      <w:pPr>
        <w:spacing w:after="0" w:line="51" w:lineRule="exact"/>
        <w:rPr>
          <w:sz w:val="20"/>
          <w:szCs w:val="20"/>
          <w:color w:val="auto"/>
        </w:rPr>
      </w:pPr>
    </w:p>
    <w:p>
      <w:pPr>
        <w:ind w:left="660" w:right="220"/>
        <w:spacing w:after="0" w:line="275" w:lineRule="auto"/>
        <w:rPr>
          <w:sz w:val="20"/>
          <w:szCs w:val="20"/>
          <w:color w:val="auto"/>
        </w:rPr>
      </w:pPr>
      <w:r>
        <w:rPr>
          <w:rFonts w:ascii="Arial" w:cs="Arial" w:eastAsia="Arial" w:hAnsi="Arial"/>
          <w:sz w:val="15"/>
          <w:szCs w:val="15"/>
          <w:color w:val="auto"/>
        </w:rPr>
        <w:t>Please promptly submit your vote by internet, telephone, or by signing, dating, and returning the enclosed proxy card or voting instructions form in the postage-paid envelope provided so that your shares will be represented and voted at the meeting.</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Thank you for your interest in Kelly.</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VANESSA P. WILLIAMS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Corporate Secretary</w:t>
      </w:r>
    </w:p>
    <w:p>
      <w:pPr>
        <w:spacing w:after="0" w:line="296" w:lineRule="exact"/>
        <w:rPr>
          <w:sz w:val="20"/>
          <w:szCs w:val="20"/>
          <w:color w:val="auto"/>
        </w:rPr>
      </w:pPr>
    </w:p>
    <w:tbl>
      <w:tblPr>
        <w:tblLayout w:type="fixed"/>
        <w:tblInd w:w="9160" w:type="dxa"/>
        <w:tblCellMar>
          <w:top w:w="0" w:type="dxa"/>
          <w:left w:w="0" w:type="dxa"/>
          <w:bottom w:w="0" w:type="dxa"/>
          <w:right w:w="0" w:type="dxa"/>
        </w:tblCellMar>
      </w:tblPr>
      <w:tr>
        <w:trPr>
          <w:trHeight w:val="26"/>
        </w:trPr>
        <w:tc>
          <w:tcPr>
            <w:tcW w:w="440" w:type="dxa"/>
            <w:vAlign w:val="bottom"/>
            <w:vMerge w:val="restart"/>
          </w:tcPr>
          <w:p>
            <w:pPr>
              <w:spacing w:after="0"/>
              <w:rPr>
                <w:sz w:val="20"/>
                <w:szCs w:val="20"/>
                <w:color w:val="auto"/>
              </w:rPr>
            </w:pPr>
            <w:r>
              <w:rPr>
                <w:rFonts w:ascii="Arial" w:cs="Arial" w:eastAsia="Arial" w:hAnsi="Arial"/>
                <w:sz w:val="20"/>
                <w:szCs w:val="20"/>
                <w:color w:val="auto"/>
              </w:rPr>
              <w:t> </w:t>
            </w:r>
          </w:p>
        </w:tc>
        <w:tc>
          <w:tcPr>
            <w:tcW w:w="660" w:type="dxa"/>
            <w:vAlign w:val="bottom"/>
            <w:vMerge w:val="restart"/>
          </w:tcPr>
          <w:p>
            <w:pPr>
              <w:ind w:left="40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38"/>
        </w:trPr>
        <w:tc>
          <w:tcPr>
            <w:tcW w:w="4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-212090</wp:posOffset>
            </wp:positionV>
            <wp:extent cx="377825" cy="173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80" w:type="dxa"/>
            <w:vAlign w:val="bottom"/>
            <w:gridSpan w:val="41"/>
          </w:tcPr>
          <w:p>
            <w:pPr>
              <w:spacing w:after="0"/>
              <w:rPr>
                <w:sz w:val="20"/>
                <w:szCs w:val="20"/>
                <w:color w:val="auto"/>
              </w:rPr>
            </w:pPr>
            <w:r>
              <w:rPr>
                <w:rFonts w:ascii="Arial" w:cs="Arial" w:eastAsia="Arial" w:hAnsi="Arial"/>
                <w:sz w:val="14"/>
                <w:szCs w:val="14"/>
                <w:b w:val="1"/>
                <w:bCs w:val="1"/>
                <w:color w:val="0000EE"/>
              </w:rPr>
              <w:t>Proxy Summary</w:t>
            </w: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00AE4F"/>
              </w:rPr>
              <w:t>5</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840" w:type="dxa"/>
            <w:vAlign w:val="bottom"/>
            <w:tcBorders>
              <w:bottom w:val="single" w:sz="8" w:color="0000EE"/>
            </w:tcBorders>
            <w:gridSpan w:val="33"/>
          </w:tcPr>
          <w:p>
            <w:pPr>
              <w:spacing w:after="0" w:line="129" w:lineRule="exact"/>
              <w:rPr>
                <w:sz w:val="20"/>
                <w:szCs w:val="20"/>
                <w:color w:val="auto"/>
              </w:rPr>
            </w:pPr>
            <w:r>
              <w:rPr>
                <w:rFonts w:ascii="Arial" w:cs="Arial" w:eastAsia="Arial" w:hAnsi="Arial"/>
                <w:sz w:val="14"/>
                <w:szCs w:val="14"/>
                <w:color w:val="0000EE"/>
              </w:rPr>
              <w:t>2026 Annual Meeting of Shareholders Details</w:t>
            </w:r>
          </w:p>
        </w:tc>
        <w:tc>
          <w:tcPr>
            <w:tcW w:w="1440" w:type="dxa"/>
            <w:vAlign w:val="bottom"/>
            <w:gridSpan w:val="8"/>
          </w:tcPr>
          <w:p>
            <w:pPr>
              <w:spacing w:after="0"/>
              <w:rPr>
                <w:sz w:val="11"/>
                <w:szCs w:val="11"/>
                <w:color w:val="auto"/>
              </w:rPr>
            </w:pPr>
          </w:p>
        </w:tc>
        <w:tc>
          <w:tcPr>
            <w:tcW w:w="580" w:type="dxa"/>
            <w:vAlign w:val="bottom"/>
          </w:tcPr>
          <w:p>
            <w:pPr>
              <w:jc w:val="right"/>
              <w:ind w:right="10"/>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Proxy Voting Roadmap</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4"/>
        </w:trPr>
        <w:tc>
          <w:tcPr>
            <w:tcW w:w="1180" w:type="dxa"/>
            <w:vAlign w:val="bottom"/>
            <w:tcBorders>
              <w:top w:val="single" w:sz="8" w:color="0000EE"/>
              <w:bottom w:val="single" w:sz="8" w:color="0000EE"/>
            </w:tcBorders>
            <w:gridSpan w:val="7"/>
          </w:tcPr>
          <w:p>
            <w:pPr>
              <w:spacing w:after="0" w:line="154" w:lineRule="exact"/>
              <w:rPr>
                <w:sz w:val="20"/>
                <w:szCs w:val="20"/>
                <w:color w:val="auto"/>
              </w:rPr>
            </w:pPr>
            <w:r>
              <w:rPr>
                <w:rFonts w:ascii="Arial" w:cs="Arial" w:eastAsia="Arial" w:hAnsi="Arial"/>
                <w:sz w:val="14"/>
                <w:szCs w:val="14"/>
                <w:color w:val="0000EE"/>
              </w:rPr>
              <w:t>Director Nominees</w:t>
            </w:r>
          </w:p>
        </w:tc>
        <w:tc>
          <w:tcPr>
            <w:tcW w:w="260" w:type="dxa"/>
            <w:vAlign w:val="bottom"/>
            <w:tcBorders>
              <w:top w:val="single" w:sz="8" w:color="0000EE"/>
            </w:tcBorders>
            <w:gridSpan w:val="6"/>
          </w:tcPr>
          <w:p>
            <w:pPr>
              <w:spacing w:after="0"/>
              <w:rPr>
                <w:sz w:val="13"/>
                <w:szCs w:val="13"/>
                <w:color w:val="auto"/>
              </w:rPr>
            </w:pPr>
          </w:p>
        </w:tc>
        <w:tc>
          <w:tcPr>
            <w:tcW w:w="2840" w:type="dxa"/>
            <w:vAlign w:val="bottom"/>
            <w:gridSpan w:val="28"/>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4"/>
        </w:trPr>
        <w:tc>
          <w:tcPr>
            <w:tcW w:w="2100" w:type="dxa"/>
            <w:vAlign w:val="bottom"/>
            <w:tcBorders>
              <w:bottom w:val="single" w:sz="8" w:color="0000EE"/>
            </w:tcBorders>
            <w:gridSpan w:val="25"/>
          </w:tcPr>
          <w:p>
            <w:pPr>
              <w:spacing w:after="0" w:line="154" w:lineRule="exact"/>
              <w:rPr>
                <w:sz w:val="20"/>
                <w:szCs w:val="20"/>
                <w:color w:val="auto"/>
              </w:rPr>
            </w:pPr>
            <w:r>
              <w:rPr>
                <w:rFonts w:ascii="Arial" w:cs="Arial" w:eastAsia="Arial" w:hAnsi="Arial"/>
                <w:sz w:val="14"/>
                <w:szCs w:val="14"/>
                <w:color w:val="0000EE"/>
              </w:rPr>
              <w:t>Corporate Governance Highlights</w:t>
            </w:r>
          </w:p>
        </w:tc>
        <w:tc>
          <w:tcPr>
            <w:tcW w:w="2180" w:type="dxa"/>
            <w:vAlign w:val="bottom"/>
            <w:gridSpan w:val="16"/>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1180" w:type="dxa"/>
            <w:vAlign w:val="bottom"/>
            <w:tcBorders>
              <w:bottom w:val="single" w:sz="8" w:color="0000EE"/>
            </w:tcBorders>
            <w:gridSpan w:val="7"/>
          </w:tcPr>
          <w:p>
            <w:pPr>
              <w:spacing w:after="0" w:line="154" w:lineRule="exact"/>
              <w:rPr>
                <w:sz w:val="20"/>
                <w:szCs w:val="20"/>
                <w:color w:val="auto"/>
              </w:rPr>
            </w:pPr>
            <w:r>
              <w:rPr>
                <w:rFonts w:ascii="Arial" w:cs="Arial" w:eastAsia="Arial" w:hAnsi="Arial"/>
                <w:sz w:val="14"/>
                <w:szCs w:val="14"/>
                <w:color w:val="0000EE"/>
                <w:w w:val="98"/>
              </w:rPr>
              <w:t>Meet Today’s Kelly</w:t>
            </w:r>
          </w:p>
        </w:tc>
        <w:tc>
          <w:tcPr>
            <w:tcW w:w="3100" w:type="dxa"/>
            <w:vAlign w:val="bottom"/>
            <w:gridSpan w:val="34"/>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0000EE"/>
            </w:tcBorders>
            <w:gridSpan w:val="6"/>
          </w:tcPr>
          <w:p>
            <w:pPr>
              <w:spacing w:after="0" w:line="154" w:lineRule="exact"/>
              <w:rPr>
                <w:sz w:val="20"/>
                <w:szCs w:val="20"/>
                <w:color w:val="auto"/>
              </w:rPr>
            </w:pPr>
            <w:r>
              <w:rPr>
                <w:rFonts w:ascii="Arial" w:cs="Arial" w:eastAsia="Arial" w:hAnsi="Arial"/>
                <w:sz w:val="14"/>
                <w:szCs w:val="14"/>
                <w:color w:val="0000EE"/>
                <w:w w:val="98"/>
              </w:rPr>
              <w:t>A Year in Review</w:t>
            </w:r>
          </w:p>
        </w:tc>
        <w:tc>
          <w:tcPr>
            <w:tcW w:w="3200" w:type="dxa"/>
            <w:vAlign w:val="bottom"/>
            <w:gridSpan w:val="35"/>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4"/>
        </w:trPr>
        <w:tc>
          <w:tcPr>
            <w:tcW w:w="1580" w:type="dxa"/>
            <w:vAlign w:val="bottom"/>
            <w:tcBorders>
              <w:bottom w:val="single" w:sz="8" w:color="0000EE"/>
            </w:tcBorders>
            <w:gridSpan w:val="16"/>
          </w:tcPr>
          <w:p>
            <w:pPr>
              <w:spacing w:after="0" w:line="154" w:lineRule="exact"/>
              <w:rPr>
                <w:sz w:val="20"/>
                <w:szCs w:val="20"/>
                <w:color w:val="auto"/>
              </w:rPr>
            </w:pPr>
            <w:r>
              <w:rPr>
                <w:rFonts w:ascii="Arial" w:cs="Arial" w:eastAsia="Arial" w:hAnsi="Arial"/>
                <w:sz w:val="14"/>
                <w:szCs w:val="14"/>
                <w:color w:val="0000EE"/>
                <w:w w:val="99"/>
              </w:rPr>
              <w:t>2025 Financial Highlights</w:t>
            </w:r>
          </w:p>
        </w:tc>
        <w:tc>
          <w:tcPr>
            <w:tcW w:w="2700" w:type="dxa"/>
            <w:vAlign w:val="bottom"/>
            <w:gridSpan w:val="25"/>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Select Awards &amp; Recognitions</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80" w:type="dxa"/>
            <w:vAlign w:val="bottom"/>
            <w:gridSpan w:val="41"/>
          </w:tcPr>
          <w:p>
            <w:pPr>
              <w:spacing w:after="0"/>
              <w:rPr>
                <w:sz w:val="20"/>
                <w:szCs w:val="20"/>
                <w:color w:val="auto"/>
              </w:rPr>
            </w:pPr>
            <w:r>
              <w:rPr>
                <w:rFonts w:ascii="Arial" w:cs="Arial" w:eastAsia="Arial" w:hAnsi="Arial"/>
                <w:sz w:val="14"/>
                <w:szCs w:val="14"/>
                <w:b w:val="1"/>
                <w:bCs w:val="1"/>
                <w:color w:val="0000EE"/>
              </w:rPr>
              <w:t>Proposal 1: Election of Directors</w:t>
            </w: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00AE4F"/>
              </w:rPr>
              <w:t>13</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4280" w:type="dxa"/>
            <w:vAlign w:val="bottom"/>
            <w:gridSpan w:val="41"/>
          </w:tcPr>
          <w:p>
            <w:pPr>
              <w:spacing w:after="0" w:line="129" w:lineRule="exact"/>
              <w:rPr>
                <w:sz w:val="20"/>
                <w:szCs w:val="20"/>
                <w:color w:val="auto"/>
              </w:rPr>
            </w:pPr>
            <w:r>
              <w:rPr>
                <w:rFonts w:ascii="Arial" w:cs="Arial" w:eastAsia="Arial" w:hAnsi="Arial"/>
                <w:sz w:val="14"/>
                <w:szCs w:val="14"/>
                <w:color w:val="0000EE"/>
              </w:rPr>
              <w:t>Director Independence</w:t>
            </w:r>
          </w:p>
        </w:tc>
        <w:tc>
          <w:tcPr>
            <w:tcW w:w="580" w:type="dxa"/>
            <w:vAlign w:val="bottom"/>
          </w:tcPr>
          <w:p>
            <w:pPr>
              <w:jc w:val="right"/>
              <w:ind w:right="10"/>
              <w:spacing w:after="0" w:line="12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4"/>
        </w:trPr>
        <w:tc>
          <w:tcPr>
            <w:tcW w:w="1060" w:type="dxa"/>
            <w:vAlign w:val="bottom"/>
            <w:tcBorders>
              <w:top w:val="single" w:sz="8" w:color="0000EE"/>
              <w:bottom w:val="single" w:sz="8" w:color="0000EE"/>
            </w:tcBorders>
            <w:gridSpan w:val="5"/>
          </w:tcPr>
          <w:p>
            <w:pPr>
              <w:spacing w:after="0" w:line="154" w:lineRule="exact"/>
              <w:rPr>
                <w:sz w:val="20"/>
                <w:szCs w:val="20"/>
                <w:color w:val="auto"/>
              </w:rPr>
            </w:pPr>
            <w:r>
              <w:rPr>
                <w:rFonts w:ascii="Arial" w:cs="Arial" w:eastAsia="Arial" w:hAnsi="Arial"/>
                <w:sz w:val="14"/>
                <w:szCs w:val="14"/>
                <w:color w:val="0000EE"/>
                <w:w w:val="99"/>
              </w:rPr>
              <w:t>Board Nominees</w:t>
            </w:r>
          </w:p>
        </w:tc>
        <w:tc>
          <w:tcPr>
            <w:tcW w:w="360" w:type="dxa"/>
            <w:vAlign w:val="bottom"/>
            <w:tcBorders>
              <w:top w:val="single" w:sz="8" w:color="0000EE"/>
            </w:tcBorders>
            <w:gridSpan w:val="7"/>
          </w:tcPr>
          <w:p>
            <w:pPr>
              <w:spacing w:after="0"/>
              <w:rPr>
                <w:sz w:val="13"/>
                <w:szCs w:val="13"/>
                <w:color w:val="auto"/>
              </w:rPr>
            </w:pPr>
          </w:p>
        </w:tc>
        <w:tc>
          <w:tcPr>
            <w:tcW w:w="2860" w:type="dxa"/>
            <w:vAlign w:val="bottom"/>
            <w:gridSpan w:val="29"/>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Board Composition</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40" w:type="dxa"/>
            <w:vAlign w:val="bottom"/>
            <w:tcBorders>
              <w:bottom w:val="single" w:sz="8" w:color="0000EE"/>
            </w:tcBorders>
            <w:gridSpan w:val="35"/>
          </w:tcPr>
          <w:p>
            <w:pPr>
              <w:spacing w:after="0" w:line="154" w:lineRule="exact"/>
              <w:rPr>
                <w:sz w:val="20"/>
                <w:szCs w:val="20"/>
                <w:color w:val="auto"/>
              </w:rPr>
            </w:pPr>
            <w:r>
              <w:rPr>
                <w:rFonts w:ascii="Arial" w:cs="Arial" w:eastAsia="Arial" w:hAnsi="Arial"/>
                <w:sz w:val="14"/>
                <w:szCs w:val="14"/>
                <w:color w:val="0000EE"/>
              </w:rPr>
              <w:t>Biographical Information About Director Nominees</w:t>
            </w:r>
          </w:p>
        </w:tc>
        <w:tc>
          <w:tcPr>
            <w:tcW w:w="1140" w:type="dxa"/>
            <w:vAlign w:val="bottom"/>
            <w:gridSpan w:val="6"/>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8"/>
        </w:trPr>
        <w:tc>
          <w:tcPr>
            <w:tcW w:w="4280" w:type="dxa"/>
            <w:vAlign w:val="bottom"/>
            <w:gridSpan w:val="41"/>
          </w:tcPr>
          <w:p>
            <w:pPr>
              <w:spacing w:after="0"/>
              <w:rPr>
                <w:sz w:val="20"/>
                <w:szCs w:val="20"/>
                <w:color w:val="auto"/>
              </w:rPr>
            </w:pPr>
            <w:r>
              <w:rPr>
                <w:rFonts w:ascii="Arial" w:cs="Arial" w:eastAsia="Arial" w:hAnsi="Arial"/>
                <w:sz w:val="14"/>
                <w:szCs w:val="14"/>
                <w:b w:val="1"/>
                <w:bCs w:val="1"/>
                <w:color w:val="0000EE"/>
              </w:rPr>
              <w:t>Corporate Governance</w:t>
            </w: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00AE4F"/>
              </w:rPr>
              <w:t>24</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20" w:type="dxa"/>
            <w:vAlign w:val="bottom"/>
            <w:tcBorders>
              <w:bottom w:val="single" w:sz="8" w:color="0000EE"/>
            </w:tcBorders>
            <w:gridSpan w:val="24"/>
          </w:tcPr>
          <w:p>
            <w:pPr>
              <w:spacing w:after="0" w:line="129" w:lineRule="exact"/>
              <w:rPr>
                <w:sz w:val="20"/>
                <w:szCs w:val="20"/>
                <w:color w:val="auto"/>
              </w:rPr>
            </w:pPr>
            <w:r>
              <w:rPr>
                <w:rFonts w:ascii="Arial" w:cs="Arial" w:eastAsia="Arial" w:hAnsi="Arial"/>
                <w:sz w:val="14"/>
                <w:szCs w:val="14"/>
                <w:color w:val="0000EE"/>
              </w:rPr>
              <w:t>Controlled Company Exemption</w:t>
            </w:r>
          </w:p>
        </w:tc>
        <w:tc>
          <w:tcPr>
            <w:tcW w:w="2260" w:type="dxa"/>
            <w:vAlign w:val="bottom"/>
            <w:gridSpan w:val="17"/>
          </w:tcPr>
          <w:p>
            <w:pPr>
              <w:spacing w:after="0"/>
              <w:rPr>
                <w:sz w:val="11"/>
                <w:szCs w:val="11"/>
                <w:color w:val="auto"/>
              </w:rPr>
            </w:pPr>
          </w:p>
        </w:tc>
        <w:tc>
          <w:tcPr>
            <w:tcW w:w="580" w:type="dxa"/>
            <w:vAlign w:val="bottom"/>
          </w:tcPr>
          <w:p>
            <w:pPr>
              <w:jc w:val="right"/>
              <w:ind w:right="10"/>
              <w:spacing w:after="0" w:line="12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4"/>
        </w:trPr>
        <w:tc>
          <w:tcPr>
            <w:tcW w:w="1880" w:type="dxa"/>
            <w:vAlign w:val="bottom"/>
            <w:tcBorders>
              <w:bottom w:val="single" w:sz="8" w:color="0000EE"/>
            </w:tcBorders>
            <w:gridSpan w:val="20"/>
          </w:tcPr>
          <w:p>
            <w:pPr>
              <w:spacing w:after="0" w:line="154" w:lineRule="exact"/>
              <w:rPr>
                <w:sz w:val="20"/>
                <w:szCs w:val="20"/>
                <w:color w:val="auto"/>
              </w:rPr>
            </w:pPr>
            <w:r>
              <w:rPr>
                <w:rFonts w:ascii="Arial" w:cs="Arial" w:eastAsia="Arial" w:hAnsi="Arial"/>
                <w:sz w:val="14"/>
                <w:szCs w:val="14"/>
                <w:color w:val="0000EE"/>
                <w:w w:val="99"/>
              </w:rPr>
              <w:t>Role of the Board of Directors</w:t>
            </w:r>
          </w:p>
        </w:tc>
        <w:tc>
          <w:tcPr>
            <w:tcW w:w="2400" w:type="dxa"/>
            <w:vAlign w:val="bottom"/>
            <w:gridSpan w:val="21"/>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Board Leadership and Governance Structure</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4"/>
        </w:trPr>
        <w:tc>
          <w:tcPr>
            <w:tcW w:w="2800" w:type="dxa"/>
            <w:vAlign w:val="bottom"/>
            <w:tcBorders>
              <w:top w:val="single" w:sz="8" w:color="0000EE"/>
            </w:tcBorders>
            <w:gridSpan w:val="32"/>
          </w:tcPr>
          <w:p>
            <w:pPr>
              <w:spacing w:after="0" w:line="154" w:lineRule="exact"/>
              <w:rPr>
                <w:sz w:val="20"/>
                <w:szCs w:val="20"/>
                <w:color w:val="auto"/>
              </w:rPr>
            </w:pPr>
            <w:r>
              <w:rPr>
                <w:rFonts w:ascii="Arial" w:cs="Arial" w:eastAsia="Arial" w:hAnsi="Arial"/>
                <w:sz w:val="14"/>
                <w:szCs w:val="14"/>
                <w:color w:val="0000EE"/>
              </w:rPr>
              <w:t>Committees of the Board</w:t>
            </w:r>
          </w:p>
        </w:tc>
        <w:tc>
          <w:tcPr>
            <w:tcW w:w="1480" w:type="dxa"/>
            <w:vAlign w:val="bottom"/>
            <w:gridSpan w:val="9"/>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20" w:type="dxa"/>
            <w:vAlign w:val="bottom"/>
            <w:tcBorders>
              <w:bottom w:val="single" w:sz="8" w:color="0000EE"/>
            </w:tcBorders>
            <w:gridSpan w:val="24"/>
          </w:tcPr>
          <w:p>
            <w:pPr>
              <w:spacing w:after="0" w:line="154" w:lineRule="exact"/>
              <w:rPr>
                <w:sz w:val="20"/>
                <w:szCs w:val="20"/>
                <w:color w:val="auto"/>
              </w:rPr>
            </w:pPr>
            <w:r>
              <w:rPr>
                <w:rFonts w:ascii="Arial" w:cs="Arial" w:eastAsia="Arial" w:hAnsi="Arial"/>
                <w:sz w:val="14"/>
                <w:szCs w:val="14"/>
                <w:color w:val="0000EE"/>
              </w:rPr>
              <w:t>Risk Governance and Oversight</w:t>
            </w:r>
          </w:p>
        </w:tc>
        <w:tc>
          <w:tcPr>
            <w:tcW w:w="2260" w:type="dxa"/>
            <w:vAlign w:val="bottom"/>
            <w:gridSpan w:val="17"/>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Sustainability and Corporate Responsbility</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4"/>
        </w:trPr>
        <w:tc>
          <w:tcPr>
            <w:tcW w:w="940" w:type="dxa"/>
            <w:vAlign w:val="bottom"/>
            <w:tcBorders>
              <w:top w:val="single" w:sz="8" w:color="0000EE"/>
              <w:bottom w:val="single" w:sz="8" w:color="0000EE"/>
            </w:tcBorders>
            <w:gridSpan w:val="2"/>
          </w:tcPr>
          <w:p>
            <w:pPr>
              <w:spacing w:after="0" w:line="154" w:lineRule="exact"/>
              <w:rPr>
                <w:sz w:val="20"/>
                <w:szCs w:val="20"/>
                <w:color w:val="auto"/>
              </w:rPr>
            </w:pPr>
            <w:r>
              <w:rPr>
                <w:rFonts w:ascii="Arial" w:cs="Arial" w:eastAsia="Arial" w:hAnsi="Arial"/>
                <w:sz w:val="14"/>
                <w:szCs w:val="14"/>
                <w:color w:val="0000EE"/>
                <w:w w:val="99"/>
              </w:rPr>
              <w:t>Human Capital</w:t>
            </w:r>
          </w:p>
        </w:tc>
        <w:tc>
          <w:tcPr>
            <w:tcW w:w="1700" w:type="dxa"/>
            <w:vAlign w:val="bottom"/>
            <w:tcBorders>
              <w:top w:val="single" w:sz="8" w:color="0000EE"/>
            </w:tcBorders>
            <w:gridSpan w:val="28"/>
          </w:tcPr>
          <w:p>
            <w:pPr>
              <w:spacing w:after="0"/>
              <w:rPr>
                <w:sz w:val="13"/>
                <w:szCs w:val="13"/>
                <w:color w:val="auto"/>
              </w:rPr>
            </w:pPr>
          </w:p>
        </w:tc>
        <w:tc>
          <w:tcPr>
            <w:tcW w:w="1640" w:type="dxa"/>
            <w:vAlign w:val="bottom"/>
            <w:gridSpan w:val="11"/>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Director Selection Process</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4"/>
        </w:trPr>
        <w:tc>
          <w:tcPr>
            <w:tcW w:w="1660" w:type="dxa"/>
            <w:vAlign w:val="bottom"/>
            <w:tcBorders>
              <w:top w:val="single" w:sz="8" w:color="0000EE"/>
            </w:tcBorders>
            <w:gridSpan w:val="17"/>
          </w:tcPr>
          <w:p>
            <w:pPr>
              <w:spacing w:after="0" w:line="154" w:lineRule="exact"/>
              <w:rPr>
                <w:sz w:val="20"/>
                <w:szCs w:val="20"/>
                <w:color w:val="auto"/>
              </w:rPr>
            </w:pPr>
            <w:r>
              <w:rPr>
                <w:rFonts w:ascii="Arial" w:cs="Arial" w:eastAsia="Arial" w:hAnsi="Arial"/>
                <w:sz w:val="14"/>
                <w:szCs w:val="14"/>
                <w:color w:val="0000EE"/>
              </w:rPr>
              <w:t>Director Attendance</w:t>
            </w:r>
          </w:p>
        </w:tc>
        <w:tc>
          <w:tcPr>
            <w:tcW w:w="2620" w:type="dxa"/>
            <w:vAlign w:val="bottom"/>
            <w:gridSpan w:val="24"/>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4"/>
        </w:trPr>
        <w:tc>
          <w:tcPr>
            <w:tcW w:w="1240" w:type="dxa"/>
            <w:vAlign w:val="bottom"/>
            <w:tcBorders>
              <w:top w:val="single" w:sz="8" w:color="0000EE"/>
            </w:tcBorders>
            <w:gridSpan w:val="9"/>
          </w:tcPr>
          <w:p>
            <w:pPr>
              <w:spacing w:after="0" w:line="154" w:lineRule="exact"/>
              <w:rPr>
                <w:sz w:val="20"/>
                <w:szCs w:val="20"/>
                <w:color w:val="auto"/>
              </w:rPr>
            </w:pPr>
            <w:r>
              <w:rPr>
                <w:rFonts w:ascii="Arial" w:cs="Arial" w:eastAsia="Arial" w:hAnsi="Arial"/>
                <w:sz w:val="14"/>
                <w:szCs w:val="14"/>
                <w:color w:val="0000EE"/>
              </w:rPr>
              <w:t>Size of the Board</w:t>
            </w:r>
          </w:p>
        </w:tc>
        <w:tc>
          <w:tcPr>
            <w:tcW w:w="3040" w:type="dxa"/>
            <w:vAlign w:val="bottom"/>
            <w:gridSpan w:val="32"/>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4"/>
        </w:trPr>
        <w:tc>
          <w:tcPr>
            <w:tcW w:w="1080" w:type="dxa"/>
            <w:vAlign w:val="bottom"/>
            <w:tcBorders>
              <w:top w:val="single" w:sz="8" w:color="0000EE"/>
            </w:tcBorders>
            <w:gridSpan w:val="6"/>
          </w:tcPr>
          <w:p>
            <w:pPr>
              <w:spacing w:after="0" w:line="154" w:lineRule="exact"/>
              <w:rPr>
                <w:sz w:val="20"/>
                <w:szCs w:val="20"/>
                <w:color w:val="auto"/>
              </w:rPr>
            </w:pPr>
            <w:r>
              <w:rPr>
                <w:rFonts w:ascii="Arial" w:cs="Arial" w:eastAsia="Arial" w:hAnsi="Arial"/>
                <w:sz w:val="14"/>
                <w:szCs w:val="14"/>
                <w:color w:val="0000EE"/>
              </w:rPr>
              <w:t>Director Tenure</w:t>
            </w:r>
          </w:p>
        </w:tc>
        <w:tc>
          <w:tcPr>
            <w:tcW w:w="3200" w:type="dxa"/>
            <w:vAlign w:val="bottom"/>
            <w:gridSpan w:val="35"/>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280" w:type="dxa"/>
            <w:vAlign w:val="bottom"/>
            <w:tcBorders>
              <w:bottom w:val="single" w:sz="8" w:color="0000EE"/>
            </w:tcBorders>
            <w:gridSpan w:val="36"/>
          </w:tcPr>
          <w:p>
            <w:pPr>
              <w:spacing w:after="0" w:line="154" w:lineRule="exact"/>
              <w:rPr>
                <w:sz w:val="20"/>
                <w:szCs w:val="20"/>
                <w:color w:val="auto"/>
              </w:rPr>
            </w:pPr>
            <w:r>
              <w:rPr>
                <w:rFonts w:ascii="Arial" w:cs="Arial" w:eastAsia="Arial" w:hAnsi="Arial"/>
                <w:sz w:val="14"/>
                <w:szCs w:val="14"/>
                <w:color w:val="0000EE"/>
              </w:rPr>
              <w:t>Director Service on Outside Public Company Boards</w:t>
            </w:r>
          </w:p>
        </w:tc>
        <w:tc>
          <w:tcPr>
            <w:tcW w:w="1000" w:type="dxa"/>
            <w:vAlign w:val="bottom"/>
            <w:gridSpan w:val="5"/>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4"/>
        </w:trPr>
        <w:tc>
          <w:tcPr>
            <w:tcW w:w="2880" w:type="dxa"/>
            <w:vAlign w:val="bottom"/>
            <w:tcBorders>
              <w:bottom w:val="single" w:sz="8" w:color="0000EE"/>
            </w:tcBorders>
            <w:gridSpan w:val="34"/>
          </w:tcPr>
          <w:p>
            <w:pPr>
              <w:spacing w:after="0" w:line="154" w:lineRule="exact"/>
              <w:rPr>
                <w:sz w:val="20"/>
                <w:szCs w:val="20"/>
                <w:color w:val="auto"/>
              </w:rPr>
            </w:pPr>
            <w:r>
              <w:rPr>
                <w:rFonts w:ascii="Arial" w:cs="Arial" w:eastAsia="Arial" w:hAnsi="Arial"/>
                <w:sz w:val="14"/>
                <w:szCs w:val="14"/>
                <w:color w:val="0000EE"/>
              </w:rPr>
              <w:t>Director Orientation and Continuing Education</w:t>
            </w:r>
          </w:p>
        </w:tc>
        <w:tc>
          <w:tcPr>
            <w:tcW w:w="1400" w:type="dxa"/>
            <w:vAlign w:val="bottom"/>
            <w:gridSpan w:val="7"/>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Board, Committee, and Peer Evaluation</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4"/>
        </w:trPr>
        <w:tc>
          <w:tcPr>
            <w:tcW w:w="1360" w:type="dxa"/>
            <w:vAlign w:val="bottom"/>
            <w:tcBorders>
              <w:top w:val="single" w:sz="8" w:color="0000EE"/>
              <w:bottom w:val="single" w:sz="8" w:color="0000EE"/>
            </w:tcBorders>
            <w:gridSpan w:val="11"/>
          </w:tcPr>
          <w:p>
            <w:pPr>
              <w:spacing w:after="0" w:line="154" w:lineRule="exact"/>
              <w:rPr>
                <w:sz w:val="20"/>
                <w:szCs w:val="20"/>
                <w:color w:val="auto"/>
              </w:rPr>
            </w:pPr>
            <w:r>
              <w:rPr>
                <w:rFonts w:ascii="Arial" w:cs="Arial" w:eastAsia="Arial" w:hAnsi="Arial"/>
                <w:sz w:val="14"/>
                <w:szCs w:val="14"/>
                <w:color w:val="0000EE"/>
                <w:w w:val="99"/>
              </w:rPr>
              <w:t>Insider Trading Policy</w:t>
            </w:r>
          </w:p>
        </w:tc>
        <w:tc>
          <w:tcPr>
            <w:tcW w:w="1120" w:type="dxa"/>
            <w:vAlign w:val="bottom"/>
            <w:tcBorders>
              <w:top w:val="single" w:sz="8" w:color="0000EE"/>
            </w:tcBorders>
            <w:gridSpan w:val="18"/>
          </w:tcPr>
          <w:p>
            <w:pPr>
              <w:spacing w:after="0"/>
              <w:rPr>
                <w:sz w:val="13"/>
                <w:szCs w:val="13"/>
                <w:color w:val="auto"/>
              </w:rPr>
            </w:pPr>
          </w:p>
        </w:tc>
        <w:tc>
          <w:tcPr>
            <w:tcW w:w="1800" w:type="dxa"/>
            <w:vAlign w:val="bottom"/>
            <w:gridSpan w:val="12"/>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Code of Business Conduct and Ethics</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Related Person Transactions and Certain Relationships</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8"/>
        </w:trPr>
        <w:tc>
          <w:tcPr>
            <w:tcW w:w="3460" w:type="dxa"/>
            <w:vAlign w:val="bottom"/>
            <w:tcBorders>
              <w:top w:val="single" w:sz="8" w:color="0000EE"/>
            </w:tcBorders>
            <w:gridSpan w:val="38"/>
          </w:tcPr>
          <w:p>
            <w:pPr>
              <w:spacing w:after="0"/>
              <w:rPr>
                <w:sz w:val="20"/>
                <w:szCs w:val="20"/>
                <w:color w:val="auto"/>
              </w:rPr>
            </w:pPr>
            <w:r>
              <w:rPr>
                <w:rFonts w:ascii="Arial" w:cs="Arial" w:eastAsia="Arial" w:hAnsi="Arial"/>
                <w:sz w:val="14"/>
                <w:szCs w:val="14"/>
                <w:b w:val="1"/>
                <w:bCs w:val="1"/>
                <w:color w:val="0000EE"/>
              </w:rPr>
              <w:t>Director Compensation</w:t>
            </w:r>
          </w:p>
        </w:tc>
        <w:tc>
          <w:tcPr>
            <w:tcW w:w="820" w:type="dxa"/>
            <w:vAlign w:val="bottom"/>
            <w:gridSpan w:val="3"/>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00AE4F"/>
              </w:rPr>
              <w:t>41</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4280" w:type="dxa"/>
            <w:vAlign w:val="bottom"/>
            <w:gridSpan w:val="41"/>
          </w:tcPr>
          <w:p>
            <w:pPr>
              <w:spacing w:after="0" w:line="129" w:lineRule="exact"/>
              <w:rPr>
                <w:sz w:val="20"/>
                <w:szCs w:val="20"/>
                <w:color w:val="auto"/>
              </w:rPr>
            </w:pPr>
            <w:r>
              <w:rPr>
                <w:rFonts w:ascii="Arial" w:cs="Arial" w:eastAsia="Arial" w:hAnsi="Arial"/>
                <w:sz w:val="14"/>
                <w:szCs w:val="14"/>
                <w:color w:val="0000EE"/>
              </w:rPr>
              <w:t>Director Compensation Design</w:t>
            </w:r>
          </w:p>
        </w:tc>
        <w:tc>
          <w:tcPr>
            <w:tcW w:w="580" w:type="dxa"/>
            <w:vAlign w:val="bottom"/>
          </w:tcPr>
          <w:p>
            <w:pPr>
              <w:jc w:val="right"/>
              <w:ind w:right="10"/>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5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00" w:type="dxa"/>
            <w:vAlign w:val="bottom"/>
            <w:tcBorders>
              <w:bottom w:val="single" w:sz="8" w:color="0000EE"/>
            </w:tcBorders>
            <w:gridSpan w:val="23"/>
          </w:tcPr>
          <w:p>
            <w:pPr>
              <w:spacing w:after="0" w:line="154" w:lineRule="exact"/>
              <w:rPr>
                <w:sz w:val="20"/>
                <w:szCs w:val="20"/>
                <w:color w:val="auto"/>
              </w:rPr>
            </w:pPr>
            <w:r>
              <w:rPr>
                <w:rFonts w:ascii="Arial" w:cs="Arial" w:eastAsia="Arial" w:hAnsi="Arial"/>
                <w:sz w:val="14"/>
                <w:szCs w:val="14"/>
                <w:color w:val="0000EE"/>
              </w:rPr>
              <w:t>Stock Ownership Requirements</w:t>
            </w:r>
          </w:p>
        </w:tc>
        <w:tc>
          <w:tcPr>
            <w:tcW w:w="2280" w:type="dxa"/>
            <w:vAlign w:val="bottom"/>
            <w:gridSpan w:val="18"/>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Non-Employee Directors Deferred Compensation Plan</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4"/>
        </w:trPr>
        <w:tc>
          <w:tcPr>
            <w:tcW w:w="1800" w:type="dxa"/>
            <w:vAlign w:val="bottom"/>
            <w:tcBorders>
              <w:top w:val="single" w:sz="8" w:color="0000EE"/>
              <w:bottom w:val="single" w:sz="8" w:color="0000EE"/>
            </w:tcBorders>
            <w:gridSpan w:val="19"/>
          </w:tcPr>
          <w:p>
            <w:pPr>
              <w:spacing w:after="0" w:line="154" w:lineRule="exact"/>
              <w:rPr>
                <w:sz w:val="20"/>
                <w:szCs w:val="20"/>
                <w:color w:val="auto"/>
              </w:rPr>
            </w:pPr>
            <w:r>
              <w:rPr>
                <w:rFonts w:ascii="Arial" w:cs="Arial" w:eastAsia="Arial" w:hAnsi="Arial"/>
                <w:sz w:val="14"/>
                <w:szCs w:val="14"/>
                <w:color w:val="0000EE"/>
                <w:w w:val="99"/>
              </w:rPr>
              <w:t>2025 Director Compensation</w:t>
            </w:r>
          </w:p>
        </w:tc>
        <w:tc>
          <w:tcPr>
            <w:tcW w:w="1580" w:type="dxa"/>
            <w:vAlign w:val="bottom"/>
            <w:tcBorders>
              <w:top w:val="single" w:sz="8" w:color="0000EE"/>
            </w:tcBorders>
            <w:gridSpan w:val="18"/>
          </w:tcPr>
          <w:p>
            <w:pPr>
              <w:spacing w:after="0"/>
              <w:rPr>
                <w:sz w:val="13"/>
                <w:szCs w:val="13"/>
                <w:color w:val="auto"/>
              </w:rPr>
            </w:pPr>
          </w:p>
        </w:tc>
        <w:tc>
          <w:tcPr>
            <w:tcW w:w="900" w:type="dxa"/>
            <w:vAlign w:val="bottom"/>
            <w:gridSpan w:val="4"/>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8"/>
        </w:trPr>
        <w:tc>
          <w:tcPr>
            <w:tcW w:w="4280" w:type="dxa"/>
            <w:vAlign w:val="bottom"/>
            <w:gridSpan w:val="41"/>
          </w:tcPr>
          <w:p>
            <w:pPr>
              <w:spacing w:after="0"/>
              <w:rPr>
                <w:sz w:val="20"/>
                <w:szCs w:val="20"/>
                <w:color w:val="auto"/>
              </w:rPr>
            </w:pPr>
            <w:r>
              <w:rPr>
                <w:rFonts w:ascii="Arial" w:cs="Arial" w:eastAsia="Arial" w:hAnsi="Arial"/>
                <w:sz w:val="14"/>
                <w:szCs w:val="14"/>
                <w:b w:val="1"/>
                <w:bCs w:val="1"/>
                <w:color w:val="0000EE"/>
              </w:rPr>
              <w:t>Beneficial Ownership of Shares</w:t>
            </w: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00AE4F"/>
              </w:rPr>
              <w:t>43</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280" w:type="dxa"/>
            <w:vAlign w:val="bottom"/>
            <w:gridSpan w:val="41"/>
          </w:tcPr>
          <w:p>
            <w:pPr>
              <w:spacing w:after="0" w:line="141" w:lineRule="exact"/>
              <w:rPr>
                <w:sz w:val="20"/>
                <w:szCs w:val="20"/>
                <w:color w:val="auto"/>
              </w:rPr>
            </w:pPr>
            <w:r>
              <w:rPr>
                <w:rFonts w:ascii="Arial" w:cs="Arial" w:eastAsia="Arial" w:hAnsi="Arial"/>
                <w:sz w:val="14"/>
                <w:szCs w:val="14"/>
                <w:b w:val="1"/>
                <w:bCs w:val="1"/>
                <w:color w:val="0000EE"/>
              </w:rPr>
              <w:t>Proposal 2: Advisory Vote to Approve the Company’s Executive</w:t>
            </w: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00AE4F"/>
              </w:rPr>
              <w:t>44</w:t>
            </w:r>
          </w:p>
        </w:tc>
        <w:tc>
          <w:tcPr>
            <w:tcW w:w="0" w:type="dxa"/>
            <w:vAlign w:val="bottom"/>
          </w:tcPr>
          <w:p>
            <w:pPr>
              <w:spacing w:after="0"/>
              <w:rPr>
                <w:sz w:val="1"/>
                <w:szCs w:val="1"/>
                <w:color w:val="auto"/>
              </w:rPr>
            </w:pPr>
          </w:p>
        </w:tc>
      </w:tr>
      <w:tr>
        <w:trPr>
          <w:trHeight w:val="129"/>
        </w:trPr>
        <w:tc>
          <w:tcPr>
            <w:tcW w:w="4260" w:type="dxa"/>
            <w:vAlign w:val="bottom"/>
            <w:tcBorders>
              <w:top w:val="single" w:sz="8" w:color="0000EE"/>
            </w:tcBorders>
            <w:gridSpan w:val="40"/>
          </w:tcPr>
          <w:p>
            <w:pPr>
              <w:spacing w:after="0" w:line="129" w:lineRule="exact"/>
              <w:rPr>
                <w:sz w:val="20"/>
                <w:szCs w:val="20"/>
                <w:color w:val="auto"/>
              </w:rPr>
            </w:pPr>
            <w:r>
              <w:rPr>
                <w:rFonts w:ascii="Arial" w:cs="Arial" w:eastAsia="Arial" w:hAnsi="Arial"/>
                <w:sz w:val="14"/>
                <w:szCs w:val="14"/>
                <w:b w:val="1"/>
                <w:bCs w:val="1"/>
                <w:color w:val="0000EE"/>
              </w:rPr>
              <w:t>Compensation</w:t>
            </w:r>
          </w:p>
        </w:tc>
        <w:tc>
          <w:tcPr>
            <w:tcW w:w="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280" w:type="dxa"/>
            <w:vAlign w:val="bottom"/>
            <w:gridSpan w:val="41"/>
          </w:tcPr>
          <w:p>
            <w:pPr>
              <w:spacing w:after="0" w:line="141" w:lineRule="exact"/>
              <w:rPr>
                <w:sz w:val="20"/>
                <w:szCs w:val="20"/>
                <w:color w:val="auto"/>
              </w:rPr>
            </w:pPr>
            <w:r>
              <w:rPr>
                <w:rFonts w:ascii="Arial" w:cs="Arial" w:eastAsia="Arial" w:hAnsi="Arial"/>
                <w:sz w:val="14"/>
                <w:szCs w:val="14"/>
                <w:b w:val="1"/>
                <w:bCs w:val="1"/>
                <w:color w:val="0000EE"/>
              </w:rPr>
              <w:t>Compensation Discussion and Analysis</w:t>
            </w:r>
          </w:p>
        </w:tc>
        <w:tc>
          <w:tcPr>
            <w:tcW w:w="580" w:type="dxa"/>
            <w:vAlign w:val="bottom"/>
          </w:tcPr>
          <w:p>
            <w:pPr>
              <w:jc w:val="right"/>
              <w:ind w:right="10"/>
              <w:spacing w:after="0" w:line="141" w:lineRule="exact"/>
              <w:rPr>
                <w:sz w:val="20"/>
                <w:szCs w:val="20"/>
                <w:color w:val="auto"/>
              </w:rPr>
            </w:pPr>
            <w:r>
              <w:rPr>
                <w:rFonts w:ascii="Arial" w:cs="Arial" w:eastAsia="Arial" w:hAnsi="Arial"/>
                <w:sz w:val="14"/>
                <w:szCs w:val="14"/>
                <w:b w:val="1"/>
                <w:bCs w:val="1"/>
                <w:color w:val="00AE4F"/>
              </w:rPr>
              <w:t>45</w:t>
            </w:r>
          </w:p>
        </w:tc>
        <w:tc>
          <w:tcPr>
            <w:tcW w:w="0" w:type="dxa"/>
            <w:vAlign w:val="bottom"/>
          </w:tcPr>
          <w:p>
            <w:pPr>
              <w:spacing w:after="0"/>
              <w:rPr>
                <w:sz w:val="1"/>
                <w:szCs w:val="1"/>
                <w:color w:val="auto"/>
              </w:rPr>
            </w:pPr>
          </w:p>
        </w:tc>
      </w:tr>
      <w:tr>
        <w:trPr>
          <w:trHeight w:val="54"/>
        </w:trPr>
        <w:tc>
          <w:tcPr>
            <w:tcW w:w="240" w:type="dxa"/>
            <w:vAlign w:val="bottom"/>
            <w:tcBorders>
              <w:top w:val="single" w:sz="8" w:color="0000EE"/>
              <w:bottom w:val="single" w:sz="8" w:color="00AE4F"/>
            </w:tcBorders>
          </w:tcPr>
          <w:p>
            <w:pPr>
              <w:spacing w:after="0"/>
              <w:rPr>
                <w:sz w:val="4"/>
                <w:szCs w:val="4"/>
                <w:color w:val="auto"/>
              </w:rPr>
            </w:pPr>
          </w:p>
        </w:tc>
        <w:tc>
          <w:tcPr>
            <w:tcW w:w="7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10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140" w:type="dxa"/>
            <w:vAlign w:val="bottom"/>
            <w:tcBorders>
              <w:top w:val="single" w:sz="8" w:color="0000EE"/>
              <w:bottom w:val="single" w:sz="8" w:color="00AE4F"/>
            </w:tcBorders>
          </w:tcPr>
          <w:p>
            <w:pPr>
              <w:spacing w:after="0"/>
              <w:rPr>
                <w:sz w:val="4"/>
                <w:szCs w:val="4"/>
                <w:color w:val="auto"/>
              </w:rPr>
            </w:pPr>
          </w:p>
        </w:tc>
        <w:tc>
          <w:tcPr>
            <w:tcW w:w="160" w:type="dxa"/>
            <w:vAlign w:val="bottom"/>
            <w:tcBorders>
              <w:top w:val="single" w:sz="8" w:color="0000EE"/>
              <w:bottom w:val="single" w:sz="8" w:color="00AE4F"/>
            </w:tcBorders>
          </w:tcPr>
          <w:p>
            <w:pPr>
              <w:spacing w:after="0"/>
              <w:rPr>
                <w:sz w:val="4"/>
                <w:szCs w:val="4"/>
                <w:color w:val="auto"/>
              </w:rPr>
            </w:pPr>
          </w:p>
        </w:tc>
        <w:tc>
          <w:tcPr>
            <w:tcW w:w="1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340" w:type="dxa"/>
            <w:vAlign w:val="bottom"/>
            <w:tcBorders>
              <w:bottom w:val="single" w:sz="8" w:color="00AE4F"/>
            </w:tcBorders>
          </w:tcPr>
          <w:p>
            <w:pPr>
              <w:spacing w:after="0"/>
              <w:rPr>
                <w:sz w:val="4"/>
                <w:szCs w:val="4"/>
                <w:color w:val="auto"/>
              </w:rPr>
            </w:pPr>
          </w:p>
        </w:tc>
        <w:tc>
          <w:tcPr>
            <w:tcW w:w="4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58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4280" w:type="dxa"/>
            <w:vAlign w:val="bottom"/>
            <w:gridSpan w:val="41"/>
          </w:tcPr>
          <w:p>
            <w:pPr>
              <w:spacing w:after="0" w:line="129" w:lineRule="exact"/>
              <w:rPr>
                <w:sz w:val="20"/>
                <w:szCs w:val="20"/>
                <w:color w:val="auto"/>
              </w:rPr>
            </w:pPr>
            <w:r>
              <w:rPr>
                <w:rFonts w:ascii="Arial" w:cs="Arial" w:eastAsia="Arial" w:hAnsi="Arial"/>
                <w:sz w:val="14"/>
                <w:szCs w:val="14"/>
                <w:color w:val="0000EE"/>
              </w:rPr>
              <w:t>2025 Named Executive Officers</w:t>
            </w:r>
          </w:p>
        </w:tc>
        <w:tc>
          <w:tcPr>
            <w:tcW w:w="580" w:type="dxa"/>
            <w:vAlign w:val="bottom"/>
          </w:tcPr>
          <w:p>
            <w:pPr>
              <w:jc w:val="right"/>
              <w:ind w:right="10"/>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4"/>
        </w:trPr>
        <w:tc>
          <w:tcPr>
            <w:tcW w:w="1260" w:type="dxa"/>
            <w:vAlign w:val="bottom"/>
            <w:tcBorders>
              <w:top w:val="single" w:sz="8" w:color="0000EE"/>
              <w:bottom w:val="single" w:sz="8" w:color="0000EE"/>
            </w:tcBorders>
            <w:gridSpan w:val="10"/>
          </w:tcPr>
          <w:p>
            <w:pPr>
              <w:spacing w:after="0" w:line="154" w:lineRule="exact"/>
              <w:rPr>
                <w:sz w:val="20"/>
                <w:szCs w:val="20"/>
                <w:color w:val="auto"/>
              </w:rPr>
            </w:pPr>
            <w:r>
              <w:rPr>
                <w:rFonts w:ascii="Arial" w:cs="Arial" w:eastAsia="Arial" w:hAnsi="Arial"/>
                <w:sz w:val="14"/>
                <w:szCs w:val="14"/>
                <w:color w:val="0000EE"/>
                <w:w w:val="99"/>
              </w:rPr>
              <w:t>Executive Summary</w:t>
            </w:r>
          </w:p>
        </w:tc>
        <w:tc>
          <w:tcPr>
            <w:tcW w:w="720" w:type="dxa"/>
            <w:vAlign w:val="bottom"/>
            <w:tcBorders>
              <w:top w:val="single" w:sz="8" w:color="0000EE"/>
            </w:tcBorders>
            <w:gridSpan w:val="12"/>
          </w:tcPr>
          <w:p>
            <w:pPr>
              <w:spacing w:after="0"/>
              <w:rPr>
                <w:sz w:val="13"/>
                <w:szCs w:val="13"/>
                <w:color w:val="auto"/>
              </w:rPr>
            </w:pPr>
          </w:p>
        </w:tc>
        <w:tc>
          <w:tcPr>
            <w:tcW w:w="2300" w:type="dxa"/>
            <w:vAlign w:val="bottom"/>
            <w:gridSpan w:val="19"/>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4040" w:type="dxa"/>
            <w:vAlign w:val="bottom"/>
            <w:tcBorders>
              <w:bottom w:val="single" w:sz="8" w:color="0000EE"/>
            </w:tcBorders>
            <w:gridSpan w:val="40"/>
          </w:tcPr>
          <w:p>
            <w:pPr>
              <w:spacing w:after="0" w:line="154" w:lineRule="exact"/>
              <w:rPr>
                <w:sz w:val="20"/>
                <w:szCs w:val="20"/>
                <w:color w:val="auto"/>
              </w:rPr>
            </w:pPr>
            <w:r>
              <w:rPr>
                <w:rFonts w:ascii="Arial" w:cs="Arial" w:eastAsia="Arial" w:hAnsi="Arial"/>
                <w:sz w:val="14"/>
                <w:szCs w:val="14"/>
                <w:color w:val="0000EE"/>
              </w:rPr>
              <w:t>Key Executive Compensation Program Highlights for Fiscal 2025</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1520" w:type="dxa"/>
            <w:vAlign w:val="bottom"/>
            <w:tcBorders>
              <w:bottom w:val="single" w:sz="8" w:color="0000EE"/>
            </w:tcBorders>
            <w:gridSpan w:val="17"/>
          </w:tcPr>
          <w:p>
            <w:pPr>
              <w:spacing w:after="0" w:line="154" w:lineRule="exact"/>
              <w:rPr>
                <w:sz w:val="20"/>
                <w:szCs w:val="20"/>
                <w:color w:val="auto"/>
              </w:rPr>
            </w:pPr>
            <w:r>
              <w:rPr>
                <w:rFonts w:ascii="Arial" w:cs="Arial" w:eastAsia="Arial" w:hAnsi="Arial"/>
                <w:sz w:val="14"/>
                <w:szCs w:val="14"/>
                <w:color w:val="0000EE"/>
                <w:w w:val="98"/>
              </w:rPr>
              <w:t>Annual Say on Pay Vote</w:t>
            </w:r>
          </w:p>
        </w:tc>
        <w:tc>
          <w:tcPr>
            <w:tcW w:w="2520" w:type="dxa"/>
            <w:vAlign w:val="bottom"/>
            <w:gridSpan w:val="23"/>
          </w:tcPr>
          <w:p>
            <w:pPr>
              <w:spacing w:after="0"/>
              <w:rPr>
                <w:sz w:val="13"/>
                <w:szCs w:val="13"/>
                <w:color w:val="auto"/>
              </w:rPr>
            </w:pP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Compensation Practices and Policies</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320" w:type="dxa"/>
            <w:vAlign w:val="bottom"/>
            <w:gridSpan w:val="28"/>
            <w:shd w:val="clear" w:color="auto" w:fill="0000EE"/>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41"/>
          </w:tcPr>
          <w:p>
            <w:pPr>
              <w:spacing w:after="0" w:line="154" w:lineRule="exact"/>
              <w:rPr>
                <w:sz w:val="20"/>
                <w:szCs w:val="20"/>
                <w:color w:val="auto"/>
              </w:rPr>
            </w:pPr>
            <w:r>
              <w:rPr>
                <w:rFonts w:ascii="Arial" w:cs="Arial" w:eastAsia="Arial" w:hAnsi="Arial"/>
                <w:sz w:val="14"/>
                <w:szCs w:val="14"/>
                <w:color w:val="0000EE"/>
              </w:rPr>
              <w:t>Executive Compensation Philosophy, Objectives, and Design</w:t>
            </w:r>
          </w:p>
        </w:tc>
        <w:tc>
          <w:tcPr>
            <w:tcW w:w="58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38"/>
          <w:szCs w:val="38"/>
          <w:color w:val="auto"/>
          <w:vertAlign w:val="superscript"/>
        </w:rPr>
        <w:t>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77825" cy="1809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-204470</wp:posOffset>
            </wp:positionV>
            <wp:extent cx="7620" cy="212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0000EE"/>
                <w:w w:val="99"/>
              </w:rPr>
              <w:t>Elements of Compensation for Named Executive Officers</w:t>
            </w:r>
          </w:p>
        </w:tc>
        <w:tc>
          <w:tcPr>
            <w:tcW w:w="860" w:type="dxa"/>
            <w:vAlign w:val="bottom"/>
            <w:gridSpan w:val="9"/>
          </w:tcPr>
          <w:p>
            <w:pPr>
              <w:spacing w:after="0"/>
              <w:rPr>
                <w:sz w:val="14"/>
                <w:szCs w:val="14"/>
                <w:color w:val="auto"/>
              </w:rPr>
            </w:pPr>
          </w:p>
        </w:tc>
        <w:tc>
          <w:tcPr>
            <w:tcW w:w="300" w:type="dxa"/>
            <w:vAlign w:val="bottom"/>
          </w:tcPr>
          <w:p>
            <w:pPr>
              <w:jc w:val="right"/>
              <w:ind w:right="1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00" w:type="dxa"/>
            <w:vAlign w:val="bottom"/>
            <w:tcBorders>
              <w:bottom w:val="single" w:sz="8" w:color="0000EE"/>
            </w:tcBorders>
            <w:gridSpan w:val="22"/>
          </w:tcPr>
          <w:p>
            <w:pPr>
              <w:spacing w:after="0" w:line="154" w:lineRule="exact"/>
              <w:rPr>
                <w:sz w:val="20"/>
                <w:szCs w:val="20"/>
                <w:color w:val="auto"/>
              </w:rPr>
            </w:pPr>
            <w:r>
              <w:rPr>
                <w:rFonts w:ascii="Arial" w:cs="Arial" w:eastAsia="Arial" w:hAnsi="Arial"/>
                <w:sz w:val="14"/>
                <w:szCs w:val="14"/>
                <w:color w:val="0000EE"/>
                <w:w w:val="99"/>
              </w:rPr>
              <w:t>Process for Determining Executive Compensation</w:t>
            </w:r>
          </w:p>
        </w:tc>
        <w:tc>
          <w:tcPr>
            <w:tcW w:w="1540" w:type="dxa"/>
            <w:vAlign w:val="bottom"/>
            <w:gridSpan w:val="16"/>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Borders>
              <w:bottom w:val="single" w:sz="8" w:color="0000EE"/>
            </w:tcBorders>
            <w:gridSpan w:val="24"/>
          </w:tcPr>
          <w:p>
            <w:pPr>
              <w:spacing w:after="0" w:line="154" w:lineRule="exact"/>
              <w:rPr>
                <w:sz w:val="20"/>
                <w:szCs w:val="20"/>
                <w:color w:val="auto"/>
              </w:rPr>
            </w:pPr>
            <w:r>
              <w:rPr>
                <w:rFonts w:ascii="Arial" w:cs="Arial" w:eastAsia="Arial" w:hAnsi="Arial"/>
                <w:sz w:val="14"/>
                <w:szCs w:val="14"/>
                <w:color w:val="0000EE"/>
                <w:w w:val="99"/>
              </w:rPr>
              <w:t>Role of the Independent Compensation Consultant</w:t>
            </w:r>
          </w:p>
        </w:tc>
        <w:tc>
          <w:tcPr>
            <w:tcW w:w="1260" w:type="dxa"/>
            <w:vAlign w:val="bottom"/>
            <w:gridSpan w:val="13"/>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Role of Management</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top w:val="single" w:sz="8" w:color="0000EE"/>
              <w:bottom w:val="single" w:sz="8" w:color="0000EE"/>
            </w:tcBorders>
            <w:gridSpan w:val="5"/>
          </w:tcPr>
          <w:p>
            <w:pPr>
              <w:spacing w:after="0" w:line="154" w:lineRule="exact"/>
              <w:rPr>
                <w:sz w:val="20"/>
                <w:szCs w:val="20"/>
                <w:color w:val="auto"/>
              </w:rPr>
            </w:pPr>
            <w:r>
              <w:rPr>
                <w:rFonts w:ascii="Arial" w:cs="Arial" w:eastAsia="Arial" w:hAnsi="Arial"/>
                <w:sz w:val="14"/>
                <w:szCs w:val="14"/>
                <w:color w:val="0000EE"/>
                <w:w w:val="98"/>
              </w:rPr>
              <w:t>Comparator Data</w:t>
            </w:r>
          </w:p>
        </w:tc>
        <w:tc>
          <w:tcPr>
            <w:tcW w:w="220" w:type="dxa"/>
            <w:vAlign w:val="bottom"/>
            <w:tcBorders>
              <w:top w:val="single" w:sz="8" w:color="0000EE"/>
            </w:tcBorders>
            <w:gridSpan w:val="3"/>
          </w:tcPr>
          <w:p>
            <w:pPr>
              <w:spacing w:after="0"/>
              <w:rPr>
                <w:sz w:val="13"/>
                <w:szCs w:val="13"/>
                <w:color w:val="auto"/>
              </w:rPr>
            </w:pPr>
          </w:p>
        </w:tc>
        <w:tc>
          <w:tcPr>
            <w:tcW w:w="3120" w:type="dxa"/>
            <w:vAlign w:val="bottom"/>
            <w:gridSpan w:val="29"/>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00" w:type="dxa"/>
            <w:vAlign w:val="bottom"/>
            <w:tcBorders>
              <w:bottom w:val="single" w:sz="8" w:color="0000EE"/>
            </w:tcBorders>
            <w:gridSpan w:val="32"/>
          </w:tcPr>
          <w:p>
            <w:pPr>
              <w:spacing w:after="0" w:line="154" w:lineRule="exact"/>
              <w:rPr>
                <w:sz w:val="20"/>
                <w:szCs w:val="20"/>
                <w:color w:val="auto"/>
              </w:rPr>
            </w:pPr>
            <w:r>
              <w:rPr>
                <w:rFonts w:ascii="Arial" w:cs="Arial" w:eastAsia="Arial" w:hAnsi="Arial"/>
                <w:sz w:val="14"/>
                <w:szCs w:val="14"/>
                <w:color w:val="0000EE"/>
              </w:rPr>
              <w:t>Senior Officer Performance Reviews and Succession Planning</w:t>
            </w:r>
          </w:p>
        </w:tc>
        <w:tc>
          <w:tcPr>
            <w:tcW w:w="520" w:type="dxa"/>
            <w:vAlign w:val="bottom"/>
            <w:gridSpan w:val="5"/>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gridSpan w:val="38"/>
          </w:tcPr>
          <w:p>
            <w:pPr>
              <w:spacing w:after="0" w:line="154" w:lineRule="exact"/>
              <w:rPr>
                <w:sz w:val="20"/>
                <w:szCs w:val="20"/>
                <w:color w:val="auto"/>
              </w:rPr>
            </w:pPr>
            <w:r>
              <w:rPr>
                <w:rFonts w:ascii="Arial" w:cs="Arial" w:eastAsia="Arial" w:hAnsi="Arial"/>
                <w:sz w:val="14"/>
                <w:szCs w:val="14"/>
                <w:color w:val="0000EE"/>
              </w:rPr>
              <w:t>Compensation Programs: Decisions and Actions in 2025</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760" w:type="dxa"/>
            <w:vAlign w:val="bottom"/>
            <w:tcBorders>
              <w:top w:val="single" w:sz="8" w:color="0000EE"/>
              <w:bottom w:val="single" w:sz="8" w:color="0000EE"/>
            </w:tcBorders>
            <w:gridSpan w:val="4"/>
          </w:tcPr>
          <w:p>
            <w:pPr>
              <w:spacing w:after="0" w:line="154" w:lineRule="exact"/>
              <w:rPr>
                <w:sz w:val="20"/>
                <w:szCs w:val="20"/>
                <w:color w:val="auto"/>
              </w:rPr>
            </w:pPr>
            <w:r>
              <w:rPr>
                <w:rFonts w:ascii="Arial" w:cs="Arial" w:eastAsia="Arial" w:hAnsi="Arial"/>
                <w:sz w:val="14"/>
                <w:szCs w:val="14"/>
                <w:color w:val="0000EE"/>
                <w:w w:val="97"/>
              </w:rPr>
              <w:t>Base Salary</w:t>
            </w:r>
          </w:p>
        </w:tc>
        <w:tc>
          <w:tcPr>
            <w:tcW w:w="2520" w:type="dxa"/>
            <w:vAlign w:val="bottom"/>
            <w:tcBorders>
              <w:top w:val="single" w:sz="8" w:color="0000EE"/>
            </w:tcBorders>
            <w:gridSpan w:val="21"/>
          </w:tcPr>
          <w:p>
            <w:pPr>
              <w:spacing w:after="0"/>
              <w:rPr>
                <w:sz w:val="13"/>
                <w:szCs w:val="13"/>
                <w:color w:val="auto"/>
              </w:rPr>
            </w:pPr>
          </w:p>
        </w:tc>
        <w:tc>
          <w:tcPr>
            <w:tcW w:w="1140" w:type="dxa"/>
            <w:vAlign w:val="bottom"/>
            <w:gridSpan w:val="12"/>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Long-Term Incentives</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bottom w:val="single" w:sz="8" w:color="0000EE"/>
            </w:tcBorders>
            <w:gridSpan w:val="23"/>
          </w:tcPr>
          <w:p>
            <w:pPr>
              <w:spacing w:after="0" w:line="154" w:lineRule="exact"/>
              <w:rPr>
                <w:sz w:val="20"/>
                <w:szCs w:val="20"/>
                <w:color w:val="auto"/>
              </w:rPr>
            </w:pPr>
            <w:r>
              <w:rPr>
                <w:rFonts w:ascii="Arial" w:cs="Arial" w:eastAsia="Arial" w:hAnsi="Arial"/>
                <w:sz w:val="14"/>
                <w:szCs w:val="14"/>
                <w:color w:val="0000EE"/>
                <w:w w:val="99"/>
              </w:rPr>
              <w:t>Governance of Executive Compensation Programs</w:t>
            </w:r>
          </w:p>
        </w:tc>
        <w:tc>
          <w:tcPr>
            <w:tcW w:w="1480" w:type="dxa"/>
            <w:vAlign w:val="bottom"/>
            <w:gridSpan w:val="15"/>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40" w:type="dxa"/>
            <w:vAlign w:val="bottom"/>
            <w:tcBorders>
              <w:bottom w:val="single" w:sz="8" w:color="0000EE"/>
            </w:tcBorders>
            <w:gridSpan w:val="27"/>
          </w:tcPr>
          <w:p>
            <w:pPr>
              <w:spacing w:after="0" w:line="154" w:lineRule="exact"/>
              <w:rPr>
                <w:sz w:val="20"/>
                <w:szCs w:val="20"/>
                <w:color w:val="auto"/>
              </w:rPr>
            </w:pPr>
            <w:r>
              <w:rPr>
                <w:rFonts w:ascii="Arial" w:cs="Arial" w:eastAsia="Arial" w:hAnsi="Arial"/>
                <w:sz w:val="14"/>
                <w:szCs w:val="14"/>
                <w:color w:val="0000EE"/>
                <w:w w:val="99"/>
              </w:rPr>
              <w:t>Executive Stock Ownership and Retention Requirements</w:t>
            </w:r>
          </w:p>
        </w:tc>
        <w:tc>
          <w:tcPr>
            <w:tcW w:w="880" w:type="dxa"/>
            <w:vAlign w:val="bottom"/>
            <w:gridSpan w:val="10"/>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tcBorders>
              <w:bottom w:val="single" w:sz="8" w:color="0000EE"/>
            </w:tcBorders>
            <w:gridSpan w:val="26"/>
          </w:tcPr>
          <w:p>
            <w:pPr>
              <w:spacing w:after="0" w:line="154" w:lineRule="exact"/>
              <w:rPr>
                <w:sz w:val="20"/>
                <w:szCs w:val="20"/>
                <w:color w:val="auto"/>
              </w:rPr>
            </w:pPr>
            <w:r>
              <w:rPr>
                <w:rFonts w:ascii="Arial" w:cs="Arial" w:eastAsia="Arial" w:hAnsi="Arial"/>
                <w:sz w:val="14"/>
                <w:szCs w:val="14"/>
                <w:color w:val="0000EE"/>
              </w:rPr>
              <w:t>Incentive Compensation Recovery (“Clawback”) Policy</w:t>
            </w:r>
          </w:p>
        </w:tc>
        <w:tc>
          <w:tcPr>
            <w:tcW w:w="1020" w:type="dxa"/>
            <w:vAlign w:val="bottom"/>
            <w:gridSpan w:val="11"/>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Hedging and Pledging of Shares</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0000EE"/>
              <w:bottom w:val="single" w:sz="8" w:color="0000EE"/>
            </w:tcBorders>
            <w:gridSpan w:val="7"/>
          </w:tcPr>
          <w:p>
            <w:pPr>
              <w:spacing w:after="0" w:line="154" w:lineRule="exact"/>
              <w:rPr>
                <w:sz w:val="20"/>
                <w:szCs w:val="20"/>
                <w:color w:val="auto"/>
              </w:rPr>
            </w:pPr>
            <w:r>
              <w:rPr>
                <w:rFonts w:ascii="Arial" w:cs="Arial" w:eastAsia="Arial" w:hAnsi="Arial"/>
                <w:sz w:val="14"/>
                <w:szCs w:val="14"/>
                <w:color w:val="0000EE"/>
                <w:w w:val="99"/>
              </w:rPr>
              <w:t>Retirement Benefits</w:t>
            </w:r>
          </w:p>
        </w:tc>
        <w:tc>
          <w:tcPr>
            <w:tcW w:w="780" w:type="dxa"/>
            <w:vAlign w:val="bottom"/>
            <w:tcBorders>
              <w:top w:val="single" w:sz="8" w:color="0000EE"/>
            </w:tcBorders>
            <w:gridSpan w:val="7"/>
          </w:tcPr>
          <w:p>
            <w:pPr>
              <w:spacing w:after="0"/>
              <w:rPr>
                <w:sz w:val="13"/>
                <w:szCs w:val="13"/>
                <w:color w:val="auto"/>
              </w:rPr>
            </w:pPr>
          </w:p>
        </w:tc>
        <w:tc>
          <w:tcPr>
            <w:tcW w:w="2400" w:type="dxa"/>
            <w:vAlign w:val="bottom"/>
            <w:gridSpan w:val="23"/>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0000EE"/>
            </w:tcBorders>
            <w:gridSpan w:val="3"/>
          </w:tcPr>
          <w:p>
            <w:pPr>
              <w:spacing w:after="0" w:line="154" w:lineRule="exact"/>
              <w:rPr>
                <w:sz w:val="20"/>
                <w:szCs w:val="20"/>
                <w:color w:val="auto"/>
              </w:rPr>
            </w:pPr>
            <w:r>
              <w:rPr>
                <w:rFonts w:ascii="Arial" w:cs="Arial" w:eastAsia="Arial" w:hAnsi="Arial"/>
                <w:sz w:val="14"/>
                <w:szCs w:val="14"/>
                <w:color w:val="0000EE"/>
                <w:w w:val="98"/>
              </w:rPr>
              <w:t>Perquisites</w:t>
            </w:r>
          </w:p>
        </w:tc>
        <w:tc>
          <w:tcPr>
            <w:tcW w:w="3720" w:type="dxa"/>
            <w:vAlign w:val="bottom"/>
            <w:gridSpan w:val="34"/>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Senior Executive Severance Plan</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Tax Considerations: Deductibility of Executive Compensation</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gridSpan w:val="38"/>
          </w:tcPr>
          <w:p>
            <w:pPr>
              <w:spacing w:after="0" w:line="154" w:lineRule="exact"/>
              <w:rPr>
                <w:sz w:val="20"/>
                <w:szCs w:val="20"/>
                <w:color w:val="auto"/>
              </w:rPr>
            </w:pPr>
            <w:r>
              <w:rPr>
                <w:rFonts w:ascii="Arial" w:cs="Arial" w:eastAsia="Arial" w:hAnsi="Arial"/>
                <w:sz w:val="14"/>
                <w:szCs w:val="14"/>
                <w:color w:val="0000EE"/>
              </w:rPr>
              <w:t>Compensation and Talent Management Committee Report</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Borders>
              <w:top w:val="single" w:sz="8" w:color="0000EE"/>
            </w:tcBorders>
            <w:gridSpan w:val="27"/>
          </w:tcPr>
          <w:p>
            <w:pPr>
              <w:spacing w:after="0"/>
              <w:rPr>
                <w:sz w:val="20"/>
                <w:szCs w:val="20"/>
                <w:color w:val="auto"/>
              </w:rPr>
            </w:pPr>
            <w:r>
              <w:rPr>
                <w:rFonts w:ascii="Arial" w:cs="Arial" w:eastAsia="Arial" w:hAnsi="Arial"/>
                <w:sz w:val="14"/>
                <w:szCs w:val="14"/>
                <w:b w:val="1"/>
                <w:bCs w:val="1"/>
                <w:color w:val="0000EE"/>
              </w:rPr>
              <w:t>2025 Executive Compensation Tables</w:t>
            </w:r>
          </w:p>
        </w:tc>
        <w:tc>
          <w:tcPr>
            <w:tcW w:w="1020" w:type="dxa"/>
            <w:vAlign w:val="bottom"/>
            <w:gridSpan w:val="11"/>
          </w:tcPr>
          <w:p>
            <w:pPr>
              <w:spacing w:after="0"/>
              <w:rPr>
                <w:sz w:val="15"/>
                <w:szCs w:val="15"/>
                <w:color w:val="auto"/>
              </w:rPr>
            </w:pPr>
          </w:p>
        </w:tc>
        <w:tc>
          <w:tcPr>
            <w:tcW w:w="300" w:type="dxa"/>
            <w:vAlign w:val="bottom"/>
          </w:tcPr>
          <w:p>
            <w:pPr>
              <w:jc w:val="right"/>
              <w:ind w:right="10"/>
              <w:spacing w:after="0"/>
              <w:rPr>
                <w:sz w:val="20"/>
                <w:szCs w:val="20"/>
                <w:color w:val="auto"/>
              </w:rPr>
            </w:pPr>
            <w:r>
              <w:rPr>
                <w:rFonts w:ascii="Arial" w:cs="Arial" w:eastAsia="Arial" w:hAnsi="Arial"/>
                <w:sz w:val="14"/>
                <w:szCs w:val="14"/>
                <w:b w:val="1"/>
                <w:bCs w:val="1"/>
                <w:color w:val="00AE4F"/>
              </w:rPr>
              <w:t>63</w:t>
            </w: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3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8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180" w:type="dxa"/>
            <w:vAlign w:val="bottom"/>
            <w:tcBorders>
              <w:top w:val="single" w:sz="8" w:color="0000EE"/>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2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gridSpan w:val="38"/>
          </w:tcPr>
          <w:p>
            <w:pPr>
              <w:spacing w:after="0" w:line="129" w:lineRule="exact"/>
              <w:rPr>
                <w:sz w:val="20"/>
                <w:szCs w:val="20"/>
                <w:color w:val="auto"/>
              </w:rPr>
            </w:pPr>
            <w:r>
              <w:rPr>
                <w:rFonts w:ascii="Arial" w:cs="Arial" w:eastAsia="Arial" w:hAnsi="Arial"/>
                <w:sz w:val="14"/>
                <w:szCs w:val="14"/>
                <w:color w:val="0000EE"/>
              </w:rPr>
              <w:t>Summary Compensation Table 2025</w:t>
            </w:r>
          </w:p>
        </w:tc>
        <w:tc>
          <w:tcPr>
            <w:tcW w:w="300" w:type="dxa"/>
            <w:vAlign w:val="bottom"/>
          </w:tcPr>
          <w:p>
            <w:pPr>
              <w:jc w:val="right"/>
              <w:ind w:right="10"/>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00" w:type="dxa"/>
            <w:vAlign w:val="bottom"/>
            <w:tcBorders>
              <w:top w:val="single" w:sz="8" w:color="0000EE"/>
            </w:tcBorders>
            <w:gridSpan w:val="16"/>
          </w:tcPr>
          <w:p>
            <w:pPr>
              <w:spacing w:after="0" w:line="154" w:lineRule="exact"/>
              <w:rPr>
                <w:sz w:val="20"/>
                <w:szCs w:val="20"/>
                <w:color w:val="auto"/>
              </w:rPr>
            </w:pPr>
            <w:r>
              <w:rPr>
                <w:rFonts w:ascii="Arial" w:cs="Arial" w:eastAsia="Arial" w:hAnsi="Arial"/>
                <w:sz w:val="14"/>
                <w:szCs w:val="14"/>
                <w:color w:val="0000EE"/>
              </w:rPr>
              <w:t>Grants of Plan-Based Awards 2025</w:t>
            </w:r>
          </w:p>
        </w:tc>
        <w:tc>
          <w:tcPr>
            <w:tcW w:w="2340" w:type="dxa"/>
            <w:vAlign w:val="bottom"/>
            <w:gridSpan w:val="22"/>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gridSpan w:val="38"/>
          </w:tcPr>
          <w:p>
            <w:pPr>
              <w:spacing w:after="0" w:line="154" w:lineRule="exact"/>
              <w:rPr>
                <w:sz w:val="20"/>
                <w:szCs w:val="20"/>
                <w:color w:val="auto"/>
              </w:rPr>
            </w:pPr>
            <w:r>
              <w:rPr>
                <w:rFonts w:ascii="Arial" w:cs="Arial" w:eastAsia="Arial" w:hAnsi="Arial"/>
                <w:sz w:val="14"/>
                <w:szCs w:val="14"/>
                <w:color w:val="0000EE"/>
              </w:rPr>
              <w:t>Outstanding Equity Awards at Fiscal Year End 2025</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18"/>
          </w:tcPr>
          <w:p>
            <w:pPr>
              <w:spacing w:after="0" w:line="154" w:lineRule="exact"/>
              <w:rPr>
                <w:sz w:val="20"/>
                <w:szCs w:val="20"/>
                <w:color w:val="auto"/>
              </w:rPr>
            </w:pPr>
            <w:r>
              <w:rPr>
                <w:rFonts w:ascii="Arial" w:cs="Arial" w:eastAsia="Arial" w:hAnsi="Arial"/>
                <w:sz w:val="14"/>
                <w:szCs w:val="14"/>
                <w:color w:val="0000EE"/>
                <w:w w:val="99"/>
              </w:rPr>
              <w:t>Option Exercises and Stock Vested 2025</w:t>
            </w:r>
          </w:p>
        </w:tc>
        <w:tc>
          <w:tcPr>
            <w:tcW w:w="660" w:type="dxa"/>
            <w:vAlign w:val="bottom"/>
            <w:tcBorders>
              <w:top w:val="single" w:sz="8" w:color="0000EE"/>
            </w:tcBorders>
            <w:gridSpan w:val="6"/>
          </w:tcPr>
          <w:p>
            <w:pPr>
              <w:spacing w:after="0"/>
              <w:rPr>
                <w:sz w:val="13"/>
                <w:szCs w:val="13"/>
                <w:color w:val="auto"/>
              </w:rPr>
            </w:pPr>
          </w:p>
        </w:tc>
        <w:tc>
          <w:tcPr>
            <w:tcW w:w="1440" w:type="dxa"/>
            <w:vAlign w:val="bottom"/>
            <w:gridSpan w:val="14"/>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60" w:type="dxa"/>
            <w:vAlign w:val="bottom"/>
            <w:tcBorders>
              <w:bottom w:val="single" w:sz="8" w:color="0000EE"/>
            </w:tcBorders>
            <w:gridSpan w:val="19"/>
          </w:tcPr>
          <w:p>
            <w:pPr>
              <w:spacing w:after="0" w:line="154" w:lineRule="exact"/>
              <w:rPr>
                <w:sz w:val="20"/>
                <w:szCs w:val="20"/>
                <w:color w:val="auto"/>
              </w:rPr>
            </w:pPr>
            <w:r>
              <w:rPr>
                <w:rFonts w:ascii="Arial" w:cs="Arial" w:eastAsia="Arial" w:hAnsi="Arial"/>
                <w:sz w:val="14"/>
                <w:szCs w:val="14"/>
                <w:color w:val="0000EE"/>
                <w:w w:val="99"/>
              </w:rPr>
              <w:t>Nonqualified Deferred Compensation 2025</w:t>
            </w:r>
          </w:p>
        </w:tc>
        <w:tc>
          <w:tcPr>
            <w:tcW w:w="1980" w:type="dxa"/>
            <w:vAlign w:val="bottom"/>
            <w:gridSpan w:val="19"/>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40" w:type="dxa"/>
            <w:vAlign w:val="bottom"/>
            <w:tcBorders>
              <w:bottom w:val="single" w:sz="8" w:color="0000EE"/>
            </w:tcBorders>
            <w:gridSpan w:val="31"/>
          </w:tcPr>
          <w:p>
            <w:pPr>
              <w:spacing w:after="0" w:line="154" w:lineRule="exact"/>
              <w:rPr>
                <w:sz w:val="20"/>
                <w:szCs w:val="20"/>
                <w:color w:val="auto"/>
              </w:rPr>
            </w:pPr>
            <w:r>
              <w:rPr>
                <w:rFonts w:ascii="Arial" w:cs="Arial" w:eastAsia="Arial" w:hAnsi="Arial"/>
                <w:sz w:val="14"/>
                <w:szCs w:val="14"/>
                <w:color w:val="0000EE"/>
                <w:w w:val="99"/>
              </w:rPr>
              <w:t>Potential Payments Upon Termination or Change In Control 2025</w:t>
            </w:r>
          </w:p>
        </w:tc>
        <w:tc>
          <w:tcPr>
            <w:tcW w:w="600" w:type="dxa"/>
            <w:vAlign w:val="bottom"/>
            <w:gridSpan w:val="7"/>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Summary of Potential Payments</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Senior Executive Severance Plan</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gridSpan w:val="37"/>
          </w:tcPr>
          <w:p>
            <w:pPr>
              <w:spacing w:after="0" w:line="154" w:lineRule="exact"/>
              <w:rPr>
                <w:sz w:val="20"/>
                <w:szCs w:val="20"/>
                <w:color w:val="auto"/>
              </w:rPr>
            </w:pPr>
            <w:r>
              <w:rPr>
                <w:rFonts w:ascii="Arial" w:cs="Arial" w:eastAsia="Arial" w:hAnsi="Arial"/>
                <w:sz w:val="14"/>
                <w:szCs w:val="14"/>
                <w:color w:val="0000EE"/>
              </w:rPr>
              <w:t>Treatment of Long-Term Incentive Awards</w:t>
            </w: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gridSpan w:val="38"/>
          </w:tcPr>
          <w:p>
            <w:pPr>
              <w:spacing w:after="0"/>
              <w:rPr>
                <w:sz w:val="20"/>
                <w:szCs w:val="20"/>
                <w:color w:val="auto"/>
              </w:rPr>
            </w:pPr>
            <w:r>
              <w:rPr>
                <w:rFonts w:ascii="Arial" w:cs="Arial" w:eastAsia="Arial" w:hAnsi="Arial"/>
                <w:sz w:val="14"/>
                <w:szCs w:val="14"/>
                <w:b w:val="1"/>
                <w:bCs w:val="1"/>
                <w:color w:val="0000EE"/>
              </w:rPr>
              <w:t>CEO Pay Ratio</w:t>
            </w:r>
          </w:p>
        </w:tc>
        <w:tc>
          <w:tcPr>
            <w:tcW w:w="300" w:type="dxa"/>
            <w:vAlign w:val="bottom"/>
          </w:tcPr>
          <w:p>
            <w:pPr>
              <w:jc w:val="right"/>
              <w:ind w:right="10"/>
              <w:spacing w:after="0"/>
              <w:rPr>
                <w:sz w:val="20"/>
                <w:szCs w:val="20"/>
                <w:color w:val="auto"/>
              </w:rPr>
            </w:pPr>
            <w:r>
              <w:rPr>
                <w:rFonts w:ascii="Arial" w:cs="Arial" w:eastAsia="Arial" w:hAnsi="Arial"/>
                <w:sz w:val="14"/>
                <w:szCs w:val="14"/>
                <w:b w:val="1"/>
                <w:bCs w:val="1"/>
                <w:color w:val="00AE4F"/>
              </w:rPr>
              <w:t>72</w:t>
            </w: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3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8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2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40" w:type="dxa"/>
            <w:vAlign w:val="bottom"/>
            <w:gridSpan w:val="38"/>
          </w:tcPr>
          <w:p>
            <w:pPr>
              <w:spacing w:after="0" w:line="141" w:lineRule="exact"/>
              <w:rPr>
                <w:sz w:val="20"/>
                <w:szCs w:val="20"/>
                <w:color w:val="auto"/>
              </w:rPr>
            </w:pPr>
            <w:r>
              <w:rPr>
                <w:rFonts w:ascii="Arial" w:cs="Arial" w:eastAsia="Arial" w:hAnsi="Arial"/>
                <w:sz w:val="14"/>
                <w:szCs w:val="14"/>
                <w:b w:val="1"/>
                <w:bCs w:val="1"/>
                <w:color w:val="0000EE"/>
              </w:rPr>
              <w:t>Pay vs. Performance</w:t>
            </w:r>
          </w:p>
        </w:tc>
        <w:tc>
          <w:tcPr>
            <w:tcW w:w="300" w:type="dxa"/>
            <w:vAlign w:val="bottom"/>
          </w:tcPr>
          <w:p>
            <w:pPr>
              <w:jc w:val="right"/>
              <w:ind w:right="10"/>
              <w:spacing w:after="0" w:line="141" w:lineRule="exact"/>
              <w:rPr>
                <w:sz w:val="20"/>
                <w:szCs w:val="20"/>
                <w:color w:val="auto"/>
              </w:rPr>
            </w:pPr>
            <w:r>
              <w:rPr>
                <w:rFonts w:ascii="Arial" w:cs="Arial" w:eastAsia="Arial" w:hAnsi="Arial"/>
                <w:sz w:val="14"/>
                <w:szCs w:val="14"/>
                <w:b w:val="1"/>
                <w:bCs w:val="1"/>
                <w:color w:val="00AE4F"/>
              </w:rPr>
              <w:t>73</w:t>
            </w: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3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8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2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40" w:type="dxa"/>
            <w:vAlign w:val="bottom"/>
            <w:gridSpan w:val="38"/>
          </w:tcPr>
          <w:p>
            <w:pPr>
              <w:spacing w:after="0" w:line="141" w:lineRule="exact"/>
              <w:rPr>
                <w:sz w:val="20"/>
                <w:szCs w:val="20"/>
                <w:color w:val="auto"/>
              </w:rPr>
            </w:pPr>
            <w:r>
              <w:rPr>
                <w:rFonts w:ascii="Arial" w:cs="Arial" w:eastAsia="Arial" w:hAnsi="Arial"/>
                <w:sz w:val="14"/>
                <w:szCs w:val="14"/>
                <w:b w:val="1"/>
                <w:bCs w:val="1"/>
                <w:color w:val="0000EE"/>
              </w:rPr>
              <w:t>Proposal 3: Approve the Amendment of the Company’s Certificate of</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0000EE"/>
            </w:tcBorders>
            <w:gridSpan w:val="37"/>
          </w:tcPr>
          <w:p>
            <w:pPr>
              <w:spacing w:after="0" w:line="129" w:lineRule="exact"/>
              <w:rPr>
                <w:sz w:val="20"/>
                <w:szCs w:val="20"/>
                <w:color w:val="auto"/>
              </w:rPr>
            </w:pPr>
            <w:r>
              <w:rPr>
                <w:rFonts w:ascii="Arial" w:cs="Arial" w:eastAsia="Arial" w:hAnsi="Arial"/>
                <w:sz w:val="14"/>
                <w:szCs w:val="14"/>
                <w:b w:val="1"/>
                <w:bCs w:val="1"/>
                <w:color w:val="0000EE"/>
              </w:rPr>
              <w:t>Incorporation, permit stockholder action by written consent, allow</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Borders>
              <w:top w:val="single" w:sz="8" w:color="0000EE"/>
            </w:tcBorders>
            <w:gridSpan w:val="35"/>
          </w:tcPr>
          <w:p>
            <w:pPr>
              <w:spacing w:after="0" w:line="129" w:lineRule="exact"/>
              <w:rPr>
                <w:sz w:val="20"/>
                <w:szCs w:val="20"/>
                <w:color w:val="auto"/>
              </w:rPr>
            </w:pPr>
            <w:r>
              <w:rPr>
                <w:rFonts w:ascii="Arial" w:cs="Arial" w:eastAsia="Arial" w:hAnsi="Arial"/>
                <w:sz w:val="14"/>
                <w:szCs w:val="14"/>
                <w:b w:val="1"/>
                <w:bCs w:val="1"/>
                <w:color w:val="0000EE"/>
              </w:rPr>
              <w:t>the Chairperson and majority Class B holders to call special</w:t>
            </w:r>
          </w:p>
        </w:tc>
        <w:tc>
          <w:tcPr>
            <w:tcW w:w="8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Borders>
              <w:top w:val="single" w:sz="8" w:color="0000EE"/>
            </w:tcBorders>
            <w:gridSpan w:val="30"/>
          </w:tcPr>
          <w:p>
            <w:pPr>
              <w:spacing w:after="0" w:line="129" w:lineRule="exact"/>
              <w:rPr>
                <w:sz w:val="20"/>
                <w:szCs w:val="20"/>
                <w:color w:val="auto"/>
              </w:rPr>
            </w:pPr>
            <w:r>
              <w:rPr>
                <w:rFonts w:ascii="Arial" w:cs="Arial" w:eastAsia="Arial" w:hAnsi="Arial"/>
                <w:sz w:val="14"/>
                <w:szCs w:val="14"/>
                <w:b w:val="1"/>
                <w:bCs w:val="1"/>
                <w:color w:val="0000EE"/>
                <w:w w:val="97"/>
              </w:rPr>
              <w:t>meetings, and allow stockholders to fill Board vacancies and</w:t>
            </w:r>
          </w:p>
        </w:tc>
        <w:tc>
          <w:tcPr>
            <w:tcW w:w="640" w:type="dxa"/>
            <w:vAlign w:val="bottom"/>
            <w:gridSpan w:val="8"/>
          </w:tcPr>
          <w:p>
            <w:pPr>
              <w:ind w:left="100"/>
              <w:spacing w:after="0" w:line="129" w:lineRule="exact"/>
              <w:rPr>
                <w:sz w:val="20"/>
                <w:szCs w:val="20"/>
                <w:color w:val="auto"/>
              </w:rPr>
            </w:pPr>
            <w:r>
              <w:rPr>
                <w:rFonts w:ascii="Arial" w:cs="Arial" w:eastAsia="Arial" w:hAnsi="Arial"/>
                <w:sz w:val="14"/>
                <w:szCs w:val="14"/>
                <w:b w:val="1"/>
                <w:bCs w:val="1"/>
                <w:color w:val="0000EE"/>
              </w:rPr>
              <w:t>new</w:t>
            </w:r>
          </w:p>
        </w:tc>
        <w:tc>
          <w:tcPr>
            <w:tcW w:w="3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00AE4F"/>
              </w:rPr>
              <w:t>77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Borders>
              <w:top w:val="single" w:sz="8" w:color="0000EE"/>
            </w:tcBorders>
            <w:gridSpan w:val="34"/>
          </w:tcPr>
          <w:p>
            <w:pPr>
              <w:spacing w:after="0" w:line="129" w:lineRule="exact"/>
              <w:rPr>
                <w:sz w:val="20"/>
                <w:szCs w:val="20"/>
                <w:color w:val="auto"/>
              </w:rPr>
            </w:pPr>
            <w:r>
              <w:rPr>
                <w:rFonts w:ascii="Arial" w:cs="Arial" w:eastAsia="Arial" w:hAnsi="Arial"/>
                <w:sz w:val="14"/>
                <w:szCs w:val="14"/>
                <w:b w:val="1"/>
                <w:bCs w:val="1"/>
                <w:color w:val="0000EE"/>
              </w:rPr>
              <w:t>directorships</w:t>
            </w:r>
          </w:p>
        </w:tc>
        <w:tc>
          <w:tcPr>
            <w:tcW w:w="10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top w:val="single" w:sz="8" w:color="0000EE"/>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8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2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40" w:type="dxa"/>
            <w:vAlign w:val="bottom"/>
            <w:gridSpan w:val="38"/>
          </w:tcPr>
          <w:p>
            <w:pPr>
              <w:spacing w:after="0" w:line="141" w:lineRule="exact"/>
              <w:rPr>
                <w:sz w:val="20"/>
                <w:szCs w:val="20"/>
                <w:color w:val="auto"/>
              </w:rPr>
            </w:pPr>
            <w:r>
              <w:rPr>
                <w:rFonts w:ascii="Arial" w:cs="Arial" w:eastAsia="Arial" w:hAnsi="Arial"/>
                <w:sz w:val="14"/>
                <w:szCs w:val="14"/>
                <w:b w:val="1"/>
                <w:bCs w:val="1"/>
                <w:color w:val="0000EE"/>
              </w:rPr>
              <w:t>Proposal 4: Ratification of the Appointment of</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Borders>
              <w:top w:val="single" w:sz="8" w:color="0000EE"/>
            </w:tcBorders>
            <w:gridSpan w:val="21"/>
          </w:tcPr>
          <w:p>
            <w:pPr>
              <w:spacing w:after="0" w:line="129" w:lineRule="exact"/>
              <w:rPr>
                <w:sz w:val="20"/>
                <w:szCs w:val="20"/>
                <w:color w:val="auto"/>
              </w:rPr>
            </w:pPr>
            <w:r>
              <w:rPr>
                <w:rFonts w:ascii="Arial" w:cs="Arial" w:eastAsia="Arial" w:hAnsi="Arial"/>
                <w:sz w:val="14"/>
                <w:szCs w:val="14"/>
                <w:b w:val="1"/>
                <w:bCs w:val="1"/>
                <w:color w:val="0000EE"/>
                <w:w w:val="94"/>
              </w:rPr>
              <w:t>PricewaterhouseCoopers LLP as the Company’s</w:t>
            </w:r>
          </w:p>
        </w:tc>
        <w:tc>
          <w:tcPr>
            <w:tcW w:w="1580" w:type="dxa"/>
            <w:vAlign w:val="bottom"/>
            <w:gridSpan w:val="17"/>
          </w:tcPr>
          <w:p>
            <w:pPr>
              <w:ind w:left="200"/>
              <w:spacing w:after="0" w:line="129" w:lineRule="exact"/>
              <w:rPr>
                <w:sz w:val="20"/>
                <w:szCs w:val="20"/>
                <w:color w:val="auto"/>
              </w:rPr>
            </w:pPr>
            <w:r>
              <w:rPr>
                <w:rFonts w:ascii="Arial" w:cs="Arial" w:eastAsia="Arial" w:hAnsi="Arial"/>
                <w:sz w:val="14"/>
                <w:szCs w:val="14"/>
                <w:b w:val="1"/>
                <w:bCs w:val="1"/>
                <w:color w:val="0000EE"/>
              </w:rPr>
              <w:t>Independent</w:t>
            </w:r>
          </w:p>
        </w:tc>
        <w:tc>
          <w:tcPr>
            <w:tcW w:w="3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00AE4F"/>
              </w:rPr>
              <w:t>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0000EE"/>
            </w:tcBorders>
            <w:gridSpan w:val="32"/>
          </w:tcPr>
          <w:p>
            <w:pPr>
              <w:spacing w:after="0" w:line="129" w:lineRule="exact"/>
              <w:rPr>
                <w:sz w:val="20"/>
                <w:szCs w:val="20"/>
                <w:color w:val="auto"/>
              </w:rPr>
            </w:pPr>
            <w:r>
              <w:rPr>
                <w:rFonts w:ascii="Arial" w:cs="Arial" w:eastAsia="Arial" w:hAnsi="Arial"/>
                <w:sz w:val="14"/>
                <w:szCs w:val="14"/>
                <w:b w:val="1"/>
                <w:bCs w:val="1"/>
                <w:color w:val="0000EE"/>
              </w:rPr>
              <w:t>Registered Public Accounting Firm for the 2026 Fiscal Year</w:t>
            </w:r>
          </w:p>
        </w:tc>
        <w:tc>
          <w:tcPr>
            <w:tcW w:w="380" w:type="dxa"/>
            <w:vAlign w:val="bottom"/>
            <w:gridSpan w:val="4"/>
          </w:tcPr>
          <w:p>
            <w:pPr>
              <w:spacing w:after="0"/>
              <w:rPr>
                <w:sz w:val="11"/>
                <w:szCs w:val="11"/>
                <w:color w:val="auto"/>
              </w:rPr>
            </w:pPr>
          </w:p>
        </w:tc>
        <w:tc>
          <w:tcPr>
            <w:tcW w:w="160" w:type="dxa"/>
            <w:vAlign w:val="bottom"/>
            <w:gridSpan w:val="2"/>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32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8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8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18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120" w:type="dxa"/>
            <w:vAlign w:val="bottom"/>
            <w:tcBorders>
              <w:top w:val="single" w:sz="8" w:color="0000EE"/>
              <w:bottom w:val="single" w:sz="8" w:color="00AE4F"/>
            </w:tcBorders>
          </w:tcPr>
          <w:p>
            <w:pPr>
              <w:spacing w:after="0"/>
              <w:rPr>
                <w:sz w:val="4"/>
                <w:szCs w:val="4"/>
                <w:color w:val="auto"/>
              </w:rPr>
            </w:pPr>
          </w:p>
        </w:tc>
        <w:tc>
          <w:tcPr>
            <w:tcW w:w="160" w:type="dxa"/>
            <w:vAlign w:val="bottom"/>
            <w:tcBorders>
              <w:top w:val="single" w:sz="8" w:color="0000EE"/>
              <w:bottom w:val="single" w:sz="8" w:color="00AE4F"/>
            </w:tcBorders>
          </w:tcPr>
          <w:p>
            <w:pPr>
              <w:spacing w:after="0"/>
              <w:rPr>
                <w:sz w:val="4"/>
                <w:szCs w:val="4"/>
                <w:color w:val="auto"/>
              </w:rPr>
            </w:pPr>
          </w:p>
        </w:tc>
        <w:tc>
          <w:tcPr>
            <w:tcW w:w="24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60" w:type="dxa"/>
            <w:vAlign w:val="bottom"/>
            <w:tcBorders>
              <w:top w:val="single" w:sz="8" w:color="0000EE"/>
              <w:bottom w:val="single" w:sz="8" w:color="00AE4F"/>
            </w:tcBorders>
          </w:tcPr>
          <w:p>
            <w:pPr>
              <w:spacing w:after="0"/>
              <w:rPr>
                <w:sz w:val="4"/>
                <w:szCs w:val="4"/>
                <w:color w:val="auto"/>
              </w:rPr>
            </w:pPr>
          </w:p>
        </w:tc>
        <w:tc>
          <w:tcPr>
            <w:tcW w:w="40" w:type="dxa"/>
            <w:vAlign w:val="bottom"/>
            <w:tcBorders>
              <w:top w:val="single" w:sz="8" w:color="0000EE"/>
              <w:bottom w:val="single" w:sz="8" w:color="00AE4F"/>
            </w:tcBorders>
          </w:tcPr>
          <w:p>
            <w:pPr>
              <w:spacing w:after="0"/>
              <w:rPr>
                <w:sz w:val="4"/>
                <w:szCs w:val="4"/>
                <w:color w:val="auto"/>
              </w:rPr>
            </w:pPr>
          </w:p>
        </w:tc>
        <w:tc>
          <w:tcPr>
            <w:tcW w:w="180" w:type="dxa"/>
            <w:vAlign w:val="bottom"/>
            <w:tcBorders>
              <w:top w:val="single" w:sz="8" w:color="0000EE"/>
              <w:bottom w:val="single" w:sz="8" w:color="00AE4F"/>
            </w:tcBorders>
          </w:tcPr>
          <w:p>
            <w:pPr>
              <w:spacing w:after="0"/>
              <w:rPr>
                <w:sz w:val="4"/>
                <w:szCs w:val="4"/>
                <w:color w:val="auto"/>
              </w:rPr>
            </w:pPr>
          </w:p>
        </w:tc>
        <w:tc>
          <w:tcPr>
            <w:tcW w:w="120" w:type="dxa"/>
            <w:vAlign w:val="bottom"/>
            <w:tcBorders>
              <w:top w:val="single" w:sz="8" w:color="0000EE"/>
              <w:bottom w:val="single" w:sz="8" w:color="00AE4F"/>
            </w:tcBorders>
          </w:tcPr>
          <w:p>
            <w:pPr>
              <w:spacing w:after="0"/>
              <w:rPr>
                <w:sz w:val="4"/>
                <w:szCs w:val="4"/>
                <w:color w:val="auto"/>
              </w:rPr>
            </w:pPr>
          </w:p>
        </w:tc>
        <w:tc>
          <w:tcPr>
            <w:tcW w:w="120" w:type="dxa"/>
            <w:vAlign w:val="bottom"/>
            <w:tcBorders>
              <w:top w:val="single" w:sz="8" w:color="0000EE"/>
              <w:bottom w:val="single" w:sz="8" w:color="00AE4F"/>
            </w:tcBorders>
          </w:tcPr>
          <w:p>
            <w:pPr>
              <w:spacing w:after="0"/>
              <w:rPr>
                <w:sz w:val="4"/>
                <w:szCs w:val="4"/>
                <w:color w:val="auto"/>
              </w:rPr>
            </w:pPr>
          </w:p>
        </w:tc>
        <w:tc>
          <w:tcPr>
            <w:tcW w:w="140" w:type="dxa"/>
            <w:vAlign w:val="bottom"/>
            <w:tcBorders>
              <w:top w:val="single" w:sz="8" w:color="0000EE"/>
              <w:bottom w:val="single" w:sz="8" w:color="00AE4F"/>
            </w:tcBorders>
          </w:tcPr>
          <w:p>
            <w:pPr>
              <w:spacing w:after="0"/>
              <w:rPr>
                <w:sz w:val="4"/>
                <w:szCs w:val="4"/>
                <w:color w:val="auto"/>
              </w:rPr>
            </w:pPr>
          </w:p>
        </w:tc>
        <w:tc>
          <w:tcPr>
            <w:tcW w:w="20" w:type="dxa"/>
            <w:vAlign w:val="bottom"/>
            <w:tcBorders>
              <w:top w:val="single" w:sz="8" w:color="0000EE"/>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Borders>
              <w:bottom w:val="single" w:sz="8" w:color="0000EE"/>
            </w:tcBorders>
            <w:gridSpan w:val="11"/>
          </w:tcPr>
          <w:p>
            <w:pPr>
              <w:spacing w:after="0" w:line="129" w:lineRule="exact"/>
              <w:rPr>
                <w:sz w:val="20"/>
                <w:szCs w:val="20"/>
                <w:color w:val="auto"/>
              </w:rPr>
            </w:pPr>
            <w:r>
              <w:rPr>
                <w:rFonts w:ascii="Arial" w:cs="Arial" w:eastAsia="Arial" w:hAnsi="Arial"/>
                <w:sz w:val="14"/>
                <w:szCs w:val="14"/>
                <w:color w:val="0000EE"/>
                <w:w w:val="98"/>
              </w:rPr>
              <w:t>Audit and Non-Audit Fees</w:t>
            </w:r>
          </w:p>
        </w:tc>
        <w:tc>
          <w:tcPr>
            <w:tcW w:w="3040" w:type="dxa"/>
            <w:vAlign w:val="bottom"/>
            <w:gridSpan w:val="27"/>
          </w:tcPr>
          <w:p>
            <w:pPr>
              <w:spacing w:after="0"/>
              <w:rPr>
                <w:sz w:val="11"/>
                <w:szCs w:val="11"/>
                <w:color w:val="auto"/>
              </w:rPr>
            </w:pPr>
          </w:p>
        </w:tc>
        <w:tc>
          <w:tcPr>
            <w:tcW w:w="300" w:type="dxa"/>
            <w:vAlign w:val="bottom"/>
          </w:tcPr>
          <w:p>
            <w:pPr>
              <w:jc w:val="right"/>
              <w:ind w:right="10"/>
              <w:spacing w:after="0" w:line="12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80" w:type="dxa"/>
            <w:vAlign w:val="bottom"/>
            <w:tcBorders>
              <w:bottom w:val="single" w:sz="8" w:color="0000EE"/>
            </w:tcBorders>
            <w:gridSpan w:val="12"/>
          </w:tcPr>
          <w:p>
            <w:pPr>
              <w:spacing w:after="0" w:line="154" w:lineRule="exact"/>
              <w:rPr>
                <w:sz w:val="20"/>
                <w:szCs w:val="20"/>
                <w:color w:val="auto"/>
              </w:rPr>
            </w:pPr>
            <w:r>
              <w:rPr>
                <w:rFonts w:ascii="Arial" w:cs="Arial" w:eastAsia="Arial" w:hAnsi="Arial"/>
                <w:sz w:val="14"/>
                <w:szCs w:val="14"/>
                <w:color w:val="0000EE"/>
                <w:w w:val="98"/>
              </w:rPr>
              <w:t>Report of the Audit Committee</w:t>
            </w:r>
          </w:p>
        </w:tc>
        <w:tc>
          <w:tcPr>
            <w:tcW w:w="2760" w:type="dxa"/>
            <w:vAlign w:val="bottom"/>
            <w:gridSpan w:val="26"/>
          </w:tcPr>
          <w:p>
            <w:pPr>
              <w:spacing w:after="0"/>
              <w:rPr>
                <w:sz w:val="13"/>
                <w:szCs w:val="13"/>
                <w:color w:val="auto"/>
              </w:rPr>
            </w:pPr>
          </w:p>
        </w:tc>
        <w:tc>
          <w:tcPr>
            <w:tcW w:w="300" w:type="dxa"/>
            <w:vAlign w:val="bottom"/>
          </w:tcPr>
          <w:p>
            <w:pPr>
              <w:jc w:val="right"/>
              <w:ind w:right="10"/>
              <w:spacing w:after="0" w:line="154"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gridSpan w:val="38"/>
          </w:tcPr>
          <w:p>
            <w:pPr>
              <w:spacing w:after="0"/>
              <w:rPr>
                <w:sz w:val="20"/>
                <w:szCs w:val="20"/>
                <w:color w:val="auto"/>
              </w:rPr>
            </w:pPr>
            <w:r>
              <w:rPr>
                <w:rFonts w:ascii="Arial" w:cs="Arial" w:eastAsia="Arial" w:hAnsi="Arial"/>
                <w:sz w:val="14"/>
                <w:szCs w:val="14"/>
                <w:b w:val="1"/>
                <w:bCs w:val="1"/>
                <w:color w:val="0000EE"/>
              </w:rPr>
              <w:t>Questions and Answers About the Proxy Statement and the Annual</w:t>
            </w:r>
          </w:p>
        </w:tc>
        <w:tc>
          <w:tcPr>
            <w:tcW w:w="3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00AE4F"/>
              </w:rPr>
              <w:t>82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Borders>
              <w:top w:val="single" w:sz="8" w:color="0000EE"/>
            </w:tcBorders>
            <w:gridSpan w:val="36"/>
          </w:tcPr>
          <w:p>
            <w:pPr>
              <w:spacing w:after="0" w:line="129" w:lineRule="exact"/>
              <w:rPr>
                <w:sz w:val="20"/>
                <w:szCs w:val="20"/>
                <w:color w:val="auto"/>
              </w:rPr>
            </w:pPr>
            <w:r>
              <w:rPr>
                <w:rFonts w:ascii="Arial" w:cs="Arial" w:eastAsia="Arial" w:hAnsi="Arial"/>
                <w:sz w:val="14"/>
                <w:szCs w:val="14"/>
                <w:b w:val="1"/>
                <w:bCs w:val="1"/>
                <w:color w:val="0000EE"/>
              </w:rPr>
              <w:t>Meeting</w:t>
            </w:r>
          </w:p>
        </w:tc>
        <w:tc>
          <w:tcPr>
            <w:tcW w:w="160" w:type="dxa"/>
            <w:vAlign w:val="bottom"/>
            <w:gridSpan w:val="2"/>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00AE4F"/>
            </w:tcBorders>
          </w:tcPr>
          <w:p>
            <w:pPr>
              <w:spacing w:after="0"/>
              <w:rPr>
                <w:sz w:val="4"/>
                <w:szCs w:val="4"/>
                <w:color w:val="auto"/>
              </w:rPr>
            </w:pPr>
          </w:p>
        </w:tc>
        <w:tc>
          <w:tcPr>
            <w:tcW w:w="220" w:type="dxa"/>
            <w:vAlign w:val="bottom"/>
            <w:tcBorders>
              <w:top w:val="single" w:sz="8" w:color="0000EE"/>
              <w:bottom w:val="single" w:sz="8" w:color="00AE4F"/>
            </w:tcBorders>
          </w:tcPr>
          <w:p>
            <w:pPr>
              <w:spacing w:after="0"/>
              <w:rPr>
                <w:sz w:val="4"/>
                <w:szCs w:val="4"/>
                <w:color w:val="auto"/>
              </w:rPr>
            </w:pPr>
          </w:p>
        </w:tc>
        <w:tc>
          <w:tcPr>
            <w:tcW w:w="300" w:type="dxa"/>
            <w:vAlign w:val="bottom"/>
            <w:tcBorders>
              <w:top w:val="single" w:sz="8" w:color="0000EE"/>
              <w:bottom w:val="single" w:sz="8" w:color="00AE4F"/>
            </w:tcBorders>
          </w:tcPr>
          <w:p>
            <w:pPr>
              <w:spacing w:after="0"/>
              <w:rPr>
                <w:sz w:val="4"/>
                <w:szCs w:val="4"/>
                <w:color w:val="auto"/>
              </w:rPr>
            </w:pPr>
          </w:p>
        </w:tc>
        <w:tc>
          <w:tcPr>
            <w:tcW w:w="3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8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60" w:type="dxa"/>
            <w:vAlign w:val="bottom"/>
            <w:tcBorders>
              <w:bottom w:val="single" w:sz="8" w:color="00AE4F"/>
            </w:tcBorders>
          </w:tcPr>
          <w:p>
            <w:pPr>
              <w:spacing w:after="0"/>
              <w:rPr>
                <w:sz w:val="4"/>
                <w:szCs w:val="4"/>
                <w:color w:val="auto"/>
              </w:rPr>
            </w:pPr>
          </w:p>
        </w:tc>
        <w:tc>
          <w:tcPr>
            <w:tcW w:w="24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18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20" w:type="dxa"/>
            <w:vAlign w:val="bottom"/>
            <w:tcBorders>
              <w:bottom w:val="single" w:sz="8" w:color="00AE4F"/>
            </w:tcBorders>
          </w:tcPr>
          <w:p>
            <w:pPr>
              <w:spacing w:after="0"/>
              <w:rPr>
                <w:sz w:val="4"/>
                <w:szCs w:val="4"/>
                <w:color w:val="auto"/>
              </w:rPr>
            </w:pPr>
          </w:p>
        </w:tc>
        <w:tc>
          <w:tcPr>
            <w:tcW w:w="14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20" w:type="dxa"/>
            <w:vAlign w:val="bottom"/>
            <w:tcBorders>
              <w:bottom w:val="single" w:sz="8" w:color="00AE4F"/>
            </w:tcBorders>
          </w:tcPr>
          <w:p>
            <w:pPr>
              <w:spacing w:after="0"/>
              <w:rPr>
                <w:sz w:val="4"/>
                <w:szCs w:val="4"/>
                <w:color w:val="auto"/>
              </w:rPr>
            </w:pPr>
          </w:p>
        </w:tc>
        <w:tc>
          <w:tcPr>
            <w:tcW w:w="4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260" w:type="dxa"/>
            <w:vAlign w:val="bottom"/>
            <w:tcBorders>
              <w:bottom w:val="single" w:sz="8" w:color="00AE4F"/>
            </w:tcBorders>
          </w:tcPr>
          <w:p>
            <w:pPr>
              <w:spacing w:after="0"/>
              <w:rPr>
                <w:sz w:val="4"/>
                <w:szCs w:val="4"/>
                <w:color w:val="auto"/>
              </w:rPr>
            </w:pPr>
          </w:p>
        </w:tc>
        <w:tc>
          <w:tcPr>
            <w:tcW w:w="20" w:type="dxa"/>
            <w:vAlign w:val="bottom"/>
            <w:tcBorders>
              <w:bottom w:val="single" w:sz="8" w:color="00AE4F"/>
            </w:tcBorders>
          </w:tcPr>
          <w:p>
            <w:pPr>
              <w:spacing w:after="0"/>
              <w:rPr>
                <w:sz w:val="4"/>
                <w:szCs w:val="4"/>
                <w:color w:val="auto"/>
              </w:rPr>
            </w:pPr>
          </w:p>
        </w:tc>
        <w:tc>
          <w:tcPr>
            <w:tcW w:w="80" w:type="dxa"/>
            <w:vAlign w:val="bottom"/>
            <w:tcBorders>
              <w:bottom w:val="single" w:sz="8" w:color="00AE4F"/>
            </w:tcBorders>
          </w:tcPr>
          <w:p>
            <w:pPr>
              <w:spacing w:after="0"/>
              <w:rPr>
                <w:sz w:val="4"/>
                <w:szCs w:val="4"/>
                <w:color w:val="auto"/>
              </w:rPr>
            </w:pPr>
          </w:p>
        </w:tc>
        <w:tc>
          <w:tcPr>
            <w:tcW w:w="100" w:type="dxa"/>
            <w:vAlign w:val="bottom"/>
            <w:tcBorders>
              <w:bottom w:val="single" w:sz="8" w:color="00AE4F"/>
            </w:tcBorders>
          </w:tcPr>
          <w:p>
            <w:pPr>
              <w:spacing w:after="0"/>
              <w:rPr>
                <w:sz w:val="4"/>
                <w:szCs w:val="4"/>
                <w:color w:val="auto"/>
              </w:rPr>
            </w:pPr>
          </w:p>
        </w:tc>
        <w:tc>
          <w:tcPr>
            <w:tcW w:w="60" w:type="dxa"/>
            <w:vAlign w:val="bottom"/>
            <w:tcBorders>
              <w:bottom w:val="single" w:sz="8" w:color="00AE4F"/>
            </w:tcBorders>
          </w:tcPr>
          <w:p>
            <w:pPr>
              <w:spacing w:after="0"/>
              <w:rPr>
                <w:sz w:val="4"/>
                <w:szCs w:val="4"/>
                <w:color w:val="auto"/>
              </w:rPr>
            </w:pPr>
          </w:p>
        </w:tc>
        <w:tc>
          <w:tcPr>
            <w:tcW w:w="300" w:type="dxa"/>
            <w:vAlign w:val="bottom"/>
            <w:tcBorders>
              <w:bottom w:val="single" w:sz="8" w:color="00AE4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-5890260</wp:posOffset>
            </wp:positionV>
            <wp:extent cx="7184390" cy="52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4390" cy="52070"/>
                    </a:xfrm>
                    <a:prstGeom prst="rect">
                      <a:avLst/>
                    </a:prstGeom>
                    <a:noFill/>
                  </pic:spPr>
                </pic:pic>
              </a:graphicData>
            </a:graphic>
          </wp:anchor>
        </w:drawing>
      </w:r>
    </w:p>
    <w:p>
      <w:pPr>
        <w:sectPr>
          <w:pgSz w:w="11900" w:h="16838" w:orient="portrait"/>
          <w:cols w:equalWidth="0" w:num="2">
            <w:col w:w="5420" w:space="300"/>
            <w:col w:w="4960"/>
          </w:cols>
          <w:pgMar w:left="320" w:top="454"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Proxy Summary</w:t>
      </w:r>
    </w:p>
    <w:p>
      <w:pPr>
        <w:spacing w:after="0" w:line="314" w:lineRule="exact"/>
        <w:rPr>
          <w:sz w:val="20"/>
          <w:szCs w:val="20"/>
          <w:color w:val="auto"/>
        </w:rPr>
      </w:pPr>
    </w:p>
    <w:p>
      <w:pPr>
        <w:ind w:left="560" w:right="60"/>
        <w:spacing w:after="0" w:line="275" w:lineRule="auto"/>
        <w:rPr>
          <w:sz w:val="20"/>
          <w:szCs w:val="20"/>
          <w:color w:val="auto"/>
        </w:rPr>
      </w:pPr>
      <w:r>
        <w:rPr>
          <w:rFonts w:ascii="Arial" w:cs="Arial" w:eastAsia="Arial" w:hAnsi="Arial"/>
          <w:sz w:val="15"/>
          <w:szCs w:val="15"/>
          <w:color w:val="auto"/>
        </w:rPr>
        <w:t>This summary highlights information contained elsewhere in this Proxy Statement. Please refer to the complete Proxy Statement and Kelly’s 2025 Annual Report before you vote.</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2026 Annual Meeting of Shareholders Details</w:t>
      </w:r>
    </w:p>
    <w:tbl>
      <w:tblPr>
        <w:tblLayout w:type="fixed"/>
        <w:tblInd w:w="560" w:type="dxa"/>
        <w:tblCellMar>
          <w:top w:w="0" w:type="dxa"/>
          <w:left w:w="0" w:type="dxa"/>
          <w:bottom w:w="0" w:type="dxa"/>
          <w:right w:w="0" w:type="dxa"/>
        </w:tblCellMar>
      </w:tblPr>
      <w:tr>
        <w:trPr>
          <w:trHeight w:val="242"/>
        </w:trPr>
        <w:tc>
          <w:tcPr>
            <w:tcW w:w="440" w:type="dxa"/>
            <w:vAlign w:val="bottom"/>
          </w:tcPr>
          <w:p>
            <w:pPr>
              <w:spacing w:after="0" w:line="242" w:lineRule="exact"/>
              <w:rPr>
                <w:sz w:val="20"/>
                <w:szCs w:val="20"/>
                <w:color w:val="auto"/>
              </w:rPr>
            </w:pPr>
            <w:r>
              <w:rPr>
                <w:rFonts w:ascii="Arial" w:cs="Arial" w:eastAsia="Arial" w:hAnsi="Arial"/>
                <w:sz w:val="28"/>
                <w:szCs w:val="28"/>
                <w:color w:val="auto"/>
              </w:rPr>
              <w:t> </w:t>
            </w:r>
          </w:p>
        </w:tc>
        <w:tc>
          <w:tcPr>
            <w:tcW w:w="2820" w:type="dxa"/>
            <w:vAlign w:val="bottom"/>
          </w:tcPr>
          <w:p>
            <w:pPr>
              <w:spacing w:after="0"/>
              <w:rPr>
                <w:sz w:val="21"/>
                <w:szCs w:val="21"/>
                <w:color w:val="auto"/>
              </w:rPr>
            </w:pPr>
          </w:p>
        </w:tc>
        <w:tc>
          <w:tcPr>
            <w:tcW w:w="220" w:type="dxa"/>
            <w:vAlign w:val="bottom"/>
            <w:vMerge w:val="restart"/>
          </w:tcPr>
          <w:p>
            <w:pPr>
              <w:ind w:left="100"/>
              <w:spacing w:after="0"/>
              <w:rPr>
                <w:sz w:val="20"/>
                <w:szCs w:val="20"/>
                <w:color w:val="auto"/>
              </w:rPr>
            </w:pPr>
            <w:r>
              <w:rPr>
                <w:rFonts w:ascii="Arial" w:cs="Arial" w:eastAsia="Arial" w:hAnsi="Arial"/>
                <w:sz w:val="10"/>
                <w:szCs w:val="10"/>
                <w:color w:val="auto"/>
                <w:w w:val="99"/>
              </w:rPr>
              <w:t> </w:t>
            </w:r>
          </w:p>
        </w:tc>
        <w:tc>
          <w:tcPr>
            <w:tcW w:w="3220" w:type="dxa"/>
            <w:vAlign w:val="bottom"/>
          </w:tcPr>
          <w:p>
            <w:pPr>
              <w:spacing w:after="0"/>
              <w:rPr>
                <w:sz w:val="21"/>
                <w:szCs w:val="21"/>
                <w:color w:val="auto"/>
              </w:rPr>
            </w:pPr>
          </w:p>
        </w:tc>
        <w:tc>
          <w:tcPr>
            <w:tcW w:w="200" w:type="dxa"/>
            <w:vAlign w:val="bottom"/>
            <w:vMerge w:val="restart"/>
          </w:tcPr>
          <w:p>
            <w:pPr>
              <w:ind w:left="100"/>
              <w:spacing w:after="0"/>
              <w:rPr>
                <w:sz w:val="20"/>
                <w:szCs w:val="20"/>
                <w:color w:val="auto"/>
              </w:rPr>
            </w:pPr>
            <w:r>
              <w:rPr>
                <w:rFonts w:ascii="Arial" w:cs="Arial" w:eastAsia="Arial" w:hAnsi="Arial"/>
                <w:sz w:val="10"/>
                <w:szCs w:val="10"/>
                <w:color w:val="auto"/>
                <w:w w:val="79"/>
              </w:rPr>
              <w:t> </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 w:type="dxa"/>
            <w:vAlign w:val="bottom"/>
            <w:shd w:val="clear" w:color="auto" w:fill="EDEDED"/>
          </w:tcPr>
          <w:p>
            <w:pPr>
              <w:spacing w:after="0"/>
              <w:rPr>
                <w:sz w:val="17"/>
                <w:szCs w:val="17"/>
                <w:color w:val="auto"/>
              </w:rPr>
            </w:pPr>
          </w:p>
        </w:tc>
        <w:tc>
          <w:tcPr>
            <w:tcW w:w="2820" w:type="dxa"/>
            <w:vAlign w:val="bottom"/>
            <w:shd w:val="clear" w:color="auto" w:fill="EDEDED"/>
          </w:tcPr>
          <w:p>
            <w:pPr>
              <w:spacing w:after="0"/>
              <w:rPr>
                <w:sz w:val="17"/>
                <w:szCs w:val="17"/>
                <w:color w:val="auto"/>
              </w:rPr>
            </w:pPr>
          </w:p>
        </w:tc>
        <w:tc>
          <w:tcPr>
            <w:tcW w:w="220" w:type="dxa"/>
            <w:vAlign w:val="bottom"/>
            <w:vMerge w:val="continue"/>
          </w:tcPr>
          <w:p>
            <w:pPr>
              <w:spacing w:after="0"/>
              <w:rPr>
                <w:sz w:val="17"/>
                <w:szCs w:val="17"/>
                <w:color w:val="auto"/>
              </w:rPr>
            </w:pPr>
          </w:p>
        </w:tc>
        <w:tc>
          <w:tcPr>
            <w:tcW w:w="3220" w:type="dxa"/>
            <w:vAlign w:val="bottom"/>
            <w:shd w:val="clear" w:color="auto" w:fill="EDEDED"/>
          </w:tcPr>
          <w:p>
            <w:pPr>
              <w:ind w:left="100"/>
              <w:spacing w:after="0"/>
              <w:rPr>
                <w:sz w:val="20"/>
                <w:szCs w:val="20"/>
                <w:color w:val="auto"/>
              </w:rPr>
            </w:pPr>
            <w:r>
              <w:rPr>
                <w:rFonts w:ascii="Arial" w:cs="Arial" w:eastAsia="Arial" w:hAnsi="Arial"/>
                <w:sz w:val="15"/>
                <w:szCs w:val="15"/>
                <w:color w:val="auto"/>
              </w:rPr>
              <w:t> </w:t>
            </w:r>
          </w:p>
        </w:tc>
        <w:tc>
          <w:tcPr>
            <w:tcW w:w="200" w:type="dxa"/>
            <w:vAlign w:val="bottom"/>
            <w:vMerge w:val="continue"/>
          </w:tcPr>
          <w:p>
            <w:pPr>
              <w:spacing w:after="0"/>
              <w:rPr>
                <w:sz w:val="17"/>
                <w:szCs w:val="17"/>
                <w:color w:val="auto"/>
              </w:rPr>
            </w:pPr>
          </w:p>
        </w:tc>
        <w:tc>
          <w:tcPr>
            <w:tcW w:w="3240" w:type="dxa"/>
            <w:vAlign w:val="bottom"/>
            <w:shd w:val="clear" w:color="auto" w:fill="EDEDED"/>
          </w:tcPr>
          <w:p>
            <w:pPr>
              <w:ind w:left="1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903"/>
        </w:trPr>
        <w:tc>
          <w:tcPr>
            <w:tcW w:w="440" w:type="dxa"/>
            <w:vAlign w:val="bottom"/>
            <w:shd w:val="clear" w:color="auto" w:fill="EDEDED"/>
          </w:tcPr>
          <w:p>
            <w:pPr>
              <w:spacing w:after="0"/>
              <w:rPr>
                <w:sz w:val="24"/>
                <w:szCs w:val="24"/>
                <w:color w:val="auto"/>
              </w:rPr>
            </w:pPr>
          </w:p>
        </w:tc>
        <w:tc>
          <w:tcPr>
            <w:tcW w:w="2820" w:type="dxa"/>
            <w:vAlign w:val="bottom"/>
            <w:shd w:val="clear" w:color="auto" w:fill="EDEDED"/>
          </w:tcPr>
          <w:p>
            <w:pPr>
              <w:jc w:val="center"/>
              <w:ind w:right="381"/>
              <w:spacing w:after="0"/>
              <w:rPr>
                <w:sz w:val="20"/>
                <w:szCs w:val="20"/>
                <w:color w:val="auto"/>
              </w:rPr>
            </w:pPr>
            <w:r>
              <w:rPr>
                <w:rFonts w:ascii="Arial" w:cs="Arial" w:eastAsia="Arial" w:hAnsi="Arial"/>
                <w:sz w:val="18"/>
                <w:szCs w:val="18"/>
                <w:b w:val="1"/>
                <w:bCs w:val="1"/>
                <w:color w:val="00AE4F"/>
              </w:rPr>
              <w:t>Date and Time</w:t>
            </w:r>
          </w:p>
        </w:tc>
        <w:tc>
          <w:tcPr>
            <w:tcW w:w="220" w:type="dxa"/>
            <w:vAlign w:val="bottom"/>
          </w:tcPr>
          <w:p>
            <w:pPr>
              <w:spacing w:after="0"/>
              <w:rPr>
                <w:sz w:val="24"/>
                <w:szCs w:val="24"/>
                <w:color w:val="auto"/>
              </w:rPr>
            </w:pPr>
          </w:p>
        </w:tc>
        <w:tc>
          <w:tcPr>
            <w:tcW w:w="3220" w:type="dxa"/>
            <w:vAlign w:val="bottom"/>
            <w:shd w:val="clear" w:color="auto" w:fill="EDEDED"/>
          </w:tcPr>
          <w:p>
            <w:pPr>
              <w:jc w:val="center"/>
              <w:ind w:left="17"/>
              <w:spacing w:after="0"/>
              <w:rPr>
                <w:sz w:val="20"/>
                <w:szCs w:val="20"/>
                <w:color w:val="auto"/>
              </w:rPr>
            </w:pPr>
            <w:r>
              <w:rPr>
                <w:rFonts w:ascii="Arial" w:cs="Arial" w:eastAsia="Arial" w:hAnsi="Arial"/>
                <w:sz w:val="18"/>
                <w:szCs w:val="18"/>
                <w:b w:val="1"/>
                <w:bCs w:val="1"/>
                <w:color w:val="00AE4F"/>
              </w:rPr>
              <w:t>Place</w:t>
            </w:r>
          </w:p>
        </w:tc>
        <w:tc>
          <w:tcPr>
            <w:tcW w:w="200" w:type="dxa"/>
            <w:vAlign w:val="bottom"/>
          </w:tcPr>
          <w:p>
            <w:pPr>
              <w:spacing w:after="0"/>
              <w:rPr>
                <w:sz w:val="24"/>
                <w:szCs w:val="24"/>
                <w:color w:val="auto"/>
              </w:rPr>
            </w:pPr>
          </w:p>
        </w:tc>
        <w:tc>
          <w:tcPr>
            <w:tcW w:w="3240" w:type="dxa"/>
            <w:vAlign w:val="bottom"/>
            <w:shd w:val="clear" w:color="auto" w:fill="EDEDED"/>
          </w:tcPr>
          <w:p>
            <w:pPr>
              <w:jc w:val="center"/>
              <w:spacing w:after="0"/>
              <w:rPr>
                <w:sz w:val="20"/>
                <w:szCs w:val="20"/>
                <w:color w:val="auto"/>
              </w:rPr>
            </w:pPr>
            <w:r>
              <w:rPr>
                <w:rFonts w:ascii="Arial" w:cs="Arial" w:eastAsia="Arial" w:hAnsi="Arial"/>
                <w:sz w:val="18"/>
                <w:szCs w:val="18"/>
                <w:b w:val="1"/>
                <w:bCs w:val="1"/>
                <w:color w:val="00AE4F"/>
              </w:rPr>
              <w:t>Record Date</w:t>
            </w:r>
          </w:p>
        </w:tc>
        <w:tc>
          <w:tcPr>
            <w:tcW w:w="0" w:type="dxa"/>
            <w:vAlign w:val="bottom"/>
          </w:tcPr>
          <w:p>
            <w:pPr>
              <w:spacing w:after="0"/>
              <w:rPr>
                <w:sz w:val="1"/>
                <w:szCs w:val="1"/>
                <w:color w:val="auto"/>
              </w:rPr>
            </w:pPr>
          </w:p>
        </w:tc>
      </w:tr>
      <w:tr>
        <w:trPr>
          <w:trHeight w:val="186"/>
        </w:trPr>
        <w:tc>
          <w:tcPr>
            <w:tcW w:w="440" w:type="dxa"/>
            <w:vAlign w:val="bottom"/>
            <w:shd w:val="clear" w:color="auto" w:fill="EDEDED"/>
          </w:tcPr>
          <w:p>
            <w:pPr>
              <w:spacing w:after="0"/>
              <w:rPr>
                <w:sz w:val="16"/>
                <w:szCs w:val="16"/>
                <w:color w:val="auto"/>
              </w:rPr>
            </w:pPr>
          </w:p>
        </w:tc>
        <w:tc>
          <w:tcPr>
            <w:tcW w:w="2820" w:type="dxa"/>
            <w:vAlign w:val="bottom"/>
            <w:shd w:val="clear" w:color="auto" w:fill="EDEDED"/>
          </w:tcPr>
          <w:p>
            <w:pPr>
              <w:jc w:val="center"/>
              <w:ind w:right="381"/>
              <w:spacing w:after="0" w:line="185" w:lineRule="exact"/>
              <w:rPr>
                <w:sz w:val="20"/>
                <w:szCs w:val="20"/>
                <w:color w:val="auto"/>
              </w:rPr>
            </w:pPr>
            <w:r>
              <w:rPr>
                <w:rFonts w:ascii="Arial" w:cs="Arial" w:eastAsia="Arial" w:hAnsi="Arial"/>
                <w:sz w:val="17"/>
                <w:szCs w:val="17"/>
                <w:color w:val="auto"/>
                <w:w w:val="96"/>
              </w:rPr>
              <w:t>Thursday, May 7, 2026</w:t>
            </w:r>
          </w:p>
        </w:tc>
        <w:tc>
          <w:tcPr>
            <w:tcW w:w="220" w:type="dxa"/>
            <w:vAlign w:val="bottom"/>
          </w:tcPr>
          <w:p>
            <w:pPr>
              <w:spacing w:after="0"/>
              <w:rPr>
                <w:sz w:val="16"/>
                <w:szCs w:val="16"/>
                <w:color w:val="auto"/>
              </w:rPr>
            </w:pPr>
          </w:p>
        </w:tc>
        <w:tc>
          <w:tcPr>
            <w:tcW w:w="3220" w:type="dxa"/>
            <w:vAlign w:val="bottom"/>
            <w:shd w:val="clear" w:color="auto" w:fill="EDEDED"/>
          </w:tcPr>
          <w:p>
            <w:pPr>
              <w:jc w:val="center"/>
              <w:ind w:left="17"/>
              <w:spacing w:after="0" w:line="185" w:lineRule="exact"/>
              <w:rPr>
                <w:sz w:val="20"/>
                <w:szCs w:val="20"/>
                <w:color w:val="auto"/>
              </w:rPr>
            </w:pPr>
            <w:r>
              <w:rPr>
                <w:rFonts w:ascii="Arial" w:cs="Arial" w:eastAsia="Arial" w:hAnsi="Arial"/>
                <w:sz w:val="17"/>
                <w:szCs w:val="17"/>
                <w:color w:val="auto"/>
                <w:w w:val="98"/>
              </w:rPr>
              <w:t>Virtual Meeting:</w:t>
            </w:r>
          </w:p>
        </w:tc>
        <w:tc>
          <w:tcPr>
            <w:tcW w:w="200" w:type="dxa"/>
            <w:vAlign w:val="bottom"/>
          </w:tcPr>
          <w:p>
            <w:pPr>
              <w:spacing w:after="0"/>
              <w:rPr>
                <w:sz w:val="16"/>
                <w:szCs w:val="16"/>
                <w:color w:val="auto"/>
              </w:rPr>
            </w:pPr>
          </w:p>
        </w:tc>
        <w:tc>
          <w:tcPr>
            <w:tcW w:w="3240" w:type="dxa"/>
            <w:vAlign w:val="bottom"/>
            <w:shd w:val="clear" w:color="auto" w:fill="EDEDED"/>
          </w:tcPr>
          <w:p>
            <w:pPr>
              <w:jc w:val="center"/>
              <w:spacing w:after="0" w:line="185" w:lineRule="exact"/>
              <w:rPr>
                <w:sz w:val="20"/>
                <w:szCs w:val="20"/>
                <w:color w:val="auto"/>
              </w:rPr>
            </w:pPr>
            <w:r>
              <w:rPr>
                <w:rFonts w:ascii="Arial" w:cs="Arial" w:eastAsia="Arial" w:hAnsi="Arial"/>
                <w:sz w:val="17"/>
                <w:szCs w:val="17"/>
                <w:color w:val="auto"/>
                <w:w w:val="96"/>
              </w:rPr>
              <w:t>Close of Business,</w:t>
            </w:r>
          </w:p>
        </w:tc>
        <w:tc>
          <w:tcPr>
            <w:tcW w:w="0" w:type="dxa"/>
            <w:vAlign w:val="bottom"/>
          </w:tcPr>
          <w:p>
            <w:pPr>
              <w:spacing w:after="0"/>
              <w:rPr>
                <w:sz w:val="1"/>
                <w:szCs w:val="1"/>
                <w:color w:val="auto"/>
              </w:rPr>
            </w:pPr>
          </w:p>
        </w:tc>
      </w:tr>
      <w:tr>
        <w:trPr>
          <w:trHeight w:val="166"/>
        </w:trPr>
        <w:tc>
          <w:tcPr>
            <w:tcW w:w="440" w:type="dxa"/>
            <w:vAlign w:val="bottom"/>
            <w:shd w:val="clear" w:color="auto" w:fill="EDEDED"/>
          </w:tcPr>
          <w:p>
            <w:pPr>
              <w:spacing w:after="0"/>
              <w:rPr>
                <w:sz w:val="14"/>
                <w:szCs w:val="14"/>
                <w:color w:val="auto"/>
              </w:rPr>
            </w:pPr>
          </w:p>
        </w:tc>
        <w:tc>
          <w:tcPr>
            <w:tcW w:w="2820" w:type="dxa"/>
            <w:vAlign w:val="bottom"/>
            <w:shd w:val="clear" w:color="auto" w:fill="EDEDED"/>
          </w:tcPr>
          <w:p>
            <w:pPr>
              <w:jc w:val="center"/>
              <w:ind w:right="361"/>
              <w:spacing w:after="0"/>
              <w:rPr>
                <w:sz w:val="20"/>
                <w:szCs w:val="20"/>
                <w:color w:val="auto"/>
              </w:rPr>
            </w:pPr>
            <w:r>
              <w:rPr>
                <w:rFonts w:ascii="Arial" w:cs="Arial" w:eastAsia="Arial" w:hAnsi="Arial"/>
                <w:sz w:val="14"/>
                <w:szCs w:val="14"/>
                <w:color w:val="auto"/>
              </w:rPr>
              <w:t>at 12:00 p.m., Eastern</w:t>
            </w:r>
          </w:p>
        </w:tc>
        <w:tc>
          <w:tcPr>
            <w:tcW w:w="220" w:type="dxa"/>
            <w:vAlign w:val="bottom"/>
          </w:tcPr>
          <w:p>
            <w:pPr>
              <w:spacing w:after="0"/>
              <w:rPr>
                <w:sz w:val="14"/>
                <w:szCs w:val="14"/>
                <w:color w:val="auto"/>
              </w:rPr>
            </w:pPr>
          </w:p>
        </w:tc>
        <w:tc>
          <w:tcPr>
            <w:tcW w:w="3220" w:type="dxa"/>
            <w:vAlign w:val="bottom"/>
            <w:shd w:val="clear" w:color="auto" w:fill="EDEDED"/>
          </w:tcPr>
          <w:p>
            <w:pPr>
              <w:jc w:val="center"/>
              <w:ind w:left="17"/>
              <w:spacing w:after="0" w:line="166" w:lineRule="exact"/>
              <w:rPr>
                <w:sz w:val="20"/>
                <w:szCs w:val="20"/>
                <w:color w:val="auto"/>
              </w:rPr>
            </w:pPr>
            <w:r>
              <w:rPr>
                <w:rFonts w:ascii="Arial" w:cs="Arial" w:eastAsia="Arial" w:hAnsi="Arial"/>
                <w:sz w:val="17"/>
                <w:szCs w:val="17"/>
                <w:color w:val="auto"/>
                <w:w w:val="96"/>
              </w:rPr>
              <w:t>kellyservices.com</w:t>
            </w:r>
          </w:p>
        </w:tc>
        <w:tc>
          <w:tcPr>
            <w:tcW w:w="200" w:type="dxa"/>
            <w:vAlign w:val="bottom"/>
          </w:tcPr>
          <w:p>
            <w:pPr>
              <w:spacing w:after="0"/>
              <w:rPr>
                <w:sz w:val="14"/>
                <w:szCs w:val="14"/>
                <w:color w:val="auto"/>
              </w:rPr>
            </w:pPr>
          </w:p>
        </w:tc>
        <w:tc>
          <w:tcPr>
            <w:tcW w:w="3240" w:type="dxa"/>
            <w:vAlign w:val="bottom"/>
            <w:shd w:val="clear" w:color="auto" w:fill="EDEDED"/>
          </w:tcPr>
          <w:p>
            <w:pPr>
              <w:jc w:val="center"/>
              <w:spacing w:after="0" w:line="166" w:lineRule="exact"/>
              <w:rPr>
                <w:sz w:val="20"/>
                <w:szCs w:val="20"/>
                <w:color w:val="auto"/>
              </w:rPr>
            </w:pPr>
            <w:r>
              <w:rPr>
                <w:rFonts w:ascii="Arial" w:cs="Arial" w:eastAsia="Arial" w:hAnsi="Arial"/>
                <w:sz w:val="17"/>
                <w:szCs w:val="17"/>
                <w:color w:val="auto"/>
                <w:w w:val="97"/>
              </w:rPr>
              <w:t>Eastern Daylight Time,</w:t>
            </w:r>
          </w:p>
        </w:tc>
        <w:tc>
          <w:tcPr>
            <w:tcW w:w="0" w:type="dxa"/>
            <w:vAlign w:val="bottom"/>
          </w:tcPr>
          <w:p>
            <w:pPr>
              <w:spacing w:after="0"/>
              <w:rPr>
                <w:sz w:val="1"/>
                <w:szCs w:val="1"/>
                <w:color w:val="auto"/>
              </w:rPr>
            </w:pPr>
          </w:p>
        </w:tc>
      </w:tr>
      <w:tr>
        <w:trPr>
          <w:trHeight w:val="238"/>
        </w:trPr>
        <w:tc>
          <w:tcPr>
            <w:tcW w:w="440" w:type="dxa"/>
            <w:vAlign w:val="bottom"/>
            <w:vMerge w:val="restart"/>
            <w:shd w:val="clear" w:color="auto" w:fill="EDEDED"/>
          </w:tcPr>
          <w:p>
            <w:pPr>
              <w:spacing w:after="0"/>
              <w:rPr>
                <w:sz w:val="20"/>
                <w:szCs w:val="20"/>
                <w:color w:val="auto"/>
              </w:rPr>
            </w:pPr>
            <w:r>
              <w:rPr>
                <w:rFonts w:ascii="Arial" w:cs="Arial" w:eastAsia="Arial" w:hAnsi="Arial"/>
                <w:sz w:val="36"/>
                <w:szCs w:val="36"/>
                <w:color w:val="auto"/>
              </w:rPr>
              <w:t> </w:t>
            </w:r>
          </w:p>
        </w:tc>
        <w:tc>
          <w:tcPr>
            <w:tcW w:w="2820" w:type="dxa"/>
            <w:vAlign w:val="bottom"/>
            <w:shd w:val="clear" w:color="auto" w:fill="EDEDED"/>
          </w:tcPr>
          <w:p>
            <w:pPr>
              <w:jc w:val="center"/>
              <w:ind w:right="361"/>
              <w:spacing w:after="0"/>
              <w:rPr>
                <w:sz w:val="20"/>
                <w:szCs w:val="20"/>
                <w:color w:val="auto"/>
              </w:rPr>
            </w:pPr>
            <w:r>
              <w:rPr>
                <w:rFonts w:ascii="Arial" w:cs="Arial" w:eastAsia="Arial" w:hAnsi="Arial"/>
                <w:sz w:val="14"/>
                <w:szCs w:val="14"/>
                <w:color w:val="auto"/>
              </w:rPr>
              <w:t>Daylight Time</w:t>
            </w:r>
          </w:p>
        </w:tc>
        <w:tc>
          <w:tcPr>
            <w:tcW w:w="220" w:type="dxa"/>
            <w:vAlign w:val="bottom"/>
          </w:tcPr>
          <w:p>
            <w:pPr>
              <w:spacing w:after="0"/>
              <w:rPr>
                <w:sz w:val="20"/>
                <w:szCs w:val="20"/>
                <w:color w:val="auto"/>
              </w:rPr>
            </w:pPr>
          </w:p>
        </w:tc>
        <w:tc>
          <w:tcPr>
            <w:tcW w:w="3220" w:type="dxa"/>
            <w:vAlign w:val="bottom"/>
            <w:shd w:val="clear" w:color="auto" w:fill="EDEDED"/>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shd w:val="clear" w:color="auto" w:fill="EDEDED"/>
          </w:tcPr>
          <w:p>
            <w:pPr>
              <w:jc w:val="center"/>
              <w:spacing w:after="0"/>
              <w:rPr>
                <w:sz w:val="20"/>
                <w:szCs w:val="20"/>
                <w:color w:val="auto"/>
              </w:rPr>
            </w:pPr>
            <w:r>
              <w:rPr>
                <w:rFonts w:ascii="Arial" w:cs="Arial" w:eastAsia="Arial" w:hAnsi="Arial"/>
                <w:sz w:val="17"/>
                <w:szCs w:val="17"/>
                <w:color w:val="auto"/>
                <w:w w:val="98"/>
              </w:rPr>
              <w:t>March 19, 2026</w:t>
            </w:r>
          </w:p>
        </w:tc>
        <w:tc>
          <w:tcPr>
            <w:tcW w:w="0" w:type="dxa"/>
            <w:vAlign w:val="bottom"/>
          </w:tcPr>
          <w:p>
            <w:pPr>
              <w:spacing w:after="0"/>
              <w:rPr>
                <w:sz w:val="1"/>
                <w:szCs w:val="1"/>
                <w:color w:val="auto"/>
              </w:rPr>
            </w:pPr>
          </w:p>
        </w:tc>
      </w:tr>
      <w:tr>
        <w:trPr>
          <w:trHeight w:val="357"/>
        </w:trPr>
        <w:tc>
          <w:tcPr>
            <w:tcW w:w="440" w:type="dxa"/>
            <w:vAlign w:val="bottom"/>
            <w:vMerge w:val="continue"/>
            <w:shd w:val="clear" w:color="auto" w:fill="EDEDED"/>
          </w:tcPr>
          <w:p>
            <w:pPr>
              <w:spacing w:after="0"/>
              <w:rPr>
                <w:sz w:val="24"/>
                <w:szCs w:val="24"/>
                <w:color w:val="auto"/>
              </w:rPr>
            </w:pPr>
          </w:p>
        </w:tc>
        <w:tc>
          <w:tcPr>
            <w:tcW w:w="2820" w:type="dxa"/>
            <w:vAlign w:val="bottom"/>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shd w:val="clear" w:color="auto" w:fill="EDEDED"/>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-1070610</wp:posOffset>
            </wp:positionV>
            <wp:extent cx="370205" cy="323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0205" cy="32321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-1070610</wp:posOffset>
            </wp:positionV>
            <wp:extent cx="259715" cy="354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 cy="35433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-1070610</wp:posOffset>
            </wp:positionV>
            <wp:extent cx="464820" cy="307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4820" cy="307340"/>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p>
      <w:pPr>
        <w:spacing w:after="0" w:line="372"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auto"/>
        </w:rPr>
        <w:t>Voting</w:t>
      </w:r>
    </w:p>
    <w:p>
      <w:pPr>
        <w:spacing w:after="0" w:line="15" w:lineRule="exact"/>
        <w:rPr>
          <w:sz w:val="20"/>
          <w:szCs w:val="20"/>
          <w:color w:val="auto"/>
        </w:rPr>
      </w:pPr>
    </w:p>
    <w:p>
      <w:pPr>
        <w:jc w:val="center"/>
        <w:ind w:left="640"/>
        <w:spacing w:after="0" w:line="275" w:lineRule="auto"/>
        <w:rPr>
          <w:sz w:val="20"/>
          <w:szCs w:val="20"/>
          <w:color w:val="auto"/>
        </w:rPr>
      </w:pPr>
      <w:r>
        <w:rPr>
          <w:rFonts w:ascii="Arial" w:cs="Arial" w:eastAsia="Arial" w:hAnsi="Arial"/>
          <w:sz w:val="14"/>
          <w:szCs w:val="14"/>
          <w:color w:val="auto"/>
        </w:rPr>
        <w:t>Class B Shareholders as of the Record Date are entitled to vote. Each share of Class B Common Stock is entitled to one vote for each director nominee and one vote for each of the other proposals to be voted on.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200"/>
        <w:spacing w:after="0"/>
        <w:rPr>
          <w:sz w:val="20"/>
          <w:szCs w:val="20"/>
          <w:color w:val="auto"/>
        </w:rPr>
      </w:pPr>
      <w:r>
        <w:rPr>
          <w:rFonts w:ascii="Arial" w:cs="Arial" w:eastAsia="Arial" w:hAnsi="Arial"/>
          <w:sz w:val="15"/>
          <w:szCs w:val="15"/>
          <w:b w:val="1"/>
          <w:bCs w:val="1"/>
          <w:color w:val="auto"/>
        </w:rPr>
        <w:t>Admission</w:t>
      </w:r>
    </w:p>
    <w:p>
      <w:pPr>
        <w:spacing w:after="0" w:line="15"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All holders of the Company’s Class A and Class B Common Stock are</w:t>
      </w:r>
    </w:p>
    <w:p>
      <w:pPr>
        <w:spacing w:after="0" w:line="13"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invited to attend the Annual Meeting of Shareholders.</w:t>
      </w:r>
    </w:p>
    <w:p>
      <w:pPr>
        <w:spacing w:after="0" w:line="407" w:lineRule="exact"/>
        <w:rPr>
          <w:sz w:val="20"/>
          <w:szCs w:val="20"/>
          <w:color w:val="auto"/>
        </w:rPr>
      </w:pPr>
    </w:p>
    <w:p>
      <w:pPr>
        <w:sectPr>
          <w:pgSz w:w="11900" w:h="16838" w:orient="portrait"/>
          <w:cols w:equalWidth="0" w:num="2">
            <w:col w:w="5360" w:space="540"/>
            <w:col w:w="4800"/>
          </w:cols>
          <w:pgMar w:left="320" w:top="454" w:right="87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Proxy Voting Roadmap</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60" w:type="dxa"/>
            <w:vAlign w:val="bottom"/>
            <w:gridSpan w:val="2"/>
          </w:tcPr>
          <w:p>
            <w:pPr>
              <w:jc w:val="center"/>
              <w:ind w:left="219"/>
              <w:spacing w:after="0"/>
              <w:rPr>
                <w:sz w:val="20"/>
                <w:szCs w:val="20"/>
                <w:color w:val="auto"/>
              </w:rPr>
            </w:pPr>
            <w:r>
              <w:rPr>
                <w:rFonts w:ascii="Arial" w:cs="Arial" w:eastAsia="Arial" w:hAnsi="Arial"/>
                <w:sz w:val="17"/>
                <w:szCs w:val="17"/>
                <w:b w:val="1"/>
                <w:bCs w:val="1"/>
                <w:color w:val="00AE4F"/>
                <w:w w:val="89"/>
              </w:rPr>
              <w:t>Page 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gridSpan w:val="3"/>
          </w:tcPr>
          <w:p>
            <w:pPr>
              <w:jc w:val="center"/>
              <w:ind w:left="19"/>
              <w:spacing w:after="0" w:line="186" w:lineRule="exact"/>
              <w:rPr>
                <w:sz w:val="20"/>
                <w:szCs w:val="20"/>
                <w:color w:val="auto"/>
              </w:rPr>
            </w:pPr>
            <w:r>
              <w:rPr>
                <w:rFonts w:ascii="Arial" w:cs="Arial" w:eastAsia="Arial" w:hAnsi="Arial"/>
                <w:sz w:val="17"/>
                <w:szCs w:val="17"/>
                <w:b w:val="1"/>
                <w:bCs w:val="1"/>
                <w:color w:val="00AE4F"/>
              </w:rPr>
              <w:t xml:space="preserve">Reference </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60" w:type="dxa"/>
            <w:vAlign w:val="bottom"/>
            <w:gridSpan w:val="2"/>
          </w:tcPr>
          <w:p>
            <w:pPr>
              <w:jc w:val="center"/>
              <w:ind w:left="219"/>
              <w:spacing w:after="0" w:line="186" w:lineRule="exact"/>
              <w:rPr>
                <w:sz w:val="20"/>
                <w:szCs w:val="20"/>
                <w:color w:val="auto"/>
              </w:rPr>
            </w:pPr>
            <w:r>
              <w:rPr>
                <w:rFonts w:ascii="Arial" w:cs="Arial" w:eastAsia="Arial" w:hAnsi="Arial"/>
                <w:sz w:val="17"/>
                <w:szCs w:val="17"/>
                <w:b w:val="1"/>
                <w:bCs w:val="1"/>
                <w:color w:val="00AE4F"/>
                <w:w w:val="89"/>
              </w:rPr>
              <w:t>For 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60" w:type="dxa"/>
            <w:vAlign w:val="bottom"/>
            <w:gridSpan w:val="2"/>
          </w:tcPr>
          <w:p>
            <w:pPr>
              <w:jc w:val="center"/>
              <w:ind w:left="219"/>
              <w:spacing w:after="0" w:line="186" w:lineRule="exact"/>
              <w:rPr>
                <w:sz w:val="20"/>
                <w:szCs w:val="20"/>
                <w:color w:val="auto"/>
              </w:rPr>
            </w:pPr>
            <w:r>
              <w:rPr>
                <w:rFonts w:ascii="Arial" w:cs="Arial" w:eastAsia="Arial" w:hAnsi="Arial"/>
                <w:sz w:val="17"/>
                <w:szCs w:val="17"/>
                <w:b w:val="1"/>
                <w:bCs w:val="1"/>
                <w:color w:val="00AE4F"/>
                <w:w w:val="89"/>
              </w:rPr>
              <w:t>More 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00" w:type="dxa"/>
            <w:vAlign w:val="bottom"/>
          </w:tcPr>
          <w:p>
            <w:pPr>
              <w:ind w:left="60"/>
              <w:spacing w:after="0"/>
              <w:rPr>
                <w:sz w:val="20"/>
                <w:szCs w:val="20"/>
                <w:color w:val="auto"/>
              </w:rPr>
            </w:pPr>
            <w:r>
              <w:rPr>
                <w:rFonts w:ascii="Arial" w:cs="Arial" w:eastAsia="Arial" w:hAnsi="Arial"/>
                <w:sz w:val="17"/>
                <w:szCs w:val="17"/>
                <w:b w:val="1"/>
                <w:bCs w:val="1"/>
                <w:color w:val="00AE4F"/>
              </w:rPr>
              <w:t>Voting Matters</w:t>
            </w:r>
          </w:p>
        </w:tc>
        <w:tc>
          <w:tcPr>
            <w:tcW w:w="2380" w:type="dxa"/>
            <w:vAlign w:val="bottom"/>
          </w:tcPr>
          <w:p>
            <w:pPr>
              <w:jc w:val="center"/>
              <w:ind w:left="141"/>
              <w:spacing w:after="0"/>
              <w:rPr>
                <w:sz w:val="20"/>
                <w:szCs w:val="20"/>
                <w:color w:val="auto"/>
              </w:rPr>
            </w:pPr>
            <w:r>
              <w:rPr>
                <w:rFonts w:ascii="Arial" w:cs="Arial" w:eastAsia="Arial" w:hAnsi="Arial"/>
                <w:sz w:val="17"/>
                <w:szCs w:val="17"/>
                <w:b w:val="1"/>
                <w:bCs w:val="1"/>
                <w:color w:val="00AE4F"/>
                <w:w w:val="95"/>
              </w:rPr>
              <w:t>Board Recommendations </w:t>
            </w:r>
          </w:p>
        </w:tc>
        <w:tc>
          <w:tcPr>
            <w:tcW w:w="860" w:type="dxa"/>
            <w:vAlign w:val="bottom"/>
            <w:gridSpan w:val="2"/>
          </w:tcPr>
          <w:p>
            <w:pPr>
              <w:jc w:val="center"/>
              <w:ind w:left="159"/>
              <w:spacing w:after="0"/>
              <w:rPr>
                <w:sz w:val="20"/>
                <w:szCs w:val="20"/>
                <w:color w:val="auto"/>
              </w:rPr>
            </w:pPr>
            <w:r>
              <w:rPr>
                <w:rFonts w:ascii="Arial" w:cs="Arial" w:eastAsia="Arial" w:hAnsi="Arial"/>
                <w:sz w:val="17"/>
                <w:szCs w:val="17"/>
                <w:b w:val="1"/>
                <w:bCs w:val="1"/>
                <w:color w:val="00AE4F"/>
                <w:w w:val="96"/>
              </w:rPr>
              <w:t>Details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670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2"/>
        </w:trPr>
        <w:tc>
          <w:tcPr>
            <w:tcW w:w="670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 xml:space="preserve">PROPOSAL 1. </w:t>
            </w:r>
            <w:r>
              <w:rPr>
                <w:rFonts w:ascii="Arial" w:cs="Arial" w:eastAsia="Arial" w:hAnsi="Arial"/>
                <w:sz w:val="15"/>
                <w:szCs w:val="15"/>
                <w:color w:val="auto"/>
              </w:rPr>
              <w:t>Election of eleven directors</w:t>
            </w:r>
          </w:p>
        </w:tc>
        <w:tc>
          <w:tcPr>
            <w:tcW w:w="2380" w:type="dxa"/>
            <w:vAlign w:val="bottom"/>
          </w:tcPr>
          <w:p>
            <w:pPr>
              <w:jc w:val="center"/>
              <w:ind w:left="181"/>
              <w:spacing w:after="0" w:line="173" w:lineRule="exact"/>
              <w:rPr>
                <w:sz w:val="20"/>
                <w:szCs w:val="20"/>
                <w:color w:val="auto"/>
              </w:rPr>
            </w:pPr>
            <w:r>
              <w:rPr>
                <w:rFonts w:ascii="MS PGothic" w:cs="MS PGothic" w:eastAsia="MS PGothic" w:hAnsi="MS PGothic"/>
                <w:sz w:val="15"/>
                <w:szCs w:val="15"/>
                <w:color w:val="00AE4F"/>
                <w:w w:val="94"/>
              </w:rPr>
              <w:t>✓</w:t>
            </w:r>
            <w:r>
              <w:rPr>
                <w:rFonts w:ascii="Arial" w:cs="Arial" w:eastAsia="Arial" w:hAnsi="Arial"/>
                <w:sz w:val="15"/>
                <w:szCs w:val="15"/>
                <w:b w:val="1"/>
                <w:bCs w:val="1"/>
                <w:color w:val="00AE4F"/>
                <w:w w:val="94"/>
              </w:rPr>
              <w:t xml:space="preserve"> FOR</w:t>
            </w:r>
          </w:p>
        </w:tc>
        <w:tc>
          <w:tcPr>
            <w:tcW w:w="860" w:type="dxa"/>
            <w:vAlign w:val="bottom"/>
            <w:gridSpan w:val="2"/>
            <w:vMerge w:val="restart"/>
            <w:shd w:val="clear" w:color="auto" w:fill="EDEDED"/>
          </w:tcPr>
          <w:p>
            <w:pPr>
              <w:jc w:val="center"/>
              <w:ind w:left="239"/>
              <w:spacing w:after="0"/>
              <w:rPr>
                <w:sz w:val="20"/>
                <w:szCs w:val="20"/>
                <w:color w:val="auto"/>
              </w:rPr>
            </w:pPr>
            <w:r>
              <w:rPr>
                <w:rFonts w:ascii="Arial" w:cs="Arial" w:eastAsia="Arial" w:hAnsi="Arial"/>
                <w:sz w:val="15"/>
                <w:szCs w:val="15"/>
                <w:color w:val="auto"/>
                <w:w w:val="99"/>
              </w:rPr>
              <w:t>page 13</w:t>
            </w:r>
          </w:p>
        </w:tc>
        <w:tc>
          <w:tcPr>
            <w:tcW w:w="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700" w:type="dxa"/>
            <w:vAlign w:val="bottom"/>
            <w:vMerge w:val="continue"/>
          </w:tcPr>
          <w:p>
            <w:pPr>
              <w:spacing w:after="0"/>
              <w:rPr>
                <w:sz w:val="10"/>
                <w:szCs w:val="10"/>
                <w:color w:val="auto"/>
              </w:rPr>
            </w:pPr>
          </w:p>
        </w:tc>
        <w:tc>
          <w:tcPr>
            <w:tcW w:w="2380" w:type="dxa"/>
            <w:vAlign w:val="bottom"/>
            <w:vMerge w:val="restart"/>
          </w:tcPr>
          <w:p>
            <w:pPr>
              <w:jc w:val="center"/>
              <w:ind w:left="181"/>
              <w:spacing w:after="0"/>
              <w:rPr>
                <w:sz w:val="20"/>
                <w:szCs w:val="20"/>
                <w:color w:val="auto"/>
              </w:rPr>
            </w:pPr>
            <w:r>
              <w:rPr>
                <w:rFonts w:ascii="Arial" w:cs="Arial" w:eastAsia="Arial" w:hAnsi="Arial"/>
                <w:sz w:val="15"/>
                <w:szCs w:val="15"/>
                <w:color w:val="auto"/>
                <w:w w:val="97"/>
              </w:rPr>
              <w:t>each nominee</w:t>
            </w:r>
          </w:p>
        </w:tc>
        <w:tc>
          <w:tcPr>
            <w:tcW w:w="860" w:type="dxa"/>
            <w:vAlign w:val="bottom"/>
            <w:gridSpan w:val="2"/>
            <w:vMerge w:val="continue"/>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70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240" w:type="dxa"/>
            <w:vAlign w:val="bottom"/>
            <w:tcBorders>
              <w:left w:val="single" w:sz="8" w:color="EDEDED"/>
            </w:tcBorders>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6700" w:type="dxa"/>
            <w:vAlign w:val="bottom"/>
            <w:tcBorders>
              <w:bottom w:val="single" w:sz="8" w:color="7F7F7F"/>
            </w:tcBorders>
          </w:tcPr>
          <w:p>
            <w:pPr>
              <w:spacing w:after="0"/>
              <w:rPr>
                <w:sz w:val="12"/>
                <w:szCs w:val="12"/>
                <w:color w:val="auto"/>
              </w:rPr>
            </w:pPr>
          </w:p>
        </w:tc>
        <w:tc>
          <w:tcPr>
            <w:tcW w:w="23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shd w:val="clear" w:color="auto" w:fill="EDEDED"/>
          </w:tcPr>
          <w:p>
            <w:pPr>
              <w:spacing w:after="0"/>
              <w:rPr>
                <w:sz w:val="12"/>
                <w:szCs w:val="12"/>
                <w:color w:val="auto"/>
              </w:rPr>
            </w:pPr>
          </w:p>
        </w:tc>
        <w:tc>
          <w:tcPr>
            <w:tcW w:w="240" w:type="dxa"/>
            <w:vAlign w:val="bottom"/>
            <w:tcBorders>
              <w:left w:val="single" w:sz="8" w:color="EDEDED"/>
              <w:bottom w:val="single" w:sz="8" w:color="7F7F7F"/>
            </w:tcBorders>
            <w:shd w:val="clear" w:color="auto" w:fill="EDEDED"/>
          </w:tcPr>
          <w:p>
            <w:pPr>
              <w:spacing w:after="0"/>
              <w:rPr>
                <w:sz w:val="12"/>
                <w:szCs w:val="12"/>
                <w:color w:val="auto"/>
              </w:rPr>
            </w:pPr>
          </w:p>
        </w:tc>
        <w:tc>
          <w:tcPr>
            <w:tcW w:w="20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544"/>
        </w:trPr>
        <w:tc>
          <w:tcPr>
            <w:tcW w:w="6700" w:type="dxa"/>
            <w:vAlign w:val="bottom"/>
          </w:tcPr>
          <w:p>
            <w:pPr>
              <w:ind w:left="560"/>
              <w:spacing w:after="0"/>
              <w:rPr>
                <w:sz w:val="20"/>
                <w:szCs w:val="20"/>
                <w:color w:val="auto"/>
              </w:rPr>
            </w:pPr>
            <w:r>
              <w:rPr>
                <w:rFonts w:ascii="Arial" w:cs="Arial" w:eastAsia="Arial" w:hAnsi="Arial"/>
                <w:sz w:val="15"/>
                <w:szCs w:val="15"/>
                <w:b w:val="1"/>
                <w:bCs w:val="1"/>
                <w:color w:val="auto"/>
              </w:rPr>
              <w:t xml:space="preserve">PROPOSAL 2. </w:t>
            </w:r>
            <w:r>
              <w:rPr>
                <w:rFonts w:ascii="Arial" w:cs="Arial" w:eastAsia="Arial" w:hAnsi="Arial"/>
                <w:sz w:val="15"/>
                <w:szCs w:val="15"/>
                <w:color w:val="auto"/>
              </w:rPr>
              <w:t>Advisory vote to approve the Company’s executive compensation</w:t>
            </w:r>
          </w:p>
        </w:tc>
        <w:tc>
          <w:tcPr>
            <w:tcW w:w="2380" w:type="dxa"/>
            <w:vAlign w:val="bottom"/>
          </w:tcPr>
          <w:p>
            <w:pPr>
              <w:jc w:val="center"/>
              <w:ind w:left="181"/>
              <w:spacing w:after="0" w:line="173" w:lineRule="exact"/>
              <w:rPr>
                <w:sz w:val="20"/>
                <w:szCs w:val="20"/>
                <w:color w:val="auto"/>
              </w:rPr>
            </w:pPr>
            <w:r>
              <w:rPr>
                <w:rFonts w:ascii="MS PGothic" w:cs="MS PGothic" w:eastAsia="MS PGothic" w:hAnsi="MS PGothic"/>
                <w:sz w:val="15"/>
                <w:szCs w:val="15"/>
                <w:color w:val="00AE4F"/>
                <w:w w:val="94"/>
              </w:rPr>
              <w:t>✓</w:t>
            </w:r>
            <w:r>
              <w:rPr>
                <w:rFonts w:ascii="Arial" w:cs="Arial" w:eastAsia="Arial" w:hAnsi="Arial"/>
                <w:sz w:val="15"/>
                <w:szCs w:val="15"/>
                <w:b w:val="1"/>
                <w:bCs w:val="1"/>
                <w:color w:val="00AE4F"/>
                <w:w w:val="94"/>
              </w:rPr>
              <w:t xml:space="preserve"> FOR</w:t>
            </w:r>
          </w:p>
        </w:tc>
        <w:tc>
          <w:tcPr>
            <w:tcW w:w="860" w:type="dxa"/>
            <w:vAlign w:val="bottom"/>
            <w:gridSpan w:val="2"/>
            <w:shd w:val="clear" w:color="auto" w:fill="EDEDED"/>
          </w:tcPr>
          <w:p>
            <w:pPr>
              <w:jc w:val="center"/>
              <w:ind w:left="239"/>
              <w:spacing w:after="0"/>
              <w:rPr>
                <w:sz w:val="20"/>
                <w:szCs w:val="20"/>
                <w:color w:val="auto"/>
              </w:rPr>
            </w:pPr>
            <w:r>
              <w:rPr>
                <w:rFonts w:ascii="Arial" w:cs="Arial" w:eastAsia="Arial" w:hAnsi="Arial"/>
                <w:sz w:val="15"/>
                <w:szCs w:val="15"/>
                <w:color w:val="auto"/>
                <w:w w:val="99"/>
              </w:rPr>
              <w:t>page 44</w:t>
            </w:r>
          </w:p>
        </w:tc>
        <w:tc>
          <w:tcPr>
            <w:tcW w:w="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700" w:type="dxa"/>
            <w:vAlign w:val="bottom"/>
            <w:tcBorders>
              <w:bottom w:val="single" w:sz="8" w:color="7F7F7F"/>
            </w:tcBorders>
          </w:tcPr>
          <w:p>
            <w:pPr>
              <w:spacing w:after="0"/>
              <w:rPr>
                <w:sz w:val="17"/>
                <w:szCs w:val="17"/>
                <w:color w:val="auto"/>
              </w:rPr>
            </w:pPr>
          </w:p>
        </w:tc>
        <w:tc>
          <w:tcPr>
            <w:tcW w:w="2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shd w:val="clear" w:color="auto" w:fill="EDEDED"/>
          </w:tcPr>
          <w:p>
            <w:pPr>
              <w:spacing w:after="0"/>
              <w:rPr>
                <w:sz w:val="17"/>
                <w:szCs w:val="17"/>
                <w:color w:val="auto"/>
              </w:rPr>
            </w:pPr>
          </w:p>
        </w:tc>
        <w:tc>
          <w:tcPr>
            <w:tcW w:w="240" w:type="dxa"/>
            <w:vAlign w:val="bottom"/>
            <w:tcBorders>
              <w:left w:val="single" w:sz="8" w:color="EDEDED"/>
              <w:bottom w:val="single" w:sz="8" w:color="7F7F7F"/>
            </w:tcBorders>
            <w:shd w:val="clear" w:color="auto" w:fill="EDEDED"/>
          </w:tcPr>
          <w:p>
            <w:pPr>
              <w:spacing w:after="0"/>
              <w:rPr>
                <w:sz w:val="17"/>
                <w:szCs w:val="17"/>
                <w:color w:val="auto"/>
              </w:rPr>
            </w:pPr>
          </w:p>
        </w:tc>
        <w:tc>
          <w:tcPr>
            <w:tcW w:w="200" w:type="dxa"/>
            <w:vAlign w:val="bottom"/>
            <w:tcBorders>
              <w:bottom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6700" w:type="dxa"/>
            <w:vAlign w:val="bottom"/>
          </w:tcPr>
          <w:p>
            <w:pPr>
              <w:ind w:left="560"/>
              <w:spacing w:after="0"/>
              <w:rPr>
                <w:sz w:val="20"/>
                <w:szCs w:val="20"/>
                <w:color w:val="auto"/>
              </w:rPr>
            </w:pPr>
            <w:r>
              <w:rPr>
                <w:rFonts w:ascii="Arial" w:cs="Arial" w:eastAsia="Arial" w:hAnsi="Arial"/>
                <w:sz w:val="15"/>
                <w:szCs w:val="15"/>
                <w:b w:val="1"/>
                <w:bCs w:val="1"/>
                <w:color w:val="auto"/>
              </w:rPr>
              <w:t xml:space="preserve">PROPOSAL 3. </w:t>
            </w:r>
            <w:r>
              <w:rPr>
                <w:rFonts w:ascii="Arial" w:cs="Arial" w:eastAsia="Arial" w:hAnsi="Arial"/>
                <w:sz w:val="15"/>
                <w:szCs w:val="15"/>
                <w:color w:val="auto"/>
              </w:rPr>
              <w:t>Vote to approve the Amendment of the Company’s Restated Certificate of</w:t>
            </w:r>
          </w:p>
        </w:tc>
        <w:tc>
          <w:tcPr>
            <w:tcW w:w="2380" w:type="dxa"/>
            <w:vAlign w:val="bottom"/>
            <w:vMerge w:val="restart"/>
          </w:tcPr>
          <w:p>
            <w:pPr>
              <w:jc w:val="center"/>
              <w:ind w:left="181"/>
              <w:spacing w:after="0" w:line="173" w:lineRule="exact"/>
              <w:rPr>
                <w:sz w:val="20"/>
                <w:szCs w:val="20"/>
                <w:color w:val="auto"/>
              </w:rPr>
            </w:pPr>
            <w:r>
              <w:rPr>
                <w:rFonts w:ascii="MS PGothic" w:cs="MS PGothic" w:eastAsia="MS PGothic" w:hAnsi="MS PGothic"/>
                <w:sz w:val="15"/>
                <w:szCs w:val="15"/>
                <w:color w:val="00AE4F"/>
                <w:w w:val="94"/>
              </w:rPr>
              <w:t>✓</w:t>
            </w:r>
            <w:r>
              <w:rPr>
                <w:rFonts w:ascii="Arial" w:cs="Arial" w:eastAsia="Arial" w:hAnsi="Arial"/>
                <w:sz w:val="15"/>
                <w:szCs w:val="15"/>
                <w:b w:val="1"/>
                <w:bCs w:val="1"/>
                <w:color w:val="00AE4F"/>
                <w:w w:val="94"/>
              </w:rPr>
              <w:t xml:space="preserve"> FOR</w:t>
            </w:r>
          </w:p>
        </w:tc>
        <w:tc>
          <w:tcPr>
            <w:tcW w:w="860" w:type="dxa"/>
            <w:vAlign w:val="bottom"/>
            <w:gridSpan w:val="2"/>
            <w:vMerge w:val="restart"/>
            <w:shd w:val="clear" w:color="auto" w:fill="EDEDED"/>
          </w:tcPr>
          <w:p>
            <w:pPr>
              <w:jc w:val="center"/>
              <w:ind w:left="239"/>
              <w:spacing w:after="0"/>
              <w:rPr>
                <w:sz w:val="20"/>
                <w:szCs w:val="20"/>
                <w:color w:val="auto"/>
              </w:rPr>
            </w:pPr>
            <w:r>
              <w:rPr>
                <w:rFonts w:ascii="Arial" w:cs="Arial" w:eastAsia="Arial" w:hAnsi="Arial"/>
                <w:sz w:val="15"/>
                <w:szCs w:val="15"/>
                <w:color w:val="auto"/>
                <w:w w:val="99"/>
              </w:rPr>
              <w:t>page 79</w:t>
            </w:r>
          </w:p>
        </w:tc>
        <w:tc>
          <w:tcPr>
            <w:tcW w:w="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700" w:type="dxa"/>
            <w:vAlign w:val="bottom"/>
            <w:vMerge w:val="restart"/>
          </w:tcPr>
          <w:p>
            <w:pPr>
              <w:ind w:left="560"/>
              <w:spacing w:after="0"/>
              <w:rPr>
                <w:sz w:val="20"/>
                <w:szCs w:val="20"/>
                <w:color w:val="auto"/>
              </w:rPr>
            </w:pPr>
            <w:r>
              <w:rPr>
                <w:rFonts w:ascii="Arial" w:cs="Arial" w:eastAsia="Arial" w:hAnsi="Arial"/>
                <w:sz w:val="15"/>
                <w:szCs w:val="15"/>
                <w:color w:val="auto"/>
              </w:rPr>
              <w:t>Incorporation</w:t>
            </w:r>
          </w:p>
        </w:tc>
        <w:tc>
          <w:tcPr>
            <w:tcW w:w="2380" w:type="dxa"/>
            <w:vAlign w:val="bottom"/>
            <w:vMerge w:val="continue"/>
          </w:tcPr>
          <w:p>
            <w:pPr>
              <w:spacing w:after="0"/>
              <w:rPr>
                <w:sz w:val="11"/>
                <w:szCs w:val="11"/>
                <w:color w:val="auto"/>
              </w:rPr>
            </w:pPr>
          </w:p>
        </w:tc>
        <w:tc>
          <w:tcPr>
            <w:tcW w:w="860" w:type="dxa"/>
            <w:vAlign w:val="bottom"/>
            <w:gridSpan w:val="2"/>
            <w:vMerge w:val="continue"/>
            <w:shd w:val="clear" w:color="auto" w:fill="EDEDED"/>
          </w:tcPr>
          <w:p>
            <w:pPr>
              <w:spacing w:after="0"/>
              <w:rPr>
                <w:sz w:val="11"/>
                <w:szCs w:val="11"/>
                <w:color w:val="auto"/>
              </w:rPr>
            </w:pPr>
          </w:p>
        </w:tc>
        <w:tc>
          <w:tcPr>
            <w:tcW w:w="20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670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620" w:type="dxa"/>
            <w:vAlign w:val="bottom"/>
            <w:shd w:val="clear" w:color="auto" w:fill="EDEDED"/>
          </w:tcPr>
          <w:p>
            <w:pPr>
              <w:spacing w:after="0"/>
              <w:rPr>
                <w:sz w:val="5"/>
                <w:szCs w:val="5"/>
                <w:color w:val="auto"/>
              </w:rPr>
            </w:pPr>
          </w:p>
        </w:tc>
        <w:tc>
          <w:tcPr>
            <w:tcW w:w="240" w:type="dxa"/>
            <w:vAlign w:val="bottom"/>
            <w:tcBorders>
              <w:left w:val="single" w:sz="8" w:color="EDEDED"/>
            </w:tcBorders>
            <w:shd w:val="clear" w:color="auto" w:fill="EDEDED"/>
          </w:tcPr>
          <w:p>
            <w:pPr>
              <w:spacing w:after="0"/>
              <w:rPr>
                <w:sz w:val="5"/>
                <w:szCs w:val="5"/>
                <w:color w:val="auto"/>
              </w:rPr>
            </w:pPr>
          </w:p>
        </w:tc>
        <w:tc>
          <w:tcPr>
            <w:tcW w:w="2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6700" w:type="dxa"/>
            <w:vAlign w:val="bottom"/>
            <w:tcBorders>
              <w:bottom w:val="single" w:sz="8" w:color="7F7F7F"/>
            </w:tcBorders>
          </w:tcPr>
          <w:p>
            <w:pPr>
              <w:spacing w:after="0"/>
              <w:rPr>
                <w:sz w:val="12"/>
                <w:szCs w:val="12"/>
                <w:color w:val="auto"/>
              </w:rPr>
            </w:pPr>
          </w:p>
        </w:tc>
        <w:tc>
          <w:tcPr>
            <w:tcW w:w="23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shd w:val="clear" w:color="auto" w:fill="EDEDED"/>
          </w:tcPr>
          <w:p>
            <w:pPr>
              <w:spacing w:after="0"/>
              <w:rPr>
                <w:sz w:val="12"/>
                <w:szCs w:val="12"/>
                <w:color w:val="auto"/>
              </w:rPr>
            </w:pPr>
          </w:p>
        </w:tc>
        <w:tc>
          <w:tcPr>
            <w:tcW w:w="240" w:type="dxa"/>
            <w:vAlign w:val="bottom"/>
            <w:tcBorders>
              <w:left w:val="single" w:sz="8" w:color="EDEDED"/>
              <w:bottom w:val="single" w:sz="8" w:color="7F7F7F"/>
            </w:tcBorders>
            <w:shd w:val="clear" w:color="auto" w:fill="EDEDED"/>
          </w:tcPr>
          <w:p>
            <w:pPr>
              <w:spacing w:after="0"/>
              <w:rPr>
                <w:sz w:val="12"/>
                <w:szCs w:val="12"/>
                <w:color w:val="auto"/>
              </w:rPr>
            </w:pPr>
          </w:p>
        </w:tc>
        <w:tc>
          <w:tcPr>
            <w:tcW w:w="20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700" w:type="dxa"/>
            <w:vAlign w:val="bottom"/>
          </w:tcPr>
          <w:p>
            <w:pPr>
              <w:ind w:left="560"/>
              <w:spacing w:after="0"/>
              <w:rPr>
                <w:sz w:val="20"/>
                <w:szCs w:val="20"/>
                <w:color w:val="auto"/>
              </w:rPr>
            </w:pPr>
            <w:r>
              <w:rPr>
                <w:rFonts w:ascii="Arial" w:cs="Arial" w:eastAsia="Arial" w:hAnsi="Arial"/>
                <w:sz w:val="15"/>
                <w:szCs w:val="15"/>
                <w:b w:val="1"/>
                <w:bCs w:val="1"/>
                <w:color w:val="auto"/>
              </w:rPr>
              <w:t xml:space="preserve">PROPOSAL 4. </w:t>
            </w:r>
            <w:r>
              <w:rPr>
                <w:rFonts w:ascii="Arial" w:cs="Arial" w:eastAsia="Arial" w:hAnsi="Arial"/>
                <w:sz w:val="15"/>
                <w:szCs w:val="15"/>
                <w:color w:val="auto"/>
              </w:rPr>
              <w:t>Ratification of the appointment of PricewaterhouseCoopers LLP as the</w:t>
            </w:r>
          </w:p>
        </w:tc>
        <w:tc>
          <w:tcPr>
            <w:tcW w:w="2380" w:type="dxa"/>
            <w:vAlign w:val="bottom"/>
            <w:vMerge w:val="restart"/>
          </w:tcPr>
          <w:p>
            <w:pPr>
              <w:jc w:val="center"/>
              <w:ind w:left="181"/>
              <w:spacing w:after="0" w:line="173" w:lineRule="exact"/>
              <w:rPr>
                <w:sz w:val="20"/>
                <w:szCs w:val="20"/>
                <w:color w:val="auto"/>
              </w:rPr>
            </w:pPr>
            <w:r>
              <w:rPr>
                <w:rFonts w:ascii="MS PGothic" w:cs="MS PGothic" w:eastAsia="MS PGothic" w:hAnsi="MS PGothic"/>
                <w:sz w:val="15"/>
                <w:szCs w:val="15"/>
                <w:color w:val="00AE4F"/>
                <w:w w:val="94"/>
              </w:rPr>
              <w:t>✓</w:t>
            </w:r>
            <w:r>
              <w:rPr>
                <w:rFonts w:ascii="Arial" w:cs="Arial" w:eastAsia="Arial" w:hAnsi="Arial"/>
                <w:sz w:val="15"/>
                <w:szCs w:val="15"/>
                <w:b w:val="1"/>
                <w:bCs w:val="1"/>
                <w:color w:val="00AE4F"/>
                <w:w w:val="94"/>
              </w:rPr>
              <w:t xml:space="preserve"> FOR</w:t>
            </w:r>
          </w:p>
        </w:tc>
        <w:tc>
          <w:tcPr>
            <w:tcW w:w="860" w:type="dxa"/>
            <w:vAlign w:val="bottom"/>
            <w:gridSpan w:val="2"/>
            <w:vMerge w:val="restart"/>
            <w:shd w:val="clear" w:color="auto" w:fill="EDEDED"/>
          </w:tcPr>
          <w:p>
            <w:pPr>
              <w:jc w:val="center"/>
              <w:ind w:left="239"/>
              <w:spacing w:after="0"/>
              <w:rPr>
                <w:sz w:val="20"/>
                <w:szCs w:val="20"/>
                <w:color w:val="auto"/>
              </w:rPr>
            </w:pPr>
            <w:r>
              <w:rPr>
                <w:rFonts w:ascii="Arial" w:cs="Arial" w:eastAsia="Arial" w:hAnsi="Arial"/>
                <w:sz w:val="15"/>
                <w:szCs w:val="15"/>
                <w:color w:val="auto"/>
                <w:w w:val="99"/>
              </w:rPr>
              <w:t>page 82</w:t>
            </w:r>
          </w:p>
        </w:tc>
        <w:tc>
          <w:tcPr>
            <w:tcW w:w="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700" w:type="dxa"/>
            <w:vAlign w:val="bottom"/>
            <w:vMerge w:val="restart"/>
          </w:tcPr>
          <w:p>
            <w:pPr>
              <w:ind w:left="560"/>
              <w:spacing w:after="0"/>
              <w:rPr>
                <w:sz w:val="20"/>
                <w:szCs w:val="20"/>
                <w:color w:val="auto"/>
              </w:rPr>
            </w:pPr>
            <w:r>
              <w:rPr>
                <w:rFonts w:ascii="Arial" w:cs="Arial" w:eastAsia="Arial" w:hAnsi="Arial"/>
                <w:sz w:val="15"/>
                <w:szCs w:val="15"/>
                <w:color w:val="auto"/>
              </w:rPr>
              <w:t>Company’s independent registered public accounting firm for the 2026 fiscal year</w:t>
            </w:r>
          </w:p>
        </w:tc>
        <w:tc>
          <w:tcPr>
            <w:tcW w:w="2380" w:type="dxa"/>
            <w:vAlign w:val="bottom"/>
            <w:vMerge w:val="continue"/>
          </w:tcPr>
          <w:p>
            <w:pPr>
              <w:spacing w:after="0"/>
              <w:rPr>
                <w:sz w:val="11"/>
                <w:szCs w:val="11"/>
                <w:color w:val="auto"/>
              </w:rPr>
            </w:pPr>
          </w:p>
        </w:tc>
        <w:tc>
          <w:tcPr>
            <w:tcW w:w="860" w:type="dxa"/>
            <w:vAlign w:val="bottom"/>
            <w:gridSpan w:val="2"/>
            <w:vMerge w:val="continue"/>
            <w:shd w:val="clear" w:color="auto" w:fill="EDEDED"/>
          </w:tcPr>
          <w:p>
            <w:pPr>
              <w:spacing w:after="0"/>
              <w:rPr>
                <w:sz w:val="11"/>
                <w:szCs w:val="11"/>
                <w:color w:val="auto"/>
              </w:rPr>
            </w:pPr>
          </w:p>
        </w:tc>
        <w:tc>
          <w:tcPr>
            <w:tcW w:w="20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670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620" w:type="dxa"/>
            <w:vAlign w:val="bottom"/>
            <w:shd w:val="clear" w:color="auto" w:fill="EDEDED"/>
          </w:tcPr>
          <w:p>
            <w:pPr>
              <w:spacing w:after="0"/>
              <w:rPr>
                <w:sz w:val="5"/>
                <w:szCs w:val="5"/>
                <w:color w:val="auto"/>
              </w:rPr>
            </w:pPr>
          </w:p>
        </w:tc>
        <w:tc>
          <w:tcPr>
            <w:tcW w:w="240" w:type="dxa"/>
            <w:vAlign w:val="bottom"/>
            <w:tcBorders>
              <w:left w:val="single" w:sz="8" w:color="EDEDED"/>
            </w:tcBorders>
            <w:shd w:val="clear" w:color="auto" w:fill="EDEDED"/>
          </w:tcPr>
          <w:p>
            <w:pPr>
              <w:spacing w:after="0"/>
              <w:rPr>
                <w:sz w:val="5"/>
                <w:szCs w:val="5"/>
                <w:color w:val="auto"/>
              </w:rPr>
            </w:pPr>
          </w:p>
        </w:tc>
        <w:tc>
          <w:tcPr>
            <w:tcW w:w="2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6700" w:type="dxa"/>
            <w:vAlign w:val="bottom"/>
            <w:tcBorders>
              <w:bottom w:val="single" w:sz="8" w:color="7F7F7F"/>
            </w:tcBorders>
          </w:tcPr>
          <w:p>
            <w:pPr>
              <w:spacing w:after="0"/>
              <w:rPr>
                <w:sz w:val="12"/>
                <w:szCs w:val="12"/>
                <w:color w:val="auto"/>
              </w:rPr>
            </w:pPr>
          </w:p>
        </w:tc>
        <w:tc>
          <w:tcPr>
            <w:tcW w:w="23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shd w:val="clear" w:color="auto" w:fill="EDEDED"/>
          </w:tcPr>
          <w:p>
            <w:pPr>
              <w:spacing w:after="0"/>
              <w:rPr>
                <w:sz w:val="12"/>
                <w:szCs w:val="12"/>
                <w:color w:val="auto"/>
              </w:rPr>
            </w:pPr>
          </w:p>
        </w:tc>
        <w:tc>
          <w:tcPr>
            <w:tcW w:w="240" w:type="dxa"/>
            <w:vAlign w:val="bottom"/>
            <w:tcBorders>
              <w:left w:val="single" w:sz="8" w:color="EDEDED"/>
              <w:bottom w:val="single" w:sz="8" w:color="7F7F7F"/>
            </w:tcBorders>
            <w:shd w:val="clear" w:color="auto" w:fill="EDEDED"/>
          </w:tcPr>
          <w:p>
            <w:pPr>
              <w:spacing w:after="0"/>
              <w:rPr>
                <w:sz w:val="12"/>
                <w:szCs w:val="12"/>
                <w:color w:val="auto"/>
              </w:rPr>
            </w:pPr>
          </w:p>
        </w:tc>
        <w:tc>
          <w:tcPr>
            <w:tcW w:w="20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2380" w:type="dxa"/>
            <w:vAlign w:val="bottom"/>
            <w:vMerge w:val="restart"/>
          </w:tcPr>
          <w:p>
            <w:pPr>
              <w:ind w:left="1900"/>
              <w:spacing w:after="0"/>
              <w:rPr>
                <w:sz w:val="20"/>
                <w:szCs w:val="20"/>
                <w:color w:val="auto"/>
              </w:rPr>
            </w:pPr>
            <w:r>
              <w:rPr>
                <w:rFonts w:ascii="Arial" w:cs="Arial" w:eastAsia="Arial" w:hAnsi="Arial"/>
                <w:sz w:val="20"/>
                <w:szCs w:val="20"/>
                <w:color w:val="auto"/>
              </w:rPr>
              <w:t> </w:t>
            </w:r>
          </w:p>
        </w:tc>
        <w:tc>
          <w:tcPr>
            <w:tcW w:w="620" w:type="dxa"/>
            <w:vAlign w:val="bottom"/>
            <w:vMerge w:val="restart"/>
          </w:tcPr>
          <w:p>
            <w:pPr>
              <w:ind w:left="360"/>
              <w:spacing w:after="0"/>
              <w:rPr>
                <w:sz w:val="20"/>
                <w:szCs w:val="20"/>
                <w:color w:val="auto"/>
              </w:rPr>
            </w:pPr>
            <w:r>
              <w:rPr>
                <w:rFonts w:ascii="Arial" w:cs="Arial" w:eastAsia="Arial" w:hAnsi="Arial"/>
                <w:sz w:val="20"/>
                <w:szCs w:val="20"/>
                <w:color w:val="auto"/>
                <w:w w:val="85"/>
              </w:rPr>
              <w:t xml:space="preserve">  </w:t>
            </w:r>
          </w:p>
        </w:tc>
        <w:tc>
          <w:tcPr>
            <w:tcW w:w="24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40" w:type="dxa"/>
            <w:vAlign w:val="bottom"/>
            <w:tcBorders>
              <w:left w:val="single" w:sz="8" w:color="auto"/>
            </w:tcBorders>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670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-2086610</wp:posOffset>
            </wp:positionV>
            <wp:extent cx="228600" cy="220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600" cy="22034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-1598295</wp:posOffset>
            </wp:positionV>
            <wp:extent cx="228600" cy="220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600" cy="22034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-1109980</wp:posOffset>
            </wp:positionV>
            <wp:extent cx="228600" cy="2203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600" cy="22034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-621665</wp:posOffset>
            </wp:positionV>
            <wp:extent cx="228600" cy="2203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600" cy="22034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-212090</wp:posOffset>
            </wp:positionV>
            <wp:extent cx="377825" cy="180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Proxy Summary</w:t>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Nominees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provides summary information about each director nominee. Each director is elected annually by a plurality vote.</w:t>
      </w:r>
    </w:p>
    <w:p>
      <w:pPr>
        <w:spacing w:after="0" w:line="322"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3860" w:type="dxa"/>
            <w:vAlign w:val="bottom"/>
            <w:vMerge w:val="restart"/>
          </w:tcPr>
          <w:p>
            <w:pPr>
              <w:ind w:left="60"/>
              <w:spacing w:after="0"/>
              <w:rPr>
                <w:sz w:val="20"/>
                <w:szCs w:val="20"/>
                <w:color w:val="auto"/>
              </w:rPr>
            </w:pPr>
            <w:r>
              <w:rPr>
                <w:rFonts w:ascii="Arial" w:cs="Arial" w:eastAsia="Arial" w:hAnsi="Arial"/>
                <w:sz w:val="17"/>
                <w:szCs w:val="17"/>
                <w:b w:val="1"/>
                <w:bCs w:val="1"/>
                <w:color w:val="00AE4F"/>
              </w:rPr>
              <w:t>Name</w:t>
            </w:r>
          </w:p>
        </w:tc>
        <w:tc>
          <w:tcPr>
            <w:tcW w:w="960" w:type="dxa"/>
            <w:vAlign w:val="bottom"/>
            <w:vMerge w:val="restart"/>
          </w:tcPr>
          <w:p>
            <w:pPr>
              <w:jc w:val="center"/>
              <w:ind w:left="305"/>
              <w:spacing w:after="0"/>
              <w:rPr>
                <w:sz w:val="20"/>
                <w:szCs w:val="20"/>
                <w:color w:val="auto"/>
              </w:rPr>
            </w:pPr>
            <w:r>
              <w:rPr>
                <w:rFonts w:ascii="Arial" w:cs="Arial" w:eastAsia="Arial" w:hAnsi="Arial"/>
                <w:sz w:val="17"/>
                <w:szCs w:val="17"/>
                <w:b w:val="1"/>
                <w:bCs w:val="1"/>
                <w:color w:val="00AE4F"/>
                <w:w w:val="93"/>
              </w:rPr>
              <w:t>Age</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00AE4F"/>
                <w:w w:val="95"/>
              </w:rPr>
              <w:t>Director</w:t>
            </w:r>
          </w:p>
        </w:tc>
        <w:tc>
          <w:tcPr>
            <w:tcW w:w="1420" w:type="dxa"/>
            <w:vAlign w:val="bottom"/>
            <w:vMerge w:val="restart"/>
          </w:tcPr>
          <w:p>
            <w:pPr>
              <w:jc w:val="center"/>
              <w:ind w:right="65"/>
              <w:spacing w:after="0"/>
              <w:rPr>
                <w:sz w:val="20"/>
                <w:szCs w:val="20"/>
                <w:color w:val="auto"/>
              </w:rPr>
            </w:pPr>
            <w:r>
              <w:rPr>
                <w:rFonts w:ascii="Arial" w:cs="Arial" w:eastAsia="Arial" w:hAnsi="Arial"/>
                <w:sz w:val="17"/>
                <w:szCs w:val="17"/>
                <w:b w:val="1"/>
                <w:bCs w:val="1"/>
                <w:color w:val="00AE4F"/>
                <w:w w:val="98"/>
              </w:rPr>
              <w:t>Independent</w:t>
            </w:r>
          </w:p>
        </w:tc>
        <w:tc>
          <w:tcPr>
            <w:tcW w:w="3000" w:type="dxa"/>
            <w:vAlign w:val="bottom"/>
            <w:vMerge w:val="restart"/>
          </w:tcPr>
          <w:p>
            <w:pPr>
              <w:jc w:val="center"/>
              <w:spacing w:after="0"/>
              <w:rPr>
                <w:sz w:val="20"/>
                <w:szCs w:val="20"/>
                <w:color w:val="auto"/>
              </w:rPr>
            </w:pPr>
            <w:r>
              <w:rPr>
                <w:rFonts w:ascii="Arial" w:cs="Arial" w:eastAsia="Arial" w:hAnsi="Arial"/>
                <w:sz w:val="17"/>
                <w:szCs w:val="17"/>
                <w:b w:val="1"/>
                <w:bCs w:val="1"/>
                <w:color w:val="00AE4F"/>
                <w:w w:val="96"/>
              </w:rPr>
              <w:t>Committees</w:t>
            </w:r>
          </w:p>
        </w:tc>
        <w:tc>
          <w:tcPr>
            <w:tcW w:w="0" w:type="dxa"/>
            <w:vAlign w:val="bottom"/>
          </w:tcPr>
          <w:p>
            <w:pPr>
              <w:spacing w:after="0"/>
              <w:rPr>
                <w:sz w:val="1"/>
                <w:szCs w:val="1"/>
                <w:color w:val="auto"/>
              </w:rPr>
            </w:pPr>
          </w:p>
        </w:tc>
      </w:tr>
      <w:tr>
        <w:trPr>
          <w:trHeight w:val="126"/>
        </w:trPr>
        <w:tc>
          <w:tcPr>
            <w:tcW w:w="3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00AE4F"/>
                <w:w w:val="96"/>
              </w:rPr>
              <w:t>Since</w:t>
            </w:r>
          </w:p>
        </w:tc>
        <w:tc>
          <w:tcPr>
            <w:tcW w:w="142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James Christopher Hunt</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55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8"/>
              </w:rPr>
              <w:t>Compensation and Talent</w:t>
            </w:r>
          </w:p>
        </w:tc>
        <w:tc>
          <w:tcPr>
            <w:tcW w:w="0" w:type="dxa"/>
            <w:vAlign w:val="bottom"/>
          </w:tcPr>
          <w:p>
            <w:pPr>
              <w:spacing w:after="0"/>
              <w:rPr>
                <w:sz w:val="1"/>
                <w:szCs w:val="1"/>
                <w:color w:val="auto"/>
              </w:rPr>
            </w:pPr>
          </w:p>
        </w:tc>
      </w:tr>
      <w:tr>
        <w:trPr>
          <w:trHeight w:val="156"/>
        </w:trPr>
        <w:tc>
          <w:tcPr>
            <w:tcW w:w="3860" w:type="dxa"/>
            <w:vAlign w:val="bottom"/>
          </w:tcPr>
          <w:p>
            <w:pPr>
              <w:ind w:left="1600"/>
              <w:spacing w:after="0" w:line="156" w:lineRule="exact"/>
              <w:rPr>
                <w:sz w:val="20"/>
                <w:szCs w:val="20"/>
                <w:color w:val="auto"/>
              </w:rPr>
            </w:pPr>
            <w:r>
              <w:rPr>
                <w:rFonts w:ascii="Arial" w:cs="Arial" w:eastAsia="Arial" w:hAnsi="Arial"/>
                <w:sz w:val="15"/>
                <w:szCs w:val="15"/>
                <w:color w:val="auto"/>
              </w:rPr>
              <w:t>Non-Executive</w:t>
            </w:r>
          </w:p>
        </w:tc>
        <w:tc>
          <w:tcPr>
            <w:tcW w:w="9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3000" w:type="dxa"/>
            <w:vAlign w:val="bottom"/>
          </w:tcPr>
          <w:p>
            <w:pPr>
              <w:jc w:val="center"/>
              <w:spacing w:after="0" w:line="157" w:lineRule="exact"/>
              <w:rPr>
                <w:sz w:val="20"/>
                <w:szCs w:val="20"/>
                <w:color w:val="auto"/>
              </w:rPr>
            </w:pPr>
            <w:r>
              <w:rPr>
                <w:rFonts w:ascii="Arial" w:cs="Arial" w:eastAsia="Arial" w:hAnsi="Arial"/>
                <w:sz w:val="14"/>
                <w:szCs w:val="14"/>
                <w:color w:val="auto"/>
              </w:rPr>
              <w:t>Management, Corporate Governance</w:t>
            </w:r>
          </w:p>
        </w:tc>
        <w:tc>
          <w:tcPr>
            <w:tcW w:w="0" w:type="dxa"/>
            <w:vAlign w:val="bottom"/>
          </w:tcPr>
          <w:p>
            <w:pPr>
              <w:spacing w:after="0"/>
              <w:rPr>
                <w:sz w:val="1"/>
                <w:szCs w:val="1"/>
                <w:color w:val="auto"/>
              </w:rPr>
            </w:pPr>
          </w:p>
        </w:tc>
      </w:tr>
      <w:tr>
        <w:trPr>
          <w:trHeight w:val="214"/>
        </w:trPr>
        <w:tc>
          <w:tcPr>
            <w:tcW w:w="3860" w:type="dxa"/>
            <w:vAlign w:val="bottom"/>
          </w:tcPr>
          <w:p>
            <w:pPr>
              <w:ind w:left="1600"/>
              <w:spacing w:after="0"/>
              <w:rPr>
                <w:sz w:val="20"/>
                <w:szCs w:val="20"/>
                <w:color w:val="auto"/>
              </w:rPr>
            </w:pPr>
            <w:r>
              <w:rPr>
                <w:rFonts w:ascii="Arial" w:cs="Arial" w:eastAsia="Arial" w:hAnsi="Arial"/>
                <w:sz w:val="15"/>
                <w:szCs w:val="15"/>
                <w:color w:val="auto"/>
              </w:rPr>
              <w:t>Chairman of the Board</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 xml:space="preserve">and Nominating </w:t>
            </w:r>
            <w:r>
              <w:rPr>
                <w:rFonts w:ascii="Arial" w:cs="Arial" w:eastAsia="Arial" w:hAnsi="Arial"/>
                <w:sz w:val="14"/>
                <w:szCs w:val="14"/>
                <w:b w:val="1"/>
                <w:bCs w:val="1"/>
                <w:color w:val="auto"/>
                <w:w w:val="99"/>
              </w:rPr>
              <w:t>(Chair)</w:t>
            </w:r>
          </w:p>
        </w:tc>
        <w:tc>
          <w:tcPr>
            <w:tcW w:w="0" w:type="dxa"/>
            <w:vAlign w:val="bottom"/>
          </w:tcPr>
          <w:p>
            <w:pPr>
              <w:spacing w:after="0"/>
              <w:rPr>
                <w:sz w:val="1"/>
                <w:szCs w:val="1"/>
                <w:color w:val="auto"/>
              </w:rPr>
            </w:pPr>
          </w:p>
        </w:tc>
      </w:tr>
      <w:tr>
        <w:trPr>
          <w:trHeight w:val="225"/>
        </w:trPr>
        <w:tc>
          <w:tcPr>
            <w:tcW w:w="386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spacing w:after="0"/>
              <w:rPr>
                <w:sz w:val="19"/>
                <w:szCs w:val="19"/>
                <w:color w:val="auto"/>
              </w:rPr>
            </w:pPr>
          </w:p>
        </w:tc>
        <w:tc>
          <w:tcPr>
            <w:tcW w:w="900" w:type="dxa"/>
            <w:vAlign w:val="bottom"/>
            <w:tcBorders>
              <w:bottom w:val="single" w:sz="8" w:color="7F7F7F"/>
            </w:tcBorders>
          </w:tcPr>
          <w:p>
            <w:pPr>
              <w:spacing w:after="0"/>
              <w:rPr>
                <w:sz w:val="19"/>
                <w:szCs w:val="19"/>
                <w:color w:val="auto"/>
              </w:rPr>
            </w:pPr>
          </w:p>
        </w:tc>
        <w:tc>
          <w:tcPr>
            <w:tcW w:w="1420" w:type="dxa"/>
            <w:vAlign w:val="bottom"/>
            <w:tcBorders>
              <w:bottom w:val="single" w:sz="8" w:color="7F7F7F"/>
            </w:tcBorders>
          </w:tcPr>
          <w:p>
            <w:pPr>
              <w:spacing w:after="0"/>
              <w:rPr>
                <w:sz w:val="19"/>
                <w:szCs w:val="19"/>
                <w:color w:val="auto"/>
              </w:rPr>
            </w:pPr>
          </w:p>
        </w:tc>
        <w:tc>
          <w:tcPr>
            <w:tcW w:w="300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Christopher D. Layden</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60" w:type="dxa"/>
            <w:vAlign w:val="bottom"/>
          </w:tcPr>
          <w:p>
            <w:pPr>
              <w:ind w:left="1600"/>
              <w:spacing w:after="0"/>
              <w:rPr>
                <w:sz w:val="20"/>
                <w:szCs w:val="20"/>
                <w:color w:val="auto"/>
              </w:rPr>
            </w:pPr>
            <w:r>
              <w:rPr>
                <w:rFonts w:ascii="Arial" w:cs="Arial" w:eastAsia="Arial" w:hAnsi="Arial"/>
                <w:sz w:val="15"/>
                <w:szCs w:val="15"/>
                <w:color w:val="auto"/>
              </w:rPr>
              <w:t>President and Chief</w:t>
            </w:r>
          </w:p>
        </w:tc>
        <w:tc>
          <w:tcPr>
            <w:tcW w:w="960" w:type="dxa"/>
            <w:vAlign w:val="bottom"/>
          </w:tcPr>
          <w:p>
            <w:pPr>
              <w:jc w:val="center"/>
              <w:ind w:left="305"/>
              <w:spacing w:after="0"/>
              <w:rPr>
                <w:sz w:val="20"/>
                <w:szCs w:val="20"/>
                <w:color w:val="auto"/>
              </w:rPr>
            </w:pPr>
            <w:r>
              <w:rPr>
                <w:rFonts w:ascii="Arial" w:cs="Arial" w:eastAsia="Arial" w:hAnsi="Arial"/>
                <w:sz w:val="15"/>
                <w:szCs w:val="15"/>
                <w:color w:val="auto"/>
              </w:rPr>
              <w:t>42</w:t>
            </w:r>
          </w:p>
        </w:tc>
        <w:tc>
          <w:tcPr>
            <w:tcW w:w="900" w:type="dxa"/>
            <w:vAlign w:val="bottom"/>
          </w:tcPr>
          <w:p>
            <w:pPr>
              <w:jc w:val="center"/>
              <w:spacing w:after="0"/>
              <w:rPr>
                <w:sz w:val="20"/>
                <w:szCs w:val="20"/>
                <w:color w:val="auto"/>
              </w:rPr>
            </w:pPr>
            <w:r>
              <w:rPr>
                <w:rFonts w:ascii="Arial" w:cs="Arial" w:eastAsia="Arial" w:hAnsi="Arial"/>
                <w:sz w:val="15"/>
                <w:szCs w:val="15"/>
                <w:color w:val="auto"/>
              </w:rPr>
              <w:t>2025</w:t>
            </w:r>
          </w:p>
        </w:tc>
        <w:tc>
          <w:tcPr>
            <w:tcW w:w="14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1600"/>
              <w:spacing w:after="0"/>
              <w:rPr>
                <w:sz w:val="20"/>
                <w:szCs w:val="20"/>
                <w:color w:val="auto"/>
              </w:rPr>
            </w:pPr>
            <w:r>
              <w:rPr>
                <w:rFonts w:ascii="Arial" w:cs="Arial" w:eastAsia="Arial" w:hAnsi="Arial"/>
                <w:sz w:val="15"/>
                <w:szCs w:val="15"/>
                <w:color w:val="auto"/>
              </w:rPr>
              <w:t>Executive Officer (“CEO”)</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900" w:type="dxa"/>
            <w:vAlign w:val="bottom"/>
            <w:tcBorders>
              <w:bottom w:val="single" w:sz="8" w:color="7F7F7F"/>
            </w:tcBorders>
          </w:tcPr>
          <w:p>
            <w:pPr>
              <w:spacing w:after="0"/>
              <w:rPr>
                <w:sz w:val="21"/>
                <w:szCs w:val="21"/>
                <w:color w:val="auto"/>
              </w:rPr>
            </w:pPr>
          </w:p>
        </w:tc>
        <w:tc>
          <w:tcPr>
            <w:tcW w:w="1420" w:type="dxa"/>
            <w:vAlign w:val="bottom"/>
            <w:tcBorders>
              <w:bottom w:val="single" w:sz="8" w:color="7F7F7F"/>
            </w:tcBorders>
          </w:tcPr>
          <w:p>
            <w:pPr>
              <w:spacing w:after="0"/>
              <w:rPr>
                <w:sz w:val="21"/>
                <w:szCs w:val="21"/>
                <w:color w:val="auto"/>
              </w:rPr>
            </w:pPr>
          </w:p>
        </w:tc>
        <w:tc>
          <w:tcPr>
            <w:tcW w:w="300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Angela Brock-Kyle</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66</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115"/>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w w:val="99"/>
              </w:rPr>
              <w:t>and Nominating</w:t>
            </w: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Robert S. Cubbin</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68</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jc w:val="center"/>
              <w:spacing w:after="0"/>
              <w:rPr>
                <w:sz w:val="20"/>
                <w:szCs w:val="20"/>
                <w:color w:val="auto"/>
              </w:rPr>
            </w:pPr>
            <w:r>
              <w:rPr>
                <w:rFonts w:ascii="Arial" w:cs="Arial" w:eastAsia="Arial" w:hAnsi="Arial"/>
                <w:sz w:val="14"/>
                <w:szCs w:val="14"/>
                <w:color w:val="auto"/>
                <w:w w:val="99"/>
              </w:rPr>
              <w:t>Audit, Compensation, and Talent</w:t>
            </w:r>
          </w:p>
        </w:tc>
        <w:tc>
          <w:tcPr>
            <w:tcW w:w="0" w:type="dxa"/>
            <w:vAlign w:val="bottom"/>
          </w:tcPr>
          <w:p>
            <w:pPr>
              <w:spacing w:after="0"/>
              <w:rPr>
                <w:sz w:val="1"/>
                <w:szCs w:val="1"/>
                <w:color w:val="auto"/>
              </w:rPr>
            </w:pPr>
          </w:p>
        </w:tc>
      </w:tr>
      <w:tr>
        <w:trPr>
          <w:trHeight w:val="115"/>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w w:val="99"/>
              </w:rPr>
              <w:t xml:space="preserve">Management </w:t>
            </w:r>
            <w:r>
              <w:rPr>
                <w:rFonts w:ascii="Arial" w:cs="Arial" w:eastAsia="Arial" w:hAnsi="Arial"/>
                <w:sz w:val="14"/>
                <w:szCs w:val="14"/>
                <w:b w:val="1"/>
                <w:bCs w:val="1"/>
                <w:color w:val="auto"/>
                <w:w w:val="99"/>
              </w:rPr>
              <w:t>(Chair)</w:t>
            </w: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Amala Duggirala</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51</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2022</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10"/>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Edward Escudero</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55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jc w:val="center"/>
              <w:spacing w:after="0"/>
              <w:rPr>
                <w:sz w:val="20"/>
                <w:szCs w:val="20"/>
                <w:color w:val="auto"/>
              </w:rPr>
            </w:pPr>
            <w:r>
              <w:rPr>
                <w:rFonts w:ascii="Arial" w:cs="Arial" w:eastAsia="Arial" w:hAnsi="Arial"/>
                <w:sz w:val="14"/>
                <w:szCs w:val="14"/>
                <w:color w:val="auto"/>
                <w:w w:val="98"/>
              </w:rPr>
              <w:t>Compensation and Talent</w:t>
            </w:r>
          </w:p>
        </w:tc>
        <w:tc>
          <w:tcPr>
            <w:tcW w:w="0" w:type="dxa"/>
            <w:vAlign w:val="bottom"/>
          </w:tcPr>
          <w:p>
            <w:pPr>
              <w:spacing w:after="0"/>
              <w:rPr>
                <w:sz w:val="1"/>
                <w:szCs w:val="1"/>
                <w:color w:val="auto"/>
              </w:rPr>
            </w:pPr>
          </w:p>
        </w:tc>
      </w:tr>
      <w:tr>
        <w:trPr>
          <w:trHeight w:val="115"/>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860" w:type="dxa"/>
            <w:vAlign w:val="bottom"/>
            <w:vMerge w:val="restart"/>
          </w:tcPr>
          <w:p>
            <w:pPr>
              <w:ind w:left="1600"/>
              <w:spacing w:after="0"/>
              <w:rPr>
                <w:sz w:val="20"/>
                <w:szCs w:val="20"/>
                <w:color w:val="auto"/>
              </w:rPr>
            </w:pPr>
            <w:r>
              <w:rPr>
                <w:rFonts w:ascii="Arial" w:cs="Arial" w:eastAsia="Arial" w:hAnsi="Arial"/>
                <w:sz w:val="15"/>
                <w:szCs w:val="15"/>
                <w:b w:val="1"/>
                <w:bCs w:val="1"/>
                <w:color w:val="auto"/>
              </w:rPr>
              <w:t>James K. Hunt</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74</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jc w:val="center"/>
              <w:spacing w:after="0"/>
              <w:rPr>
                <w:sz w:val="20"/>
                <w:szCs w:val="20"/>
                <w:color w:val="auto"/>
              </w:rPr>
            </w:pPr>
            <w:r>
              <w:rPr>
                <w:rFonts w:ascii="Arial" w:cs="Arial" w:eastAsia="Arial" w:hAnsi="Arial"/>
                <w:sz w:val="14"/>
                <w:szCs w:val="14"/>
                <w:color w:val="auto"/>
              </w:rPr>
              <w:t>Lead Director</w:t>
            </w:r>
          </w:p>
        </w:tc>
        <w:tc>
          <w:tcPr>
            <w:tcW w:w="0" w:type="dxa"/>
            <w:vAlign w:val="bottom"/>
          </w:tcPr>
          <w:p>
            <w:pPr>
              <w:spacing w:after="0"/>
              <w:rPr>
                <w:sz w:val="1"/>
                <w:szCs w:val="1"/>
                <w:color w:val="auto"/>
              </w:rPr>
            </w:pPr>
          </w:p>
        </w:tc>
      </w:tr>
      <w:tr>
        <w:trPr>
          <w:trHeight w:val="79"/>
        </w:trPr>
        <w:tc>
          <w:tcPr>
            <w:tcW w:w="38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70"/>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8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w w:val="99"/>
              </w:rPr>
              <w:t>and Nominating</w:t>
            </w:r>
          </w:p>
        </w:tc>
        <w:tc>
          <w:tcPr>
            <w:tcW w:w="0" w:type="dxa"/>
            <w:vAlign w:val="bottom"/>
          </w:tcPr>
          <w:p>
            <w:pPr>
              <w:spacing w:after="0"/>
              <w:rPr>
                <w:sz w:val="1"/>
                <w:szCs w:val="1"/>
                <w:color w:val="auto"/>
              </w:rPr>
            </w:pPr>
          </w:p>
        </w:tc>
      </w:tr>
      <w:tr>
        <w:trPr>
          <w:trHeight w:val="58"/>
        </w:trPr>
        <w:tc>
          <w:tcPr>
            <w:tcW w:w="3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860" w:type="dxa"/>
            <w:vAlign w:val="bottom"/>
            <w:tcBorders>
              <w:bottom w:val="single" w:sz="8" w:color="7F7F7F"/>
            </w:tcBorders>
          </w:tcPr>
          <w:p>
            <w:pPr>
              <w:spacing w:after="0"/>
              <w:rPr>
                <w:sz w:val="22"/>
                <w:szCs w:val="22"/>
                <w:color w:val="auto"/>
              </w:rPr>
            </w:pPr>
          </w:p>
        </w:tc>
        <w:tc>
          <w:tcPr>
            <w:tcW w:w="960" w:type="dxa"/>
            <w:vAlign w:val="bottom"/>
            <w:tcBorders>
              <w:bottom w:val="single" w:sz="8" w:color="7F7F7F"/>
            </w:tcBorders>
          </w:tcPr>
          <w:p>
            <w:pPr>
              <w:spacing w:after="0"/>
              <w:rPr>
                <w:sz w:val="22"/>
                <w:szCs w:val="22"/>
                <w:color w:val="auto"/>
              </w:rPr>
            </w:pPr>
          </w:p>
        </w:tc>
        <w:tc>
          <w:tcPr>
            <w:tcW w:w="900" w:type="dxa"/>
            <w:vAlign w:val="bottom"/>
            <w:tcBorders>
              <w:bottom w:val="single" w:sz="8" w:color="7F7F7F"/>
            </w:tcBorders>
          </w:tcPr>
          <w:p>
            <w:pPr>
              <w:spacing w:after="0"/>
              <w:rPr>
                <w:sz w:val="22"/>
                <w:szCs w:val="22"/>
                <w:color w:val="auto"/>
              </w:rPr>
            </w:pPr>
          </w:p>
        </w:tc>
        <w:tc>
          <w:tcPr>
            <w:tcW w:w="1420" w:type="dxa"/>
            <w:vAlign w:val="bottom"/>
            <w:tcBorders>
              <w:bottom w:val="single" w:sz="8" w:color="7F7F7F"/>
            </w:tcBorders>
          </w:tcPr>
          <w:p>
            <w:pPr>
              <w:spacing w:after="0"/>
              <w:rPr>
                <w:sz w:val="22"/>
                <w:szCs w:val="22"/>
                <w:color w:val="auto"/>
              </w:rPr>
            </w:pPr>
          </w:p>
        </w:tc>
        <w:tc>
          <w:tcPr>
            <w:tcW w:w="3000" w:type="dxa"/>
            <w:vAlign w:val="bottom"/>
            <w:tcBorders>
              <w:bottom w:val="single" w:sz="8" w:color="7F7F7F"/>
            </w:tcBorders>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Ryan B. McCrory</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38</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 Nominee</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Leslie A. Murphy</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74</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2008</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vMerge w:val="restart"/>
          </w:tcPr>
          <w:p>
            <w:pPr>
              <w:jc w:val="center"/>
              <w:spacing w:after="0"/>
              <w:rPr>
                <w:sz w:val="20"/>
                <w:szCs w:val="20"/>
                <w:color w:val="auto"/>
              </w:rPr>
            </w:pPr>
            <w:r>
              <w:rPr>
                <w:rFonts w:ascii="Arial" w:cs="Arial" w:eastAsia="Arial" w:hAnsi="Arial"/>
                <w:sz w:val="14"/>
                <w:szCs w:val="14"/>
                <w:color w:val="auto"/>
              </w:rPr>
              <w:t xml:space="preserve">Audit </w:t>
            </w:r>
            <w:r>
              <w:rPr>
                <w:rFonts w:ascii="Arial" w:cs="Arial" w:eastAsia="Arial" w:hAnsi="Arial"/>
                <w:sz w:val="14"/>
                <w:szCs w:val="14"/>
                <w:b w:val="1"/>
                <w:bCs w:val="1"/>
                <w:color w:val="auto"/>
              </w:rPr>
              <w:t>(Chair)</w:t>
            </w:r>
          </w:p>
        </w:tc>
        <w:tc>
          <w:tcPr>
            <w:tcW w:w="0" w:type="dxa"/>
            <w:vAlign w:val="bottom"/>
          </w:tcPr>
          <w:p>
            <w:pPr>
              <w:spacing w:after="0"/>
              <w:rPr>
                <w:sz w:val="1"/>
                <w:szCs w:val="1"/>
                <w:color w:val="auto"/>
              </w:rPr>
            </w:pPr>
          </w:p>
        </w:tc>
      </w:tr>
      <w:tr>
        <w:trPr>
          <w:trHeight w:val="114"/>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Michael J. Wartell</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57</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 Nominee</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8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spacing w:after="0"/>
              <w:rPr>
                <w:sz w:val="24"/>
                <w:szCs w:val="24"/>
                <w:color w:val="auto"/>
              </w:rPr>
            </w:pPr>
          </w:p>
        </w:tc>
        <w:tc>
          <w:tcPr>
            <w:tcW w:w="30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60" w:type="dxa"/>
            <w:vAlign w:val="bottom"/>
          </w:tcPr>
          <w:p>
            <w:pPr>
              <w:ind w:left="1600"/>
              <w:spacing w:after="0"/>
              <w:rPr>
                <w:sz w:val="20"/>
                <w:szCs w:val="20"/>
                <w:color w:val="auto"/>
              </w:rPr>
            </w:pPr>
            <w:r>
              <w:rPr>
                <w:rFonts w:ascii="Arial" w:cs="Arial" w:eastAsia="Arial" w:hAnsi="Arial"/>
                <w:sz w:val="15"/>
                <w:szCs w:val="15"/>
                <w:b w:val="1"/>
                <w:bCs w:val="1"/>
                <w:color w:val="auto"/>
              </w:rPr>
              <w:t>George Young III</w:t>
            </w:r>
          </w:p>
        </w:tc>
        <w:tc>
          <w:tcPr>
            <w:tcW w:w="960" w:type="dxa"/>
            <w:vAlign w:val="bottom"/>
            <w:vMerge w:val="restart"/>
          </w:tcPr>
          <w:p>
            <w:pPr>
              <w:jc w:val="center"/>
              <w:ind w:left="305"/>
              <w:spacing w:after="0"/>
              <w:rPr>
                <w:sz w:val="20"/>
                <w:szCs w:val="20"/>
                <w:color w:val="auto"/>
              </w:rPr>
            </w:pPr>
            <w:r>
              <w:rPr>
                <w:rFonts w:ascii="Arial" w:cs="Arial" w:eastAsia="Arial" w:hAnsi="Arial"/>
                <w:sz w:val="15"/>
                <w:szCs w:val="15"/>
                <w:color w:val="auto"/>
              </w:rPr>
              <w:t>67</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2026</w:t>
            </w:r>
          </w:p>
        </w:tc>
        <w:tc>
          <w:tcPr>
            <w:tcW w:w="14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color w:val="00AE4F"/>
                <w:w w:val="75"/>
              </w:rPr>
              <w: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60" w:type="dxa"/>
            <w:vAlign w:val="bottom"/>
            <w:vMerge w:val="restart"/>
          </w:tcPr>
          <w:p>
            <w:pPr>
              <w:ind w:left="1600"/>
              <w:spacing w:after="0"/>
              <w:rPr>
                <w:sz w:val="20"/>
                <w:szCs w:val="20"/>
                <w:color w:val="auto"/>
              </w:rPr>
            </w:pPr>
            <w:r>
              <w:rPr>
                <w:rFonts w:ascii="Arial" w:cs="Arial" w:eastAsia="Arial" w:hAnsi="Arial"/>
                <w:sz w:val="15"/>
                <w:szCs w:val="15"/>
                <w:color w:val="auto"/>
              </w:rPr>
              <w:t>Director Nominee</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198120</wp:posOffset>
            </wp:positionV>
            <wp:extent cx="64268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-6558915</wp:posOffset>
            </wp:positionV>
            <wp:extent cx="464820" cy="456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-5913120</wp:posOffset>
            </wp:positionV>
            <wp:extent cx="464820" cy="456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-5290820</wp:posOffset>
            </wp:positionV>
            <wp:extent cx="464820" cy="456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-4668520</wp:posOffset>
            </wp:positionV>
            <wp:extent cx="464820" cy="456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-4046855</wp:posOffset>
            </wp:positionV>
            <wp:extent cx="464820" cy="456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-3424555</wp:posOffset>
            </wp:positionV>
            <wp:extent cx="464820" cy="456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-2802255</wp:posOffset>
            </wp:positionV>
            <wp:extent cx="464820" cy="456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-2179955</wp:posOffset>
            </wp:positionV>
            <wp:extent cx="464820" cy="456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-1557655</wp:posOffset>
            </wp:positionV>
            <wp:extent cx="464820" cy="456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-935355</wp:posOffset>
            </wp:positionV>
            <wp:extent cx="464820" cy="456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-313690</wp:posOffset>
            </wp:positionV>
            <wp:extent cx="456565" cy="456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6565" cy="45656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9"/>
          <w:szCs w:val="19"/>
          <w:color w:val="auto"/>
          <w:vertAlign w:val="superscript"/>
        </w:rPr>
        <w:t>6 </w:t>
      </w:r>
      <w:r>
        <w:rPr>
          <w:sz w:val="20"/>
          <w:szCs w:val="20"/>
          <w:color w:val="auto"/>
        </w:rPr>
        <w:tab/>
      </w:r>
      <w:r>
        <w:rPr>
          <w:rFonts w:ascii="Arial" w:cs="Arial" w:eastAsia="Arial" w:hAnsi="Arial"/>
          <w:sz w:val="12"/>
          <w:szCs w:val="12"/>
          <w:color w:val="auto"/>
        </w:rPr>
        <w:t xml:space="preserve">    </w:t>
      </w:r>
      <w:r>
        <w:rPr>
          <w:sz w:val="1"/>
          <w:szCs w:val="1"/>
          <w:color w:val="auto"/>
        </w:rPr>
        <w:drawing>
          <wp:inline distT="0" distB="0" distL="0" distR="0">
            <wp:extent cx="377825" cy="1809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-189865</wp:posOffset>
            </wp:positionV>
            <wp:extent cx="7620" cy="212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Proxy Summary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Corporate Governance Highlights</w:t>
      </w:r>
    </w:p>
    <w:p>
      <w:pPr>
        <w:spacing w:after="0" w:line="69" w:lineRule="exact"/>
        <w:rPr>
          <w:sz w:val="20"/>
          <w:szCs w:val="20"/>
          <w:color w:val="auto"/>
        </w:rPr>
      </w:pPr>
    </w:p>
    <w:p>
      <w:pPr>
        <w:ind w:left="560" w:right="160"/>
        <w:spacing w:after="0" w:line="275" w:lineRule="auto"/>
        <w:rPr>
          <w:sz w:val="20"/>
          <w:szCs w:val="20"/>
          <w:color w:val="auto"/>
        </w:rPr>
      </w:pPr>
      <w:r>
        <w:rPr>
          <w:rFonts w:ascii="Arial" w:cs="Arial" w:eastAsia="Arial" w:hAnsi="Arial"/>
          <w:sz w:val="15"/>
          <w:szCs w:val="15"/>
          <w:color w:val="auto"/>
        </w:rPr>
        <w:t>Kelly is committed to sound corporate governance as a means of enhancing long-term shareholder value. The following table summarizes certain of our governance practices and processes.</w:t>
      </w:r>
    </w:p>
    <w:p>
      <w:pPr>
        <w:spacing w:after="0" w:line="180" w:lineRule="exact"/>
        <w:rPr>
          <w:sz w:val="20"/>
          <w:szCs w:val="20"/>
          <w:color w:val="auto"/>
        </w:rPr>
      </w:pPr>
    </w:p>
    <w:p>
      <w:pPr>
        <w:ind w:left="1880"/>
        <w:spacing w:after="0"/>
        <w:tabs>
          <w:tab w:leader="none" w:pos="5520" w:val="left"/>
          <w:tab w:leader="none" w:pos="8700" w:val="left"/>
        </w:tabs>
        <w:rPr>
          <w:sz w:val="20"/>
          <w:szCs w:val="20"/>
          <w:color w:val="auto"/>
        </w:rPr>
      </w:pPr>
      <w:r>
        <w:rPr>
          <w:rFonts w:ascii="Arial" w:cs="Arial" w:eastAsia="Arial" w:hAnsi="Arial"/>
          <w:sz w:val="13"/>
          <w:szCs w:val="13"/>
          <w:b w:val="1"/>
          <w:bCs w:val="1"/>
          <w:color w:val="00AE4F"/>
        </w:rPr>
        <w:t>Independence</w:t>
      </w:r>
      <w:r>
        <w:rPr>
          <w:sz w:val="20"/>
          <w:szCs w:val="20"/>
          <w:color w:val="auto"/>
        </w:rPr>
        <w:tab/>
      </w:r>
      <w:r>
        <w:rPr>
          <w:rFonts w:ascii="Arial" w:cs="Arial" w:eastAsia="Arial" w:hAnsi="Arial"/>
          <w:sz w:val="13"/>
          <w:szCs w:val="13"/>
          <w:b w:val="1"/>
          <w:bCs w:val="1"/>
          <w:color w:val="00AE4F"/>
        </w:rPr>
        <w:t>Accountability</w:t>
      </w:r>
      <w:r>
        <w:rPr>
          <w:sz w:val="20"/>
          <w:szCs w:val="20"/>
          <w:color w:val="auto"/>
        </w:rPr>
        <w:tab/>
      </w:r>
      <w:r>
        <w:rPr>
          <w:rFonts w:ascii="Arial" w:cs="Arial" w:eastAsia="Arial" w:hAnsi="Arial"/>
          <w:sz w:val="13"/>
          <w:szCs w:val="13"/>
          <w:b w:val="1"/>
          <w:bCs w:val="1"/>
          <w:color w:val="00AE4F"/>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64268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p>
      <w:pPr>
        <w:spacing w:after="0" w:line="82" w:lineRule="exact"/>
        <w:rPr>
          <w:sz w:val="20"/>
          <w:szCs w:val="20"/>
          <w:color w:val="auto"/>
        </w:rPr>
      </w:pPr>
    </w:p>
    <w:p>
      <w:pPr>
        <w:ind w:left="740" w:hanging="176"/>
        <w:spacing w:after="0" w:line="252" w:lineRule="auto"/>
        <w:tabs>
          <w:tab w:leader="none" w:pos="740" w:val="left"/>
        </w:tabs>
        <w:numPr>
          <w:ilvl w:val="0"/>
          <w:numId w:val="6"/>
        </w:numPr>
        <w:rPr>
          <w:rFonts w:ascii="Times New Roman" w:cs="Times New Roman" w:eastAsia="Times New Roman" w:hAnsi="Times New Roman"/>
          <w:sz w:val="12"/>
          <w:szCs w:val="12"/>
          <w:color w:val="00AE4F"/>
        </w:rPr>
      </w:pPr>
      <w:r>
        <w:rPr>
          <w:rFonts w:ascii="Arial" w:cs="Arial" w:eastAsia="Arial" w:hAnsi="Arial"/>
          <w:sz w:val="15"/>
          <w:szCs w:val="15"/>
          <w:color w:val="auto"/>
        </w:rPr>
        <w:t>Majority independent Board (88%), including independent Chairman of the Board, through January 30, 2026 and Lead Director and Chairman thereafter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187" w:hanging="187"/>
        <w:spacing w:after="0" w:line="275" w:lineRule="auto"/>
        <w:tabs>
          <w:tab w:leader="none" w:pos="187" w:val="left"/>
        </w:tabs>
        <w:numPr>
          <w:ilvl w:val="0"/>
          <w:numId w:val="7"/>
        </w:numPr>
        <w:rPr>
          <w:rFonts w:ascii="Times New Roman" w:cs="Times New Roman" w:eastAsia="Times New Roman" w:hAnsi="Times New Roman"/>
          <w:sz w:val="12"/>
          <w:szCs w:val="12"/>
          <w:color w:val="00AE4F"/>
        </w:rPr>
      </w:pPr>
      <w:r>
        <w:rPr>
          <w:rFonts w:ascii="Arial" w:cs="Arial" w:eastAsia="Arial" w:hAnsi="Arial"/>
          <w:sz w:val="15"/>
          <w:szCs w:val="15"/>
          <w:color w:val="auto"/>
        </w:rPr>
        <w:t>Annual election of all directors, including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237490</wp:posOffset>
            </wp:positionV>
            <wp:extent cx="64268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left="182" w:right="60" w:hanging="182"/>
        <w:spacing w:after="0" w:line="285" w:lineRule="auto"/>
        <w:tabs>
          <w:tab w:leader="none" w:pos="182" w:val="left"/>
        </w:tabs>
        <w:numPr>
          <w:ilvl w:val="0"/>
          <w:numId w:val="8"/>
        </w:numPr>
        <w:rPr>
          <w:rFonts w:ascii="Times New Roman" w:cs="Times New Roman" w:eastAsia="Times New Roman" w:hAnsi="Times New Roman"/>
          <w:sz w:val="11"/>
          <w:szCs w:val="11"/>
          <w:color w:val="00AE4F"/>
        </w:rPr>
      </w:pPr>
      <w:r>
        <w:rPr>
          <w:rFonts w:ascii="Arial" w:cs="Arial" w:eastAsia="Arial" w:hAnsi="Arial"/>
          <w:sz w:val="14"/>
          <w:szCs w:val="14"/>
          <w:color w:val="auto"/>
        </w:rPr>
        <w:t>Robust director selection process resulting in a diverse Board relative to gender, race, ethnicity, experience, and skills</w:t>
      </w:r>
    </w:p>
    <w:p>
      <w:pPr>
        <w:spacing w:after="0" w:line="244" w:lineRule="exact"/>
        <w:rPr>
          <w:sz w:val="20"/>
          <w:szCs w:val="20"/>
          <w:color w:val="auto"/>
        </w:rPr>
      </w:pPr>
    </w:p>
    <w:p>
      <w:pPr>
        <w:sectPr>
          <w:pgSz w:w="11900" w:h="16838" w:orient="portrait"/>
          <w:cols w:equalWidth="0" w:num="3">
            <w:col w:w="4100" w:space="333"/>
            <w:col w:w="3087" w:space="138"/>
            <w:col w:w="3042"/>
          </w:cols>
          <w:pgMar w:left="320" w:top="454" w:right="879" w:bottom="1440" w:gutter="0" w:footer="0" w:header="0"/>
          <w:type w:val="continuous"/>
        </w:sectPr>
      </w:pPr>
    </w:p>
    <w:p>
      <w:pPr>
        <w:ind w:left="740" w:hanging="176"/>
        <w:spacing w:after="0" w:line="250" w:lineRule="auto"/>
        <w:tabs>
          <w:tab w:leader="none" w:pos="740" w:val="left"/>
        </w:tabs>
        <w:numPr>
          <w:ilvl w:val="0"/>
          <w:numId w:val="9"/>
        </w:numPr>
        <w:rPr>
          <w:rFonts w:ascii="Times New Roman" w:cs="Times New Roman" w:eastAsia="Times New Roman" w:hAnsi="Times New Roman"/>
          <w:sz w:val="12"/>
          <w:szCs w:val="12"/>
          <w:color w:val="00AE4F"/>
        </w:rPr>
      </w:pPr>
      <w:r>
        <w:rPr>
          <w:rFonts w:ascii="Arial" w:cs="Arial" w:eastAsia="Arial" w:hAnsi="Arial"/>
          <w:sz w:val="15"/>
          <w:szCs w:val="15"/>
          <w:color w:val="auto"/>
        </w:rPr>
        <w:t>100% Independent Board Committees, through January 30, 2026. Controlled company exception exercised for Compensation and Talent Management and Corporate Governance and Nominating Committees thereafter</w:t>
      </w:r>
    </w:p>
    <w:p>
      <w:pPr>
        <w:spacing w:after="0" w:line="20" w:lineRule="exact"/>
        <w:rPr>
          <w:sz w:val="20"/>
          <w:szCs w:val="20"/>
          <w:color w:val="auto"/>
        </w:rPr>
      </w:pPr>
      <w:r>
        <w:rPr>
          <w:sz w:val="20"/>
          <w:szCs w:val="20"/>
          <w:color w:val="auto"/>
        </w:rPr>
        <w:br w:type="column"/>
      </w:r>
    </w:p>
    <w:p>
      <w:pPr>
        <w:spacing w:after="0"/>
        <w:tabs>
          <w:tab w:leader="none" w:pos="160" w:val="left"/>
          <w:tab w:leader="none" w:pos="3200" w:val="left"/>
          <w:tab w:leader="none" w:pos="3380" w:val="left"/>
        </w:tabs>
        <w:rPr>
          <w:sz w:val="20"/>
          <w:szCs w:val="20"/>
          <w:color w:val="auto"/>
        </w:rPr>
      </w:pPr>
      <w:r>
        <w:rPr>
          <w:rFonts w:ascii="Times New Roman" w:cs="Times New Roman" w:eastAsia="Times New Roman" w:hAnsi="Times New Roman"/>
          <w:sz w:val="12"/>
          <w:szCs w:val="12"/>
          <w:color w:val="00AE4F"/>
        </w:rPr>
        <w:t>●</w:t>
      </w:r>
      <w:r>
        <w:rPr>
          <w:sz w:val="20"/>
          <w:szCs w:val="20"/>
          <w:color w:val="auto"/>
        </w:rPr>
        <w:tab/>
      </w:r>
      <w:r>
        <w:rPr>
          <w:rFonts w:ascii="Arial" w:cs="Arial" w:eastAsia="Arial" w:hAnsi="Arial"/>
          <w:sz w:val="15"/>
          <w:szCs w:val="15"/>
          <w:color w:val="auto"/>
        </w:rPr>
        <w:t>Strong oversight of strategic planning,</w:t>
      </w:r>
      <w:r>
        <w:rPr>
          <w:sz w:val="20"/>
          <w:szCs w:val="20"/>
          <w:color w:val="auto"/>
        </w:rPr>
        <w:tab/>
      </w:r>
      <w:r>
        <w:rPr>
          <w:rFonts w:ascii="Times New Roman" w:cs="Times New Roman" w:eastAsia="Times New Roman" w:hAnsi="Times New Roman"/>
          <w:sz w:val="12"/>
          <w:szCs w:val="12"/>
          <w:color w:val="00AE4F"/>
        </w:rPr>
        <w:t>●</w:t>
      </w:r>
      <w:r>
        <w:rPr>
          <w:sz w:val="20"/>
          <w:szCs w:val="20"/>
          <w:color w:val="auto"/>
        </w:rPr>
        <w:tab/>
      </w:r>
      <w:r>
        <w:rPr>
          <w:rFonts w:ascii="Arial" w:cs="Arial" w:eastAsia="Arial" w:hAnsi="Arial"/>
          <w:sz w:val="14"/>
          <w:szCs w:val="14"/>
          <w:color w:val="auto"/>
        </w:rPr>
        <w:t>Board attendance of 98.4% during 2025</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objectives, and financial performance,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including a dedicated annual Board meeting</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focused on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149225</wp:posOffset>
            </wp:positionV>
            <wp:extent cx="64268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4000" w:space="440"/>
            <w:col w:w="6260"/>
          </w:cols>
          <w:pgMar w:left="320" w:top="454" w:right="879" w:bottom="1440" w:gutter="0" w:footer="0" w:header="0"/>
          <w:type w:val="continuous"/>
        </w:sectPr>
      </w:pPr>
    </w:p>
    <w:p>
      <w:pPr>
        <w:ind w:left="740" w:hanging="176"/>
        <w:spacing w:after="0" w:line="275" w:lineRule="auto"/>
        <w:tabs>
          <w:tab w:leader="none" w:pos="740" w:val="left"/>
        </w:tabs>
        <w:numPr>
          <w:ilvl w:val="0"/>
          <w:numId w:val="10"/>
        </w:numPr>
        <w:rPr>
          <w:rFonts w:ascii="Times New Roman" w:cs="Times New Roman" w:eastAsia="Times New Roman" w:hAnsi="Times New Roman"/>
          <w:sz w:val="12"/>
          <w:szCs w:val="12"/>
          <w:color w:val="00AE4F"/>
        </w:rPr>
      </w:pPr>
      <w:r>
        <w:rPr>
          <w:rFonts w:ascii="Arial" w:cs="Arial" w:eastAsia="Arial" w:hAnsi="Arial"/>
          <w:sz w:val="15"/>
          <w:szCs w:val="15"/>
          <w:color w:val="auto"/>
        </w:rPr>
        <w:t>Diverse and highly skilled Board that provides a range of viewpoints</w:t>
      </w:r>
    </w:p>
    <w:p>
      <w:pPr>
        <w:spacing w:after="0" w:line="20" w:lineRule="exact"/>
        <w:rPr>
          <w:sz w:val="20"/>
          <w:szCs w:val="20"/>
          <w:color w:val="auto"/>
        </w:rPr>
      </w:pPr>
      <w:r>
        <w:rPr>
          <w:sz w:val="20"/>
          <w:szCs w:val="20"/>
          <w:color w:val="auto"/>
        </w:rPr>
        <w:br w:type="column"/>
      </w:r>
    </w:p>
    <w:p>
      <w:pPr>
        <w:jc w:val="both"/>
        <w:ind w:left="187" w:hanging="187"/>
        <w:spacing w:after="0" w:line="312" w:lineRule="auto"/>
        <w:tabs>
          <w:tab w:leader="none" w:pos="187" w:val="left"/>
        </w:tabs>
        <w:numPr>
          <w:ilvl w:val="0"/>
          <w:numId w:val="11"/>
        </w:numPr>
        <w:rPr>
          <w:rFonts w:ascii="Times New Roman" w:cs="Times New Roman" w:eastAsia="Times New Roman" w:hAnsi="Times New Roman"/>
          <w:sz w:val="11"/>
          <w:szCs w:val="11"/>
          <w:color w:val="00AE4F"/>
        </w:rPr>
      </w:pPr>
      <w:r>
        <w:rPr>
          <w:rFonts w:ascii="Arial" w:cs="Arial" w:eastAsia="Arial" w:hAnsi="Arial"/>
          <w:sz w:val="14"/>
          <w:szCs w:val="14"/>
          <w:color w:val="auto"/>
        </w:rPr>
        <w:t>Annual evaluation of the CEO (including compensation)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332740</wp:posOffset>
            </wp:positionV>
            <wp:extent cx="64268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2" w:right="20" w:hanging="182"/>
        <w:spacing w:after="0" w:line="250" w:lineRule="auto"/>
        <w:tabs>
          <w:tab w:leader="none" w:pos="182" w:val="left"/>
        </w:tabs>
        <w:numPr>
          <w:ilvl w:val="0"/>
          <w:numId w:val="12"/>
        </w:numPr>
        <w:rPr>
          <w:rFonts w:ascii="Times New Roman" w:cs="Times New Roman" w:eastAsia="Times New Roman" w:hAnsi="Times New Roman"/>
          <w:sz w:val="12"/>
          <w:szCs w:val="12"/>
          <w:color w:val="00AE4F"/>
        </w:rPr>
      </w:pPr>
      <w:r>
        <w:rPr>
          <w:rFonts w:ascii="Arial" w:cs="Arial" w:eastAsia="Arial" w:hAnsi="Arial"/>
          <w:sz w:val="15"/>
          <w:szCs w:val="15"/>
          <w:color w:val="auto"/>
        </w:rPr>
        <w:t>Strong oversight of the integrity of the Company’s financial statements, as well as cybersecurity, AI and Enterprise Risk Management (“ERM”) by the Board and Audit Committee</w:t>
      </w:r>
    </w:p>
    <w:p>
      <w:pPr>
        <w:spacing w:after="0" w:line="94" w:lineRule="exact"/>
        <w:rPr>
          <w:sz w:val="20"/>
          <w:szCs w:val="20"/>
          <w:color w:val="auto"/>
        </w:rPr>
      </w:pPr>
    </w:p>
    <w:p>
      <w:pPr>
        <w:sectPr>
          <w:pgSz w:w="11900" w:h="16838" w:orient="portrait"/>
          <w:cols w:equalWidth="0" w:num="3">
            <w:col w:w="3880" w:space="553"/>
            <w:col w:w="2827" w:space="398"/>
            <w:col w:w="3042"/>
          </w:cols>
          <w:pgMar w:left="320" w:top="454" w:right="879" w:bottom="1440" w:gutter="0" w:footer="0" w:header="0"/>
          <w:type w:val="continuous"/>
        </w:sectPr>
      </w:pPr>
    </w:p>
    <w:p>
      <w:pPr>
        <w:ind w:left="740" w:hanging="176"/>
        <w:spacing w:after="0" w:line="258" w:lineRule="auto"/>
        <w:tabs>
          <w:tab w:leader="none" w:pos="740" w:val="left"/>
        </w:tabs>
        <w:numPr>
          <w:ilvl w:val="0"/>
          <w:numId w:val="13"/>
        </w:numPr>
        <w:rPr>
          <w:rFonts w:ascii="Times New Roman" w:cs="Times New Roman" w:eastAsia="Times New Roman" w:hAnsi="Times New Roman"/>
          <w:sz w:val="12"/>
          <w:szCs w:val="12"/>
          <w:color w:val="00AE4F"/>
        </w:rPr>
      </w:pPr>
      <w:r>
        <w:rPr>
          <w:rFonts w:ascii="Arial" w:cs="Arial" w:eastAsia="Arial" w:hAnsi="Arial"/>
          <w:sz w:val="15"/>
          <w:szCs w:val="15"/>
          <w:color w:val="auto"/>
        </w:rPr>
        <w:t>Frequent executive sessions where independent directors meet without management and non-independent directors</w:t>
      </w:r>
    </w:p>
    <w:p>
      <w:pPr>
        <w:spacing w:after="0" w:line="20" w:lineRule="exact"/>
        <w:rPr>
          <w:sz w:val="20"/>
          <w:szCs w:val="20"/>
          <w:color w:val="auto"/>
        </w:rPr>
      </w:pPr>
      <w:r>
        <w:rPr>
          <w:sz w:val="20"/>
          <w:szCs w:val="20"/>
          <w:color w:val="auto"/>
        </w:rPr>
        <w:br w:type="column"/>
      </w:r>
    </w:p>
    <w:p>
      <w:pPr>
        <w:ind w:left="187" w:hanging="187"/>
        <w:spacing w:after="0" w:line="312" w:lineRule="auto"/>
        <w:tabs>
          <w:tab w:leader="none" w:pos="187" w:val="left"/>
        </w:tabs>
        <w:numPr>
          <w:ilvl w:val="0"/>
          <w:numId w:val="14"/>
        </w:numPr>
        <w:rPr>
          <w:rFonts w:ascii="Times New Roman" w:cs="Times New Roman" w:eastAsia="Times New Roman" w:hAnsi="Times New Roman"/>
          <w:sz w:val="11"/>
          <w:szCs w:val="11"/>
          <w:color w:val="00AE4F"/>
        </w:rPr>
      </w:pPr>
      <w:r>
        <w:rPr>
          <w:rFonts w:ascii="Arial" w:cs="Arial" w:eastAsia="Arial" w:hAnsi="Arial"/>
          <w:sz w:val="14"/>
          <w:szCs w:val="14"/>
          <w:color w:val="auto"/>
        </w:rPr>
        <w:t>Annual Board and Committee self-evaluations and bi-annual peer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332740</wp:posOffset>
            </wp:positionV>
            <wp:extent cx="64268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2" w:right="80" w:hanging="182"/>
        <w:spacing w:after="0" w:line="250" w:lineRule="auto"/>
        <w:tabs>
          <w:tab w:leader="none" w:pos="182" w:val="left"/>
        </w:tabs>
        <w:numPr>
          <w:ilvl w:val="0"/>
          <w:numId w:val="15"/>
        </w:numPr>
        <w:rPr>
          <w:rFonts w:ascii="Times New Roman" w:cs="Times New Roman" w:eastAsia="Times New Roman" w:hAnsi="Times New Roman"/>
          <w:sz w:val="12"/>
          <w:szCs w:val="12"/>
          <w:color w:val="00AE4F"/>
        </w:rPr>
      </w:pPr>
      <w:r>
        <w:rPr>
          <w:rFonts w:ascii="Arial" w:cs="Arial" w:eastAsia="Arial" w:hAnsi="Arial"/>
          <w:sz w:val="15"/>
          <w:szCs w:val="15"/>
          <w:color w:val="auto"/>
        </w:rPr>
        <w:t>CEO and executive leadership succession planning and annual talent review of key and rising talent by the Board and Compensation and Talent Management Committee</w:t>
      </w:r>
    </w:p>
    <w:p>
      <w:pPr>
        <w:spacing w:after="0" w:line="94" w:lineRule="exact"/>
        <w:rPr>
          <w:sz w:val="20"/>
          <w:szCs w:val="20"/>
          <w:color w:val="auto"/>
        </w:rPr>
      </w:pPr>
    </w:p>
    <w:p>
      <w:pPr>
        <w:sectPr>
          <w:pgSz w:w="11900" w:h="16838" w:orient="portrait"/>
          <w:cols w:equalWidth="0" w:num="3">
            <w:col w:w="3940" w:space="493"/>
            <w:col w:w="2687" w:space="538"/>
            <w:col w:w="3042"/>
          </w:cols>
          <w:pgMar w:left="320" w:top="454" w:right="879" w:bottom="1440" w:gutter="0" w:footer="0" w:header="0"/>
          <w:type w:val="continuous"/>
        </w:sectPr>
      </w:pPr>
    </w:p>
    <w:tbl>
      <w:tblPr>
        <w:tblLayout w:type="fixed"/>
        <w:tblInd w:w="560" w:type="dxa"/>
        <w:tblCellMar>
          <w:top w:w="0" w:type="dxa"/>
          <w:left w:w="0" w:type="dxa"/>
          <w:bottom w:w="0" w:type="dxa"/>
          <w:right w:w="0" w:type="dxa"/>
        </w:tblCellMar>
      </w:tblPr>
      <w:tr>
        <w:trPr>
          <w:trHeight w:val="174"/>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Director access to internal and external experts</w:t>
            </w:r>
          </w:p>
        </w:tc>
        <w:tc>
          <w:tcPr>
            <w:tcW w:w="300" w:type="dxa"/>
            <w:vAlign w:val="bottom"/>
          </w:tcPr>
          <w:p>
            <w:pPr>
              <w:ind w:left="180"/>
              <w:spacing w:after="0"/>
              <w:rPr>
                <w:sz w:val="20"/>
                <w:szCs w:val="20"/>
                <w:color w:val="auto"/>
              </w:rPr>
            </w:pPr>
            <w:r>
              <w:rPr>
                <w:rFonts w:ascii="Times New Roman" w:cs="Times New Roman" w:eastAsia="Times New Roman" w:hAnsi="Times New Roman"/>
                <w:sz w:val="12"/>
                <w:szCs w:val="12"/>
                <w:color w:val="00AE4F"/>
              </w:rPr>
              <w:t>●</w:t>
            </w:r>
          </w:p>
        </w:tc>
        <w:tc>
          <w:tcPr>
            <w:tcW w:w="3040" w:type="dxa"/>
            <w:vAlign w:val="bottom"/>
          </w:tcPr>
          <w:p>
            <w:pPr>
              <w:ind w:left="60"/>
              <w:spacing w:after="0"/>
              <w:rPr>
                <w:sz w:val="20"/>
                <w:szCs w:val="20"/>
                <w:color w:val="auto"/>
              </w:rPr>
            </w:pPr>
            <w:r>
              <w:rPr>
                <w:rFonts w:ascii="Arial" w:cs="Arial" w:eastAsia="Arial" w:hAnsi="Arial"/>
                <w:sz w:val="15"/>
                <w:szCs w:val="15"/>
                <w:color w:val="auto"/>
              </w:rPr>
              <w:t>Annual review of corporate governance</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00AE4F"/>
              </w:rPr>
              <w:t>●</w:t>
            </w:r>
          </w:p>
        </w:tc>
        <w:tc>
          <w:tcPr>
            <w:tcW w:w="2720" w:type="dxa"/>
            <w:vAlign w:val="bottom"/>
            <w:gridSpan w:val="3"/>
          </w:tcPr>
          <w:p>
            <w:pPr>
              <w:ind w:left="60"/>
              <w:spacing w:after="0"/>
              <w:rPr>
                <w:sz w:val="20"/>
                <w:szCs w:val="20"/>
                <w:color w:val="auto"/>
              </w:rPr>
            </w:pPr>
            <w:r>
              <w:rPr>
                <w:rFonts w:ascii="Arial" w:cs="Arial" w:eastAsia="Arial" w:hAnsi="Arial"/>
                <w:sz w:val="15"/>
                <w:szCs w:val="15"/>
                <w:color w:val="auto"/>
                <w:w w:val="98"/>
              </w:rPr>
              <w:t>Policies prohibiting short-sales, hedging,</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00" w:type="dxa"/>
            <w:vAlign w:val="bottom"/>
          </w:tcPr>
          <w:p>
            <w:pPr>
              <w:ind w:left="180"/>
              <w:spacing w:after="0"/>
              <w:rPr>
                <w:sz w:val="20"/>
                <w:szCs w:val="20"/>
                <w:color w:val="auto"/>
              </w:rPr>
            </w:pPr>
            <w:r>
              <w:rPr>
                <w:rFonts w:ascii="Arial" w:cs="Arial" w:eastAsia="Arial" w:hAnsi="Arial"/>
                <w:sz w:val="15"/>
                <w:szCs w:val="15"/>
                <w:color w:val="auto"/>
              </w:rPr>
              <w:t>and advisors</w:t>
            </w:r>
          </w:p>
        </w:tc>
        <w:tc>
          <w:tcPr>
            <w:tcW w:w="300" w:type="dxa"/>
            <w:vAlign w:val="bottom"/>
          </w:tcPr>
          <w:p>
            <w:pPr>
              <w:spacing w:after="0"/>
              <w:rPr>
                <w:sz w:val="17"/>
                <w:szCs w:val="17"/>
                <w:color w:val="auto"/>
              </w:rPr>
            </w:pPr>
          </w:p>
        </w:tc>
        <w:tc>
          <w:tcPr>
            <w:tcW w:w="3040" w:type="dxa"/>
            <w:vAlign w:val="bottom"/>
          </w:tcPr>
          <w:p>
            <w:pPr>
              <w:ind w:left="60"/>
              <w:spacing w:after="0"/>
              <w:rPr>
                <w:sz w:val="20"/>
                <w:szCs w:val="20"/>
                <w:color w:val="auto"/>
              </w:rPr>
            </w:pPr>
            <w:r>
              <w:rPr>
                <w:rFonts w:ascii="Arial" w:cs="Arial" w:eastAsia="Arial" w:hAnsi="Arial"/>
                <w:sz w:val="15"/>
                <w:szCs w:val="15"/>
                <w:color w:val="auto"/>
              </w:rPr>
              <w:t>documents to align with best practices</w:t>
            </w:r>
          </w:p>
        </w:tc>
        <w:tc>
          <w:tcPr>
            <w:tcW w:w="18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Arial" w:cs="Arial" w:eastAsia="Arial" w:hAnsi="Arial"/>
                <w:sz w:val="15"/>
                <w:szCs w:val="15"/>
                <w:color w:val="auto"/>
              </w:rPr>
              <w:t>pledging, and margin accounts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37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30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2480" w:type="dxa"/>
            <w:vAlign w:val="bottom"/>
            <w:tcBorders>
              <w:bottom w:val="single" w:sz="8" w:color="7F7F7F"/>
            </w:tcBorders>
            <w:gridSpan w:val="2"/>
          </w:tcPr>
          <w:p>
            <w:pPr>
              <w:spacing w:after="0"/>
              <w:rPr>
                <w:sz w:val="4"/>
                <w:szCs w:val="4"/>
                <w:color w:val="auto"/>
              </w:rPr>
            </w:pPr>
          </w:p>
        </w:tc>
        <w:tc>
          <w:tcPr>
            <w:tcW w:w="440" w:type="dxa"/>
            <w:vAlign w:val="bottom"/>
            <w:tcBorders>
              <w:bottom w:val="single" w:sz="8" w:color="7F7F7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No related-party transactions between the</w:t>
            </w:r>
          </w:p>
        </w:tc>
        <w:tc>
          <w:tcPr>
            <w:tcW w:w="300" w:type="dxa"/>
            <w:vAlign w:val="bottom"/>
          </w:tcPr>
          <w:p>
            <w:pPr>
              <w:ind w:left="180"/>
              <w:spacing w:after="0"/>
              <w:rPr>
                <w:sz w:val="20"/>
                <w:szCs w:val="20"/>
                <w:color w:val="auto"/>
              </w:rPr>
            </w:pPr>
            <w:r>
              <w:rPr>
                <w:rFonts w:ascii="Times New Roman" w:cs="Times New Roman" w:eastAsia="Times New Roman" w:hAnsi="Times New Roman"/>
                <w:sz w:val="12"/>
                <w:szCs w:val="12"/>
                <w:color w:val="00AE4F"/>
              </w:rPr>
              <w:t>●</w:t>
            </w:r>
          </w:p>
        </w:tc>
        <w:tc>
          <w:tcPr>
            <w:tcW w:w="3040" w:type="dxa"/>
            <w:vAlign w:val="bottom"/>
          </w:tcPr>
          <w:p>
            <w:pPr>
              <w:ind w:left="60"/>
              <w:spacing w:after="0"/>
              <w:rPr>
                <w:sz w:val="20"/>
                <w:szCs w:val="20"/>
                <w:color w:val="auto"/>
              </w:rPr>
            </w:pPr>
            <w:r>
              <w:rPr>
                <w:rFonts w:ascii="Arial" w:cs="Arial" w:eastAsia="Arial" w:hAnsi="Arial"/>
                <w:sz w:val="15"/>
                <w:szCs w:val="15"/>
                <w:color w:val="auto"/>
              </w:rPr>
              <w:t>A longstanding Clawback Policy that applies</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00AE4F"/>
              </w:rPr>
              <w:t>●</w:t>
            </w:r>
          </w:p>
        </w:tc>
        <w:tc>
          <w:tcPr>
            <w:tcW w:w="2920" w:type="dxa"/>
            <w:vAlign w:val="bottom"/>
            <w:gridSpan w:val="4"/>
          </w:tcPr>
          <w:p>
            <w:pPr>
              <w:ind w:left="60"/>
              <w:spacing w:after="0"/>
              <w:rPr>
                <w:sz w:val="20"/>
                <w:szCs w:val="20"/>
                <w:color w:val="auto"/>
              </w:rPr>
            </w:pPr>
            <w:r>
              <w:rPr>
                <w:rFonts w:ascii="Arial" w:cs="Arial" w:eastAsia="Arial" w:hAnsi="Arial"/>
                <w:sz w:val="15"/>
                <w:szCs w:val="15"/>
                <w:color w:val="auto"/>
              </w:rPr>
              <w:t>Strong oversight of Environmental, Social,</w:t>
            </w:r>
          </w:p>
        </w:tc>
        <w:tc>
          <w:tcPr>
            <w:tcW w:w="0" w:type="dxa"/>
            <w:vAlign w:val="bottom"/>
          </w:tcPr>
          <w:p>
            <w:pPr>
              <w:spacing w:after="0"/>
              <w:rPr>
                <w:sz w:val="1"/>
                <w:szCs w:val="1"/>
                <w:color w:val="auto"/>
              </w:rPr>
            </w:pPr>
          </w:p>
        </w:tc>
      </w:tr>
      <w:tr>
        <w:trPr>
          <w:trHeight w:val="174"/>
        </w:trPr>
        <w:tc>
          <w:tcPr>
            <w:tcW w:w="3700" w:type="dxa"/>
            <w:vAlign w:val="bottom"/>
          </w:tcPr>
          <w:p>
            <w:pPr>
              <w:ind w:left="180"/>
              <w:spacing w:after="0"/>
              <w:rPr>
                <w:sz w:val="20"/>
                <w:szCs w:val="20"/>
                <w:color w:val="auto"/>
              </w:rPr>
            </w:pPr>
            <w:r>
              <w:rPr>
                <w:rFonts w:ascii="Arial" w:cs="Arial" w:eastAsia="Arial" w:hAnsi="Arial"/>
                <w:sz w:val="15"/>
                <w:szCs w:val="15"/>
                <w:color w:val="auto"/>
              </w:rPr>
              <w:t>Company and senior management; however,</w:t>
            </w:r>
          </w:p>
        </w:tc>
        <w:tc>
          <w:tcPr>
            <w:tcW w:w="300" w:type="dxa"/>
            <w:vAlign w:val="bottom"/>
          </w:tcPr>
          <w:p>
            <w:pPr>
              <w:spacing w:after="0"/>
              <w:rPr>
                <w:sz w:val="15"/>
                <w:szCs w:val="15"/>
                <w:color w:val="auto"/>
              </w:rPr>
            </w:pPr>
          </w:p>
        </w:tc>
        <w:tc>
          <w:tcPr>
            <w:tcW w:w="3040" w:type="dxa"/>
            <w:vAlign w:val="bottom"/>
          </w:tcPr>
          <w:p>
            <w:pPr>
              <w:ind w:left="60"/>
              <w:spacing w:after="0"/>
              <w:rPr>
                <w:sz w:val="20"/>
                <w:szCs w:val="20"/>
                <w:color w:val="auto"/>
              </w:rPr>
            </w:pPr>
            <w:r>
              <w:rPr>
                <w:rFonts w:ascii="Arial" w:cs="Arial" w:eastAsia="Arial" w:hAnsi="Arial"/>
                <w:sz w:val="15"/>
                <w:szCs w:val="15"/>
                <w:color w:val="auto"/>
              </w:rPr>
              <w:t>to short-term and long-term incentive</w:t>
            </w:r>
          </w:p>
        </w:tc>
        <w:tc>
          <w:tcPr>
            <w:tcW w:w="180" w:type="dxa"/>
            <w:vAlign w:val="bottom"/>
          </w:tcPr>
          <w:p>
            <w:pPr>
              <w:spacing w:after="0"/>
              <w:rPr>
                <w:sz w:val="15"/>
                <w:szCs w:val="15"/>
                <w:color w:val="auto"/>
              </w:rPr>
            </w:pPr>
          </w:p>
        </w:tc>
        <w:tc>
          <w:tcPr>
            <w:tcW w:w="2920" w:type="dxa"/>
            <w:vAlign w:val="bottom"/>
            <w:gridSpan w:val="4"/>
          </w:tcPr>
          <w:p>
            <w:pPr>
              <w:ind w:left="60"/>
              <w:spacing w:after="0"/>
              <w:rPr>
                <w:sz w:val="20"/>
                <w:szCs w:val="20"/>
                <w:color w:val="auto"/>
              </w:rPr>
            </w:pPr>
            <w:r>
              <w:rPr>
                <w:rFonts w:ascii="Arial" w:cs="Arial" w:eastAsia="Arial" w:hAnsi="Arial"/>
                <w:sz w:val="15"/>
                <w:szCs w:val="15"/>
                <w:color w:val="auto"/>
              </w:rPr>
              <w:t>and Governance (“ESG”) standards by the</w:t>
            </w:r>
          </w:p>
        </w:tc>
        <w:tc>
          <w:tcPr>
            <w:tcW w:w="0" w:type="dxa"/>
            <w:vAlign w:val="bottom"/>
          </w:tcPr>
          <w:p>
            <w:pPr>
              <w:spacing w:after="0"/>
              <w:rPr>
                <w:sz w:val="1"/>
                <w:szCs w:val="1"/>
                <w:color w:val="auto"/>
              </w:rPr>
            </w:pPr>
          </w:p>
        </w:tc>
      </w:tr>
      <w:tr>
        <w:trPr>
          <w:trHeight w:val="174"/>
        </w:trPr>
        <w:tc>
          <w:tcPr>
            <w:tcW w:w="3700" w:type="dxa"/>
            <w:vAlign w:val="bottom"/>
          </w:tcPr>
          <w:p>
            <w:pPr>
              <w:ind w:left="180"/>
              <w:spacing w:after="0"/>
              <w:rPr>
                <w:sz w:val="20"/>
                <w:szCs w:val="20"/>
                <w:color w:val="auto"/>
              </w:rPr>
            </w:pPr>
            <w:r>
              <w:rPr>
                <w:rFonts w:ascii="Arial" w:cs="Arial" w:eastAsia="Arial" w:hAnsi="Arial"/>
                <w:sz w:val="15"/>
                <w:szCs w:val="15"/>
                <w:color w:val="auto"/>
              </w:rPr>
              <w:t>members of the Board are officers or directors of</w:t>
            </w:r>
          </w:p>
        </w:tc>
        <w:tc>
          <w:tcPr>
            <w:tcW w:w="300" w:type="dxa"/>
            <w:vAlign w:val="bottom"/>
          </w:tcPr>
          <w:p>
            <w:pPr>
              <w:spacing w:after="0"/>
              <w:rPr>
                <w:sz w:val="15"/>
                <w:szCs w:val="15"/>
                <w:color w:val="auto"/>
              </w:rPr>
            </w:pPr>
          </w:p>
        </w:tc>
        <w:tc>
          <w:tcPr>
            <w:tcW w:w="3040" w:type="dxa"/>
            <w:vAlign w:val="bottom"/>
          </w:tcPr>
          <w:p>
            <w:pPr>
              <w:ind w:left="60"/>
              <w:spacing w:after="0"/>
              <w:rPr>
                <w:sz w:val="20"/>
                <w:szCs w:val="20"/>
                <w:color w:val="auto"/>
              </w:rPr>
            </w:pPr>
            <w:r>
              <w:rPr>
                <w:rFonts w:ascii="Arial" w:cs="Arial" w:eastAsia="Arial" w:hAnsi="Arial"/>
                <w:sz w:val="15"/>
                <w:szCs w:val="15"/>
                <w:color w:val="auto"/>
              </w:rPr>
              <w:t>compensation plans for senior management</w:t>
            </w:r>
          </w:p>
        </w:tc>
        <w:tc>
          <w:tcPr>
            <w:tcW w:w="180" w:type="dxa"/>
            <w:vAlign w:val="bottom"/>
          </w:tcPr>
          <w:p>
            <w:pPr>
              <w:spacing w:after="0"/>
              <w:rPr>
                <w:sz w:val="15"/>
                <w:szCs w:val="15"/>
                <w:color w:val="auto"/>
              </w:rPr>
            </w:pPr>
          </w:p>
        </w:tc>
        <w:tc>
          <w:tcPr>
            <w:tcW w:w="2720" w:type="dxa"/>
            <w:vAlign w:val="bottom"/>
            <w:gridSpan w:val="3"/>
          </w:tcPr>
          <w:p>
            <w:pPr>
              <w:ind w:left="60"/>
              <w:spacing w:after="0"/>
              <w:rPr>
                <w:sz w:val="20"/>
                <w:szCs w:val="20"/>
                <w:color w:val="auto"/>
              </w:rPr>
            </w:pPr>
            <w:r>
              <w:rPr>
                <w:rFonts w:ascii="Arial" w:cs="Arial" w:eastAsia="Arial" w:hAnsi="Arial"/>
                <w:sz w:val="15"/>
                <w:szCs w:val="15"/>
                <w:color w:val="auto"/>
              </w:rPr>
              <w:t>Board and Corporate Governance and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00" w:type="dxa"/>
            <w:vAlign w:val="bottom"/>
          </w:tcPr>
          <w:p>
            <w:pPr>
              <w:ind w:left="180"/>
              <w:spacing w:after="0"/>
              <w:rPr>
                <w:sz w:val="20"/>
                <w:szCs w:val="20"/>
                <w:color w:val="auto"/>
              </w:rPr>
            </w:pPr>
            <w:r>
              <w:rPr>
                <w:rFonts w:ascii="Arial" w:cs="Arial" w:eastAsia="Arial" w:hAnsi="Arial"/>
                <w:sz w:val="15"/>
                <w:szCs w:val="15"/>
                <w:color w:val="auto"/>
              </w:rPr>
              <w:t>the Hunt Companies, affiliate of controlling</w:t>
            </w: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ind w:left="60"/>
              <w:spacing w:after="0"/>
              <w:rPr>
                <w:sz w:val="20"/>
                <w:szCs w:val="20"/>
                <w:color w:val="auto"/>
              </w:rPr>
            </w:pPr>
            <w:r>
              <w:rPr>
                <w:rFonts w:ascii="Arial" w:cs="Arial" w:eastAsia="Arial" w:hAnsi="Arial"/>
                <w:sz w:val="15"/>
                <w:szCs w:val="15"/>
                <w:color w:val="auto"/>
              </w:rPr>
              <w:t>Nominating Committee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00" w:type="dxa"/>
            <w:vAlign w:val="bottom"/>
          </w:tcPr>
          <w:p>
            <w:pPr>
              <w:ind w:left="180"/>
              <w:spacing w:after="0"/>
              <w:rPr>
                <w:sz w:val="20"/>
                <w:szCs w:val="20"/>
                <w:color w:val="auto"/>
              </w:rPr>
            </w:pPr>
            <w:r>
              <w:rPr>
                <w:rFonts w:ascii="Arial" w:cs="Arial" w:eastAsia="Arial" w:hAnsi="Arial"/>
                <w:sz w:val="15"/>
                <w:szCs w:val="15"/>
                <w:color w:val="auto"/>
              </w:rPr>
              <w:t>stockholder Hunt Equity Opportunities,</w:t>
            </w: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AE4F"/>
              </w:rPr>
              <w:t>●</w:t>
            </w:r>
          </w:p>
        </w:tc>
        <w:tc>
          <w:tcPr>
            <w:tcW w:w="3040" w:type="dxa"/>
            <w:vAlign w:val="bottom"/>
            <w:vMerge w:val="restart"/>
          </w:tcPr>
          <w:p>
            <w:pPr>
              <w:ind w:left="60"/>
              <w:spacing w:after="0"/>
              <w:rPr>
                <w:sz w:val="20"/>
                <w:szCs w:val="20"/>
                <w:color w:val="auto"/>
              </w:rPr>
            </w:pPr>
            <w:r>
              <w:rPr>
                <w:rFonts w:ascii="Arial" w:cs="Arial" w:eastAsia="Arial" w:hAnsi="Arial"/>
                <w:sz w:val="15"/>
                <w:szCs w:val="15"/>
                <w:color w:val="auto"/>
              </w:rPr>
              <w:t>Stock ownership requirements for directors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AE4F"/>
              </w:rPr>
              <w:t>●</w:t>
            </w:r>
          </w:p>
        </w:tc>
        <w:tc>
          <w:tcPr>
            <w:tcW w:w="2720" w:type="dxa"/>
            <w:vAlign w:val="bottom"/>
            <w:gridSpan w:val="3"/>
            <w:vMerge w:val="restart"/>
          </w:tcPr>
          <w:p>
            <w:pPr>
              <w:ind w:left="60"/>
              <w:spacing w:after="0"/>
              <w:rPr>
                <w:sz w:val="20"/>
                <w:szCs w:val="20"/>
                <w:color w:val="auto"/>
              </w:rPr>
            </w:pPr>
            <w:r>
              <w:rPr>
                <w:rFonts w:ascii="Arial" w:cs="Arial" w:eastAsia="Arial" w:hAnsi="Arial"/>
                <w:sz w:val="15"/>
                <w:szCs w:val="15"/>
                <w:color w:val="auto"/>
              </w:rPr>
              <w:t>Comprehensive orientation program for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3700" w:type="dxa"/>
            <w:vAlign w:val="bottom"/>
            <w:vMerge w:val="restart"/>
          </w:tcPr>
          <w:p>
            <w:pPr>
              <w:ind w:left="180"/>
              <w:spacing w:after="0"/>
              <w:rPr>
                <w:sz w:val="20"/>
                <w:szCs w:val="20"/>
                <w:color w:val="auto"/>
              </w:rPr>
            </w:pPr>
            <w:r>
              <w:rPr>
                <w:rFonts w:ascii="Arial" w:cs="Arial" w:eastAsia="Arial" w:hAnsi="Arial"/>
                <w:sz w:val="15"/>
                <w:szCs w:val="15"/>
                <w:color w:val="auto"/>
              </w:rPr>
              <w:t>LLC (“Hunt”); Hunt is entitled to request inclusion</w:t>
            </w:r>
          </w:p>
        </w:tc>
        <w:tc>
          <w:tcPr>
            <w:tcW w:w="3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3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vMerge w:val="restart"/>
          </w:tcPr>
          <w:p>
            <w:pPr>
              <w:ind w:left="60"/>
              <w:spacing w:after="0"/>
              <w:rPr>
                <w:sz w:val="20"/>
                <w:szCs w:val="20"/>
                <w:color w:val="auto"/>
              </w:rPr>
            </w:pPr>
            <w:r>
              <w:rPr>
                <w:rFonts w:ascii="Arial" w:cs="Arial" w:eastAsia="Arial" w:hAnsi="Arial"/>
                <w:sz w:val="15"/>
                <w:szCs w:val="15"/>
                <w:color w:val="auto"/>
              </w:rPr>
              <w:t>and senior management</w:t>
            </w:r>
          </w:p>
        </w:tc>
        <w:tc>
          <w:tcPr>
            <w:tcW w:w="180" w:type="dxa"/>
            <w:vAlign w:val="bottom"/>
          </w:tcPr>
          <w:p>
            <w:pPr>
              <w:spacing w:after="0"/>
              <w:rPr>
                <w:sz w:val="9"/>
                <w:szCs w:val="9"/>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5"/>
                <w:szCs w:val="15"/>
                <w:color w:val="auto"/>
              </w:rPr>
              <w:t>new directors and robust continuing</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700" w:type="dxa"/>
            <w:vAlign w:val="bottom"/>
            <w:vMerge w:val="restart"/>
          </w:tcPr>
          <w:p>
            <w:pPr>
              <w:ind w:left="180"/>
              <w:spacing w:after="0"/>
              <w:rPr>
                <w:sz w:val="20"/>
                <w:szCs w:val="20"/>
                <w:color w:val="auto"/>
              </w:rPr>
            </w:pPr>
            <w:r>
              <w:rPr>
                <w:rFonts w:ascii="Arial" w:cs="Arial" w:eastAsia="Arial" w:hAnsi="Arial"/>
                <w:sz w:val="15"/>
                <w:szCs w:val="15"/>
                <w:color w:val="auto"/>
              </w:rPr>
              <w:t>of all or any part of its common stock in any</w:t>
            </w:r>
          </w:p>
        </w:tc>
        <w:tc>
          <w:tcPr>
            <w:tcW w:w="30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3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5"/>
                <w:szCs w:val="15"/>
                <w:color w:val="auto"/>
              </w:rPr>
              <w:t>education programs for the Board</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700" w:type="dxa"/>
            <w:vAlign w:val="bottom"/>
            <w:vMerge w:val="restart"/>
          </w:tcPr>
          <w:p>
            <w:pPr>
              <w:ind w:left="180"/>
              <w:spacing w:after="0"/>
              <w:rPr>
                <w:sz w:val="20"/>
                <w:szCs w:val="20"/>
                <w:color w:val="auto"/>
              </w:rPr>
            </w:pPr>
            <w:r>
              <w:rPr>
                <w:rFonts w:ascii="Arial" w:cs="Arial" w:eastAsia="Arial" w:hAnsi="Arial"/>
                <w:sz w:val="15"/>
                <w:szCs w:val="15"/>
                <w:color w:val="auto"/>
              </w:rPr>
              <w:t>registration of securities by the Company on</w:t>
            </w:r>
          </w:p>
        </w:tc>
        <w:tc>
          <w:tcPr>
            <w:tcW w:w="3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AE4F"/>
              </w:rPr>
              <w:t>●</w:t>
            </w:r>
          </w:p>
        </w:tc>
        <w:tc>
          <w:tcPr>
            <w:tcW w:w="2720" w:type="dxa"/>
            <w:vAlign w:val="bottom"/>
            <w:gridSpan w:val="3"/>
            <w:vMerge w:val="restart"/>
          </w:tcPr>
          <w:p>
            <w:pPr>
              <w:ind w:left="60"/>
              <w:spacing w:after="0"/>
              <w:rPr>
                <w:sz w:val="20"/>
                <w:szCs w:val="20"/>
                <w:color w:val="auto"/>
              </w:rPr>
            </w:pPr>
            <w:r>
              <w:rPr>
                <w:rFonts w:ascii="Arial" w:cs="Arial" w:eastAsia="Arial" w:hAnsi="Arial"/>
                <w:sz w:val="15"/>
                <w:szCs w:val="15"/>
                <w:color w:val="auto"/>
              </w:rPr>
              <w:t>Robust Code of Business Conduct and</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700" w:type="dxa"/>
            <w:vAlign w:val="bottom"/>
            <w:vMerge w:val="restart"/>
          </w:tcPr>
          <w:p>
            <w:pPr>
              <w:ind w:left="180"/>
              <w:spacing w:after="0"/>
              <w:rPr>
                <w:sz w:val="20"/>
                <w:szCs w:val="20"/>
                <w:color w:val="auto"/>
              </w:rPr>
            </w:pPr>
            <w:r>
              <w:rPr>
                <w:rFonts w:ascii="Arial" w:cs="Arial" w:eastAsia="Arial" w:hAnsi="Arial"/>
                <w:sz w:val="15"/>
                <w:szCs w:val="15"/>
                <w:color w:val="auto"/>
              </w:rPr>
              <w:t>Forms S-1 or S-3 under the Securities Act of 1933,</w:t>
            </w:r>
          </w:p>
        </w:tc>
        <w:tc>
          <w:tcPr>
            <w:tcW w:w="3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27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20" w:type="dxa"/>
            <w:vAlign w:val="bottom"/>
            <w:gridSpan w:val="4"/>
            <w:vMerge w:val="restart"/>
          </w:tcPr>
          <w:p>
            <w:pPr>
              <w:ind w:left="60"/>
              <w:spacing w:after="0"/>
              <w:rPr>
                <w:sz w:val="20"/>
                <w:szCs w:val="20"/>
                <w:color w:val="auto"/>
              </w:rPr>
            </w:pPr>
            <w:r>
              <w:rPr>
                <w:rFonts w:ascii="Arial" w:cs="Arial" w:eastAsia="Arial" w:hAnsi="Arial"/>
                <w:sz w:val="15"/>
                <w:szCs w:val="15"/>
                <w:color w:val="auto"/>
              </w:rPr>
              <w:t>Ethics for the Board, senior management,</w:t>
            </w:r>
          </w:p>
        </w:tc>
        <w:tc>
          <w:tcPr>
            <w:tcW w:w="0" w:type="dxa"/>
            <w:vAlign w:val="bottom"/>
          </w:tcPr>
          <w:p>
            <w:pPr>
              <w:spacing w:after="0"/>
              <w:rPr>
                <w:sz w:val="1"/>
                <w:szCs w:val="1"/>
                <w:color w:val="auto"/>
              </w:rPr>
            </w:pPr>
          </w:p>
        </w:tc>
      </w:tr>
      <w:tr>
        <w:trPr>
          <w:trHeight w:val="124"/>
        </w:trPr>
        <w:tc>
          <w:tcPr>
            <w:tcW w:w="3700" w:type="dxa"/>
            <w:vAlign w:val="bottom"/>
            <w:vMerge w:val="restart"/>
          </w:tcPr>
          <w:p>
            <w:pPr>
              <w:ind w:left="180"/>
              <w:spacing w:after="0"/>
              <w:rPr>
                <w:sz w:val="20"/>
                <w:szCs w:val="20"/>
                <w:color w:val="auto"/>
              </w:rPr>
            </w:pPr>
            <w:r>
              <w:rPr>
                <w:rFonts w:ascii="Arial" w:cs="Arial" w:eastAsia="Arial" w:hAnsi="Arial"/>
                <w:sz w:val="15"/>
                <w:szCs w:val="15"/>
                <w:color w:val="auto"/>
              </w:rPr>
              <w:t>as amended</w:t>
            </w:r>
          </w:p>
        </w:tc>
        <w:tc>
          <w:tcPr>
            <w:tcW w:w="3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4"/>
            <w:vMerge w:val="restart"/>
          </w:tcPr>
          <w:p>
            <w:pPr>
              <w:ind w:left="60"/>
              <w:spacing w:after="0"/>
              <w:rPr>
                <w:sz w:val="20"/>
                <w:szCs w:val="20"/>
                <w:color w:val="auto"/>
              </w:rPr>
            </w:pPr>
            <w:r>
              <w:rPr>
                <w:rFonts w:ascii="Arial" w:cs="Arial" w:eastAsia="Arial" w:hAnsi="Arial"/>
                <w:sz w:val="15"/>
                <w:szCs w:val="15"/>
                <w:color w:val="auto"/>
              </w:rPr>
              <w:t>and all employees that includes an annual</w:t>
            </w:r>
          </w:p>
        </w:tc>
        <w:tc>
          <w:tcPr>
            <w:tcW w:w="0" w:type="dxa"/>
            <w:vAlign w:val="bottom"/>
          </w:tcPr>
          <w:p>
            <w:pPr>
              <w:spacing w:after="0"/>
              <w:rPr>
                <w:sz w:val="1"/>
                <w:szCs w:val="1"/>
                <w:color w:val="auto"/>
              </w:rPr>
            </w:pPr>
          </w:p>
        </w:tc>
      </w:tr>
      <w:tr>
        <w:trPr>
          <w:trHeight w:val="101"/>
        </w:trPr>
        <w:tc>
          <w:tcPr>
            <w:tcW w:w="3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Arial" w:cs="Arial" w:eastAsia="Arial" w:hAnsi="Arial"/>
                <w:sz w:val="15"/>
                <w:szCs w:val="15"/>
                <w:color w:val="auto"/>
              </w:rPr>
              <w:t>certification requirement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37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30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vMerge w:val="restart"/>
          </w:tcPr>
          <w:p>
            <w:pPr>
              <w:ind w:left="1380"/>
              <w:spacing w:after="0"/>
              <w:rPr>
                <w:sz w:val="20"/>
                <w:szCs w:val="20"/>
                <w:color w:val="auto"/>
              </w:rPr>
            </w:pPr>
            <w:r>
              <w:rPr>
                <w:rFonts w:ascii="Arial" w:cs="Arial" w:eastAsia="Arial" w:hAnsi="Arial"/>
                <w:sz w:val="20"/>
                <w:szCs w:val="20"/>
                <w:color w:val="auto"/>
              </w:rPr>
              <w:t> </w:t>
            </w:r>
          </w:p>
        </w:tc>
        <w:tc>
          <w:tcPr>
            <w:tcW w:w="320" w:type="dxa"/>
            <w:vAlign w:val="bottom"/>
            <w:vMerge w:val="restart"/>
          </w:tcPr>
          <w:p>
            <w:pPr>
              <w:ind w:left="60"/>
              <w:spacing w:after="0"/>
              <w:rPr>
                <w:sz w:val="20"/>
                <w:szCs w:val="20"/>
                <w:color w:val="auto"/>
              </w:rPr>
            </w:pPr>
            <w:r>
              <w:rPr>
                <w:rFonts w:ascii="Arial" w:cs="Arial" w:eastAsia="Arial" w:hAnsi="Arial"/>
                <w:sz w:val="20"/>
                <w:szCs w:val="20"/>
                <w:color w:val="auto"/>
                <w:w w:val="85"/>
              </w:rPr>
              <w:t xml:space="preserve">  </w:t>
            </w:r>
          </w:p>
        </w:tc>
        <w:tc>
          <w:tcPr>
            <w:tcW w:w="24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240" w:type="dxa"/>
            <w:vAlign w:val="bottom"/>
            <w:tcBorders>
              <w:left w:val="single" w:sz="8" w:color="auto"/>
            </w:tcBorders>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-212090</wp:posOffset>
            </wp:positionV>
            <wp:extent cx="377825" cy="180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Proxy Summary</w:t>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Meet Today’s Kelly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We’re building on 79 years of industry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150495</wp:posOffset>
            </wp:positionV>
            <wp:extent cx="5410835" cy="2661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0835" cy="266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A Year in Review</w:t>
      </w:r>
    </w:p>
    <w:p>
      <w:pPr>
        <w:spacing w:after="0" w:line="81" w:lineRule="exact"/>
        <w:rPr>
          <w:sz w:val="20"/>
          <w:szCs w:val="20"/>
          <w:color w:val="auto"/>
        </w:rPr>
      </w:pPr>
    </w:p>
    <w:p>
      <w:pPr>
        <w:ind w:left="560"/>
        <w:spacing w:after="0" w:line="285" w:lineRule="auto"/>
        <w:rPr>
          <w:sz w:val="20"/>
          <w:szCs w:val="20"/>
          <w:color w:val="auto"/>
        </w:rPr>
      </w:pPr>
      <w:r>
        <w:rPr>
          <w:rFonts w:ascii="Arial" w:cs="Arial" w:eastAsia="Arial" w:hAnsi="Arial"/>
          <w:sz w:val="14"/>
          <w:szCs w:val="14"/>
          <w:color w:val="auto"/>
        </w:rPr>
        <w:t>In 2025, Kelly continued to advance its multi-year transformation, building on the decisive actions taken in 2023 and 2024 to streamline the portfolio, sharpen strategic focus, and expand into higher margin, higher-growth specialties. We remained focused on capturing a greater market share, converting a higher proportion of revenue into bottom-line performance, and positioning Kelly to benefit from an eventual recovery in the staffing environment.</w:t>
      </w:r>
    </w:p>
    <w:p>
      <w:pPr>
        <w:spacing w:after="0" w:line="9" w:lineRule="exact"/>
        <w:rPr>
          <w:sz w:val="20"/>
          <w:szCs w:val="20"/>
          <w:color w:val="auto"/>
        </w:rPr>
      </w:pPr>
    </w:p>
    <w:p>
      <w:pPr>
        <w:ind w:left="560" w:right="120"/>
        <w:spacing w:after="0" w:line="252" w:lineRule="auto"/>
        <w:rPr>
          <w:sz w:val="20"/>
          <w:szCs w:val="20"/>
          <w:color w:val="auto"/>
        </w:rPr>
      </w:pPr>
      <w:r>
        <w:rPr>
          <w:rFonts w:ascii="Arial" w:cs="Arial" w:eastAsia="Arial" w:hAnsi="Arial"/>
          <w:sz w:val="15"/>
          <w:szCs w:val="15"/>
          <w:color w:val="auto"/>
        </w:rPr>
        <w:t>Kelly entered 2025 with a simplified operating model concentrated on North American staffing, business process outsourcing (“BPO”) and specialty solutions and global Managed Service Provider (“MSP”) and recruitment process outsourcing (“RPO”) offerings, following the 2024 sale of its European staffing operations, and acquisition of Motion Recruitment Partners (“MRP”) and Children’s Therapy Center (“CTC”). These portfolio actions reflected a deliberate shift toward businesses with more attractive growth profiles, scalable platforms, and improved EBITDA margin potential.</w:t>
      </w:r>
    </w:p>
    <w:p>
      <w:pPr>
        <w:spacing w:after="0" w:line="32" w:lineRule="exact"/>
        <w:rPr>
          <w:sz w:val="20"/>
          <w:szCs w:val="20"/>
          <w:color w:val="auto"/>
        </w:rPr>
      </w:pPr>
    </w:p>
    <w:p>
      <w:pPr>
        <w:ind w:left="560" w:right="80"/>
        <w:spacing w:after="0" w:line="258" w:lineRule="auto"/>
        <w:rPr>
          <w:sz w:val="20"/>
          <w:szCs w:val="20"/>
          <w:color w:val="auto"/>
        </w:rPr>
      </w:pPr>
      <w:r>
        <w:rPr>
          <w:rFonts w:ascii="Arial" w:cs="Arial" w:eastAsia="Arial" w:hAnsi="Arial"/>
          <w:sz w:val="15"/>
          <w:szCs w:val="15"/>
          <w:color w:val="auto"/>
        </w:rPr>
        <w:t>We continued to execute our refreshed go-to-market strategy, designed to deliver the full suite of Kelly solutions to large enterprise customers and capture a greater share of wallet while maintaining high service levels for customers of all sizes. This strategy was supported by ongoing commitment to delivering greater effectiveness and data-driven sales processes and initiatives.</w:t>
      </w:r>
    </w:p>
    <w:p>
      <w:pPr>
        <w:spacing w:after="0" w:line="39" w:lineRule="exact"/>
        <w:rPr>
          <w:sz w:val="20"/>
          <w:szCs w:val="20"/>
          <w:color w:val="auto"/>
        </w:rPr>
      </w:pPr>
    </w:p>
    <w:p>
      <w:pPr>
        <w:ind w:left="560" w:right="20"/>
        <w:spacing w:after="0" w:line="276" w:lineRule="auto"/>
        <w:rPr>
          <w:sz w:val="20"/>
          <w:szCs w:val="20"/>
          <w:color w:val="auto"/>
        </w:rPr>
      </w:pPr>
      <w:r>
        <w:rPr>
          <w:rFonts w:ascii="Arial" w:cs="Arial" w:eastAsia="Arial" w:hAnsi="Arial"/>
          <w:sz w:val="14"/>
          <w:szCs w:val="14"/>
          <w:color w:val="auto"/>
        </w:rPr>
        <w:t>Critical to positioning Kelly for future growth was the hiring of Chris Layden as President and Chief Executive Officer in September 2025. Layden succeeded Peter Quigley, who announced his intention to retire in February 2025. Layden brings dynamic industry leadership and extensive experience leading organizations through periods of significant change, while delivering growth and strengthening competitive positioning. Layden’s hiring underscores Kelly’s commitment to enhancing its operational capabilities and service delivery while transforming its technology processes and platforms.</w:t>
      </w:r>
    </w:p>
    <w:p>
      <w:pPr>
        <w:spacing w:after="0" w:line="16" w:lineRule="exact"/>
        <w:rPr>
          <w:sz w:val="20"/>
          <w:szCs w:val="20"/>
          <w:color w:val="auto"/>
        </w:rPr>
      </w:pPr>
    </w:p>
    <w:p>
      <w:pPr>
        <w:ind w:left="560" w:right="80"/>
        <w:spacing w:after="0" w:line="250" w:lineRule="auto"/>
        <w:rPr>
          <w:sz w:val="20"/>
          <w:szCs w:val="20"/>
          <w:color w:val="auto"/>
        </w:rPr>
      </w:pPr>
      <w:r>
        <w:rPr>
          <w:rFonts w:ascii="Arial" w:cs="Arial" w:eastAsia="Arial" w:hAnsi="Arial"/>
          <w:sz w:val="15"/>
          <w:szCs w:val="15"/>
          <w:color w:val="auto"/>
        </w:rPr>
        <w:t>During 2025, Kelly faced a dynamic macroeconomic environment characterized by sluggish labor market demand and policy shifts which had significant impacts on the industry, including Kelly. In the face of these headwinds, Kelly demonstrated measurable progress in cost discipline and selective market strength. At the same time, we accelerated structural and demand-driven cost optimization initiatives, including technology modernization, acquisition integration and process efficiencies to enhance execution and agility while positioning Kelly to capture market share and improve profitability when staffing market conditions rebound.</w:t>
      </w:r>
    </w:p>
    <w:p>
      <w:pPr>
        <w:spacing w:after="0" w:line="32" w:lineRule="exact"/>
        <w:rPr>
          <w:sz w:val="20"/>
          <w:szCs w:val="20"/>
          <w:color w:val="auto"/>
        </w:rPr>
      </w:pPr>
    </w:p>
    <w:p>
      <w:pPr>
        <w:ind w:left="560" w:right="80"/>
        <w:spacing w:after="0" w:line="275" w:lineRule="auto"/>
        <w:rPr>
          <w:sz w:val="20"/>
          <w:szCs w:val="20"/>
          <w:color w:val="auto"/>
        </w:rPr>
      </w:pPr>
      <w:r>
        <w:rPr>
          <w:rFonts w:ascii="Arial" w:cs="Arial" w:eastAsia="Arial" w:hAnsi="Arial"/>
          <w:sz w:val="15"/>
          <w:szCs w:val="15"/>
          <w:color w:val="auto"/>
        </w:rPr>
        <w:t>Structural cost actions, operating model simplification, acquisition integration, and portfolio reshaping are expected to support continued improvement in Kelly’s growth prospects and financial profile as we move through 2026 and beyond.</w:t>
      </w:r>
    </w:p>
    <w:p>
      <w:pPr>
        <w:ind w:left="620"/>
        <w:spacing w:after="0" w:line="232" w:lineRule="auto"/>
        <w:tabs>
          <w:tab w:leader="none" w:pos="1000" w:val="left"/>
        </w:tabs>
        <w:rPr>
          <w:sz w:val="20"/>
          <w:szCs w:val="20"/>
          <w:color w:val="auto"/>
        </w:rPr>
      </w:pPr>
      <w:r>
        <w:rPr>
          <w:rFonts w:ascii="Arial" w:cs="Arial" w:eastAsia="Arial" w:hAnsi="Arial"/>
          <w:sz w:val="38"/>
          <w:szCs w:val="38"/>
          <w:color w:val="auto"/>
          <w:vertAlign w:val="superscript"/>
        </w:rPr>
        <w:t>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77825" cy="1809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-203835</wp:posOffset>
            </wp:positionV>
            <wp:extent cx="7620" cy="212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20"/>
          </w:cols>
          <w:pgMar w:left="320" w:top="454"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Arial" w:cs="Arial" w:eastAsia="Arial" w:hAnsi="Arial"/>
                <w:sz w:val="12"/>
                <w:szCs w:val="12"/>
                <w:b w:val="1"/>
                <w:bCs w:val="1"/>
                <w:color w:val="auto"/>
              </w:rPr>
              <w:t>Proxy Summary</w:t>
            </w:r>
          </w:p>
        </w:tc>
        <w:tc>
          <w:tcPr>
            <w:tcW w:w="0" w:type="dxa"/>
            <w:vAlign w:val="bottom"/>
          </w:tcPr>
          <w:p>
            <w:pPr>
              <w:spacing w:after="0"/>
              <w:rPr>
                <w:sz w:val="1"/>
                <w:szCs w:val="1"/>
                <w:color w:val="auto"/>
              </w:rPr>
            </w:pPr>
          </w:p>
        </w:tc>
      </w:tr>
      <w:tr>
        <w:trPr>
          <w:trHeight w:val="363"/>
        </w:trPr>
        <w:tc>
          <w:tcPr>
            <w:tcW w:w="4580" w:type="dxa"/>
            <w:vAlign w:val="bottom"/>
          </w:tcPr>
          <w:p>
            <w:pPr>
              <w:spacing w:after="0"/>
              <w:rPr>
                <w:sz w:val="20"/>
                <w:szCs w:val="20"/>
                <w:color w:val="auto"/>
              </w:rPr>
            </w:pPr>
            <w:r>
              <w:rPr>
                <w:rFonts w:ascii="Arial" w:cs="Arial" w:eastAsia="Arial" w:hAnsi="Arial"/>
                <w:sz w:val="20"/>
                <w:szCs w:val="20"/>
                <w:b w:val="1"/>
                <w:bCs w:val="1"/>
                <w:color w:val="auto"/>
              </w:rPr>
              <w:t>2025 Financial Highlights</w:t>
            </w:r>
          </w:p>
        </w:tc>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r>
              <w:rPr>
                <w:rFonts w:ascii="Arial" w:cs="Arial" w:eastAsia="Arial" w:hAnsi="Arial"/>
                <w:sz w:val="17"/>
                <w:szCs w:val="17"/>
                <w:i w:val="1"/>
                <w:iCs w:val="1"/>
                <w:color w:val="auto"/>
              </w:rPr>
              <w:t>Full Year 2025 Financial Summary</w:t>
            </w:r>
          </w:p>
        </w:tc>
        <w:tc>
          <w:tcPr>
            <w:tcW w:w="3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4580" w:type="dxa"/>
            <w:vAlign w:val="bottom"/>
          </w:tcPr>
          <w:p>
            <w:pPr>
              <w:spacing w:after="0"/>
              <w:rPr>
                <w:sz w:val="24"/>
                <w:szCs w:val="24"/>
                <w:color w:val="auto"/>
              </w:rPr>
            </w:pPr>
          </w:p>
        </w:tc>
        <w:tc>
          <w:tcPr>
            <w:tcW w:w="3340" w:type="dxa"/>
            <w:vAlign w:val="bottom"/>
            <w:vMerge w:val="restart"/>
          </w:tcPr>
          <w:p>
            <w:pPr>
              <w:ind w:left="2060"/>
              <w:spacing w:after="0"/>
              <w:rPr>
                <w:sz w:val="20"/>
                <w:szCs w:val="20"/>
                <w:color w:val="auto"/>
              </w:rPr>
            </w:pPr>
            <w:r>
              <w:rPr>
                <w:rFonts w:ascii="Arial" w:cs="Arial" w:eastAsia="Arial" w:hAnsi="Arial"/>
                <w:sz w:val="13"/>
                <w:szCs w:val="13"/>
                <w:b w:val="1"/>
                <w:bCs w:val="1"/>
                <w:color w:val="00AE4F"/>
              </w:rPr>
              <w:t>Actual Results</w:t>
            </w:r>
          </w:p>
        </w:tc>
        <w:tc>
          <w:tcPr>
            <w:tcW w:w="22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00AE4F"/>
              </w:rPr>
              <w:t>Change Increase/(Decrease)</w:t>
            </w:r>
          </w:p>
        </w:tc>
        <w:tc>
          <w:tcPr>
            <w:tcW w:w="0" w:type="dxa"/>
            <w:vAlign w:val="bottom"/>
          </w:tcPr>
          <w:p>
            <w:pPr>
              <w:spacing w:after="0"/>
              <w:rPr>
                <w:sz w:val="1"/>
                <w:szCs w:val="1"/>
                <w:color w:val="auto"/>
              </w:rPr>
            </w:pPr>
          </w:p>
        </w:tc>
      </w:tr>
      <w:tr>
        <w:trPr>
          <w:trHeight w:val="166"/>
        </w:trPr>
        <w:tc>
          <w:tcPr>
            <w:tcW w:w="45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00AE4F"/>
              </w:rPr>
              <w:t>As Reported</w:t>
            </w:r>
          </w:p>
        </w:tc>
        <w:tc>
          <w:tcPr>
            <w:tcW w:w="1180" w:type="dxa"/>
            <w:vAlign w:val="bottom"/>
            <w:tcBorders>
              <w:bottom w:val="single" w:sz="8" w:color="auto"/>
            </w:tcBorders>
          </w:tcPr>
          <w:p>
            <w:pPr>
              <w:jc w:val="center"/>
              <w:ind w:left="54"/>
              <w:spacing w:after="0" w:line="166" w:lineRule="exact"/>
              <w:rPr>
                <w:sz w:val="20"/>
                <w:szCs w:val="20"/>
                <w:color w:val="auto"/>
              </w:rPr>
            </w:pPr>
            <w:r>
              <w:rPr>
                <w:rFonts w:ascii="Arial" w:cs="Arial" w:eastAsia="Arial" w:hAnsi="Arial"/>
                <w:sz w:val="13"/>
                <w:szCs w:val="13"/>
                <w:b w:val="1"/>
                <w:bCs w:val="1"/>
                <w:color w:val="00AE4F"/>
                <w:w w:val="98"/>
              </w:rPr>
              <w:t>As Adjusted</w:t>
            </w:r>
            <w:r>
              <w:rPr>
                <w:rFonts w:ascii="Arial" w:cs="Arial" w:eastAsia="Arial" w:hAnsi="Arial"/>
                <w:sz w:val="19"/>
                <w:szCs w:val="19"/>
                <w:b w:val="1"/>
                <w:bCs w:val="1"/>
                <w:color w:val="00AE4F"/>
                <w:w w:val="98"/>
                <w:vertAlign w:val="superscript"/>
              </w:rPr>
              <w:t>(1)</w:t>
            </w: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Revenue</w:t>
            </w:r>
          </w:p>
        </w:tc>
        <w:tc>
          <w:tcPr>
            <w:tcW w:w="3340" w:type="dxa"/>
            <w:vAlign w:val="bottom"/>
          </w:tcPr>
          <w:p>
            <w:pPr>
              <w:jc w:val="center"/>
              <w:ind w:left="1634"/>
              <w:spacing w:after="0"/>
              <w:rPr>
                <w:sz w:val="20"/>
                <w:szCs w:val="20"/>
                <w:color w:val="auto"/>
              </w:rPr>
            </w:pPr>
            <w:r>
              <w:rPr>
                <w:rFonts w:ascii="Arial" w:cs="Arial" w:eastAsia="Arial" w:hAnsi="Arial"/>
                <w:sz w:val="13"/>
                <w:szCs w:val="13"/>
                <w:color w:val="auto"/>
              </w:rPr>
              <w:t>$4.3B</w:t>
            </w:r>
          </w:p>
        </w:tc>
        <w:tc>
          <w:tcPr>
            <w:tcW w:w="1040" w:type="dxa"/>
            <w:vAlign w:val="bottom"/>
          </w:tcPr>
          <w:p>
            <w:pPr>
              <w:jc w:val="center"/>
              <w:ind w:right="94"/>
              <w:spacing w:after="0"/>
              <w:rPr>
                <w:sz w:val="20"/>
                <w:szCs w:val="20"/>
                <w:color w:val="auto"/>
              </w:rPr>
            </w:pPr>
            <w:r>
              <w:rPr>
                <w:rFonts w:ascii="Arial" w:cs="Arial" w:eastAsia="Arial" w:hAnsi="Arial"/>
                <w:sz w:val="13"/>
                <w:szCs w:val="13"/>
                <w:color w:val="auto"/>
              </w:rPr>
              <w:t>(1.9%)</w:t>
            </w:r>
          </w:p>
        </w:tc>
        <w:tc>
          <w:tcPr>
            <w:tcW w:w="1180" w:type="dxa"/>
            <w:vAlign w:val="bottom"/>
          </w:tcPr>
          <w:p>
            <w:pPr>
              <w:jc w:val="center"/>
              <w:ind w:left="54"/>
              <w:spacing w:after="0"/>
              <w:rPr>
                <w:sz w:val="20"/>
                <w:szCs w:val="20"/>
                <w:color w:val="auto"/>
              </w:rPr>
            </w:pPr>
            <w:r>
              <w:rPr>
                <w:rFonts w:ascii="Arial" w:cs="Arial" w:eastAsia="Arial" w:hAnsi="Arial"/>
                <w:sz w:val="13"/>
                <w:szCs w:val="13"/>
                <w:color w:val="auto"/>
                <w:w w:val="99"/>
              </w:rPr>
              <w:t>(1.9%)</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Gross Profit Rate</w:t>
            </w:r>
          </w:p>
        </w:tc>
        <w:tc>
          <w:tcPr>
            <w:tcW w:w="3340" w:type="dxa"/>
            <w:vAlign w:val="bottom"/>
          </w:tcPr>
          <w:p>
            <w:pPr>
              <w:jc w:val="center"/>
              <w:ind w:left="1634"/>
              <w:spacing w:after="0"/>
              <w:rPr>
                <w:sz w:val="20"/>
                <w:szCs w:val="20"/>
                <w:color w:val="auto"/>
              </w:rPr>
            </w:pPr>
            <w:r>
              <w:rPr>
                <w:rFonts w:ascii="Arial" w:cs="Arial" w:eastAsia="Arial" w:hAnsi="Arial"/>
                <w:sz w:val="13"/>
                <w:szCs w:val="13"/>
                <w:color w:val="auto"/>
                <w:w w:val="97"/>
              </w:rPr>
              <w:t>20.1%</w:t>
            </w:r>
          </w:p>
        </w:tc>
        <w:tc>
          <w:tcPr>
            <w:tcW w:w="1040" w:type="dxa"/>
            <w:vAlign w:val="bottom"/>
          </w:tcPr>
          <w:p>
            <w:pPr>
              <w:ind w:left="200"/>
              <w:spacing w:after="0"/>
              <w:rPr>
                <w:sz w:val="20"/>
                <w:szCs w:val="20"/>
                <w:color w:val="auto"/>
              </w:rPr>
            </w:pPr>
            <w:r>
              <w:rPr>
                <w:rFonts w:ascii="Arial" w:cs="Arial" w:eastAsia="Arial" w:hAnsi="Arial"/>
                <w:sz w:val="13"/>
                <w:szCs w:val="13"/>
                <w:color w:val="auto"/>
              </w:rPr>
              <w:t>(30) bps</w:t>
            </w:r>
          </w:p>
        </w:tc>
        <w:tc>
          <w:tcPr>
            <w:tcW w:w="1180" w:type="dxa"/>
            <w:vAlign w:val="bottom"/>
          </w:tcPr>
          <w:p>
            <w:pPr>
              <w:jc w:val="center"/>
              <w:ind w:left="54"/>
              <w:spacing w:after="0"/>
              <w:rPr>
                <w:sz w:val="20"/>
                <w:szCs w:val="20"/>
                <w:color w:val="auto"/>
              </w:rPr>
            </w:pPr>
            <w:r>
              <w:rPr>
                <w:rFonts w:ascii="Arial" w:cs="Arial" w:eastAsia="Arial" w:hAnsi="Arial"/>
                <w:sz w:val="13"/>
                <w:szCs w:val="13"/>
                <w:color w:val="auto"/>
                <w:w w:val="98"/>
              </w:rPr>
              <w:t>(30) bps</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Loss from Operations</w:t>
            </w:r>
          </w:p>
        </w:tc>
        <w:tc>
          <w:tcPr>
            <w:tcW w:w="3340" w:type="dxa"/>
            <w:vAlign w:val="bottom"/>
          </w:tcPr>
          <w:p>
            <w:pPr>
              <w:jc w:val="center"/>
              <w:ind w:left="1634"/>
              <w:spacing w:after="0"/>
              <w:rPr>
                <w:sz w:val="20"/>
                <w:szCs w:val="20"/>
                <w:color w:val="auto"/>
              </w:rPr>
            </w:pPr>
            <w:r>
              <w:rPr>
                <w:rFonts w:ascii="Arial" w:cs="Arial" w:eastAsia="Arial" w:hAnsi="Arial"/>
                <w:sz w:val="13"/>
                <w:szCs w:val="13"/>
                <w:color w:val="auto"/>
                <w:w w:val="99"/>
              </w:rPr>
              <w:t>($69.8M)</w:t>
            </w:r>
          </w:p>
        </w:tc>
        <w:tc>
          <w:tcPr>
            <w:tcW w:w="1040" w:type="dxa"/>
            <w:vAlign w:val="bottom"/>
          </w:tcPr>
          <w:p>
            <w:pPr>
              <w:jc w:val="center"/>
              <w:ind w:right="114"/>
              <w:spacing w:after="0"/>
              <w:rPr>
                <w:sz w:val="20"/>
                <w:szCs w:val="20"/>
                <w:color w:val="auto"/>
              </w:rPr>
            </w:pPr>
            <w:r>
              <w:rPr>
                <w:rFonts w:ascii="Arial" w:cs="Arial" w:eastAsia="Arial" w:hAnsi="Arial"/>
                <w:sz w:val="13"/>
                <w:szCs w:val="13"/>
                <w:color w:val="auto"/>
              </w:rPr>
              <w:t>(362.3%)</w:t>
            </w:r>
          </w:p>
        </w:tc>
        <w:tc>
          <w:tcPr>
            <w:tcW w:w="1180" w:type="dxa"/>
            <w:vAlign w:val="bottom"/>
          </w:tcPr>
          <w:p>
            <w:pPr>
              <w:jc w:val="center"/>
              <w:ind w:left="54"/>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Diluted Loss per Share</w:t>
            </w:r>
          </w:p>
        </w:tc>
        <w:tc>
          <w:tcPr>
            <w:tcW w:w="3340" w:type="dxa"/>
            <w:vAlign w:val="bottom"/>
          </w:tcPr>
          <w:p>
            <w:pPr>
              <w:jc w:val="center"/>
              <w:ind w:left="1614"/>
              <w:spacing w:after="0"/>
              <w:rPr>
                <w:sz w:val="20"/>
                <w:szCs w:val="20"/>
                <w:color w:val="auto"/>
              </w:rPr>
            </w:pPr>
            <w:r>
              <w:rPr>
                <w:rFonts w:ascii="Arial" w:cs="Arial" w:eastAsia="Arial" w:hAnsi="Arial"/>
                <w:sz w:val="13"/>
                <w:szCs w:val="13"/>
                <w:color w:val="auto"/>
              </w:rPr>
              <w:t>($7.24)</w:t>
            </w:r>
          </w:p>
        </w:tc>
        <w:tc>
          <w:tcPr>
            <w:tcW w:w="1040" w:type="dxa"/>
            <w:vAlign w:val="bottom"/>
          </w:tcPr>
          <w:p>
            <w:pPr>
              <w:jc w:val="center"/>
              <w:ind w:right="114"/>
              <w:spacing w:after="0"/>
              <w:rPr>
                <w:sz w:val="20"/>
                <w:szCs w:val="20"/>
                <w:color w:val="auto"/>
              </w:rPr>
            </w:pPr>
            <w:r>
              <w:rPr>
                <w:rFonts w:ascii="Arial" w:cs="Arial" w:eastAsia="Arial" w:hAnsi="Arial"/>
                <w:sz w:val="13"/>
                <w:szCs w:val="13"/>
                <w:color w:val="auto"/>
              </w:rPr>
              <w:t>($7.22)</w:t>
            </w:r>
          </w:p>
        </w:tc>
        <w:tc>
          <w:tcPr>
            <w:tcW w:w="1180" w:type="dxa"/>
            <w:vAlign w:val="bottom"/>
          </w:tcPr>
          <w:p>
            <w:pPr>
              <w:jc w:val="center"/>
              <w:ind w:left="54"/>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Adjusted EBITDA</w:t>
            </w:r>
          </w:p>
        </w:tc>
        <w:tc>
          <w:tcPr>
            <w:tcW w:w="3340" w:type="dxa"/>
            <w:vAlign w:val="bottom"/>
          </w:tcPr>
          <w:p>
            <w:pPr>
              <w:jc w:val="center"/>
              <w:ind w:left="1634"/>
              <w:spacing w:after="0"/>
              <w:rPr>
                <w:sz w:val="20"/>
                <w:szCs w:val="20"/>
                <w:color w:val="auto"/>
              </w:rPr>
            </w:pPr>
            <w:r>
              <w:rPr>
                <w:rFonts w:ascii="Arial" w:cs="Arial" w:eastAsia="Arial" w:hAnsi="Arial"/>
                <w:sz w:val="13"/>
                <w:szCs w:val="13"/>
                <w:color w:val="auto"/>
              </w:rPr>
              <w:t>$109.4M</w:t>
            </w:r>
          </w:p>
        </w:tc>
        <w:tc>
          <w:tcPr>
            <w:tcW w:w="1040" w:type="dxa"/>
            <w:vAlign w:val="bottom"/>
          </w:tcPr>
          <w:p>
            <w:pPr>
              <w:spacing w:after="0"/>
              <w:rPr>
                <w:sz w:val="18"/>
                <w:szCs w:val="18"/>
                <w:color w:val="auto"/>
              </w:rPr>
            </w:pPr>
          </w:p>
        </w:tc>
        <w:tc>
          <w:tcPr>
            <w:tcW w:w="1180" w:type="dxa"/>
            <w:vAlign w:val="bottom"/>
          </w:tcPr>
          <w:p>
            <w:pPr>
              <w:jc w:val="center"/>
              <w:ind w:left="54"/>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60"/>
              <w:spacing w:after="0"/>
              <w:rPr>
                <w:sz w:val="20"/>
                <w:szCs w:val="20"/>
                <w:color w:val="auto"/>
              </w:rPr>
            </w:pPr>
            <w:r>
              <w:rPr>
                <w:rFonts w:ascii="Arial" w:cs="Arial" w:eastAsia="Arial" w:hAnsi="Arial"/>
                <w:sz w:val="13"/>
                <w:szCs w:val="13"/>
                <w:b w:val="1"/>
                <w:bCs w:val="1"/>
                <w:color w:val="auto"/>
              </w:rPr>
              <w:t>Adjusted EBITDA Margin</w:t>
            </w:r>
          </w:p>
        </w:tc>
        <w:tc>
          <w:tcPr>
            <w:tcW w:w="3340" w:type="dxa"/>
            <w:vAlign w:val="bottom"/>
          </w:tcPr>
          <w:p>
            <w:pPr>
              <w:jc w:val="center"/>
              <w:ind w:left="1614"/>
              <w:spacing w:after="0"/>
              <w:rPr>
                <w:sz w:val="20"/>
                <w:szCs w:val="20"/>
                <w:color w:val="auto"/>
              </w:rPr>
            </w:pPr>
            <w:r>
              <w:rPr>
                <w:rFonts w:ascii="Arial" w:cs="Arial" w:eastAsia="Arial" w:hAnsi="Arial"/>
                <w:sz w:val="13"/>
                <w:szCs w:val="13"/>
                <w:color w:val="auto"/>
              </w:rPr>
              <w:t>2.6%</w:t>
            </w:r>
          </w:p>
        </w:tc>
        <w:tc>
          <w:tcPr>
            <w:tcW w:w="1040" w:type="dxa"/>
            <w:vAlign w:val="bottom"/>
          </w:tcPr>
          <w:p>
            <w:pPr>
              <w:spacing w:after="0"/>
              <w:rPr>
                <w:sz w:val="18"/>
                <w:szCs w:val="18"/>
                <w:color w:val="auto"/>
              </w:rPr>
            </w:pPr>
          </w:p>
        </w:tc>
        <w:tc>
          <w:tcPr>
            <w:tcW w:w="1180" w:type="dxa"/>
            <w:vAlign w:val="bottom"/>
          </w:tcPr>
          <w:p>
            <w:pPr>
              <w:jc w:val="center"/>
              <w:ind w:left="54"/>
              <w:spacing w:after="0"/>
              <w:rPr>
                <w:sz w:val="20"/>
                <w:szCs w:val="20"/>
                <w:color w:val="auto"/>
              </w:rPr>
            </w:pPr>
            <w:r>
              <w:rPr>
                <w:rFonts w:ascii="Arial" w:cs="Arial" w:eastAsia="Arial" w:hAnsi="Arial"/>
                <w:sz w:val="13"/>
                <w:szCs w:val="13"/>
                <w:color w:val="auto"/>
                <w:w w:val="98"/>
              </w:rPr>
              <w:t>(70) bps</w:t>
            </w:r>
          </w:p>
        </w:tc>
        <w:tc>
          <w:tcPr>
            <w:tcW w:w="0" w:type="dxa"/>
            <w:vAlign w:val="bottom"/>
          </w:tcPr>
          <w:p>
            <w:pPr>
              <w:spacing w:after="0"/>
              <w:rPr>
                <w:sz w:val="1"/>
                <w:szCs w:val="1"/>
                <w:color w:val="auto"/>
              </w:rPr>
            </w:pPr>
          </w:p>
        </w:tc>
      </w:tr>
      <w:tr>
        <w:trPr>
          <w:trHeight w:val="39"/>
        </w:trPr>
        <w:tc>
          <w:tcPr>
            <w:tcW w:w="4580" w:type="dxa"/>
            <w:vAlign w:val="bottom"/>
            <w:tcBorders>
              <w:bottom w:val="single" w:sz="8" w:color="7F7F7F"/>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60" w:hanging="296"/>
        <w:spacing w:after="0"/>
        <w:tabs>
          <w:tab w:leader="none" w:pos="860" w:val="left"/>
        </w:tabs>
        <w:numPr>
          <w:ilvl w:val="0"/>
          <w:numId w:val="16"/>
        </w:numPr>
        <w:rPr>
          <w:rFonts w:ascii="Arial" w:cs="Arial" w:eastAsia="Arial" w:hAnsi="Arial"/>
          <w:sz w:val="17"/>
          <w:szCs w:val="17"/>
          <w:color w:val="auto"/>
          <w:vertAlign w:val="superscript"/>
        </w:rPr>
      </w:pPr>
      <w:r>
        <w:rPr>
          <w:rFonts w:ascii="Arial" w:cs="Arial" w:eastAsia="Arial" w:hAnsi="Arial"/>
          <w:sz w:val="12"/>
          <w:szCs w:val="12"/>
          <w:color w:val="auto"/>
        </w:rPr>
        <w:t>See reconciliation of Non-GAAP Measures included in Form 8-K dated February 12, 2026.</w:t>
      </w:r>
    </w:p>
    <w:p>
      <w:pPr>
        <w:spacing w:after="0" w:line="99" w:lineRule="exact"/>
        <w:rPr>
          <w:sz w:val="20"/>
          <w:szCs w:val="20"/>
          <w:color w:val="auto"/>
        </w:rPr>
      </w:pPr>
    </w:p>
    <w:tbl>
      <w:tblPr>
        <w:tblLayout w:type="fixed"/>
        <w:tblInd w:w="9160" w:type="dxa"/>
        <w:tblCellMar>
          <w:top w:w="0" w:type="dxa"/>
          <w:left w:w="0" w:type="dxa"/>
          <w:bottom w:w="0" w:type="dxa"/>
          <w:right w:w="0" w:type="dxa"/>
        </w:tblCellMar>
      </w:tblPr>
      <w:tr>
        <w:trPr>
          <w:trHeight w:val="26"/>
        </w:trPr>
        <w:tc>
          <w:tcPr>
            <w:tcW w:w="440" w:type="dxa"/>
            <w:vAlign w:val="bottom"/>
            <w:vMerge w:val="restart"/>
          </w:tcPr>
          <w:p>
            <w:pPr>
              <w:spacing w:after="0"/>
              <w:rPr>
                <w:sz w:val="20"/>
                <w:szCs w:val="20"/>
                <w:color w:val="auto"/>
              </w:rPr>
            </w:pPr>
            <w:r>
              <w:rPr>
                <w:rFonts w:ascii="Arial" w:cs="Arial" w:eastAsia="Arial" w:hAnsi="Arial"/>
                <w:sz w:val="20"/>
                <w:szCs w:val="20"/>
                <w:color w:val="auto"/>
              </w:rPr>
              <w:t> </w:t>
            </w:r>
          </w:p>
        </w:tc>
        <w:tc>
          <w:tcPr>
            <w:tcW w:w="660" w:type="dxa"/>
            <w:vAlign w:val="bottom"/>
            <w:vMerge w:val="restart"/>
          </w:tcPr>
          <w:p>
            <w:pPr>
              <w:ind w:left="40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line="20" w:lineRule="exact"/>
              <w:rPr>
                <w:sz w:val="1"/>
                <w:szCs w:val="1"/>
                <w:color w:val="auto"/>
              </w:rPr>
            </w:pPr>
          </w:p>
        </w:tc>
      </w:tr>
      <w:tr>
        <w:trPr>
          <w:trHeight w:val="238"/>
        </w:trPr>
        <w:tc>
          <w:tcPr>
            <w:tcW w:w="4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-212090</wp:posOffset>
            </wp:positionV>
            <wp:extent cx="377825" cy="180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Proxy Summary</w:t>
      </w:r>
    </w:p>
    <w:p>
      <w:pPr>
        <w:spacing w:after="0" w:line="200" w:lineRule="exact"/>
        <w:rPr>
          <w:sz w:val="20"/>
          <w:szCs w:val="20"/>
          <w:color w:val="auto"/>
        </w:rPr>
      </w:pPr>
    </w:p>
    <w:p>
      <w:pPr>
        <w:spacing w:after="0" w:line="37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Our Operating Model Aligns to these Specialties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(As Reported, by Business Unit)</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4060" w:type="dxa"/>
            <w:vAlign w:val="bottom"/>
            <w:tcBorders>
              <w:right w:val="single" w:sz="8" w:color="00552B"/>
            </w:tcBorders>
          </w:tcPr>
          <w:p>
            <w:pPr>
              <w:spacing w:after="0"/>
              <w:rPr>
                <w:sz w:val="15"/>
                <w:szCs w:val="15"/>
                <w:color w:val="auto"/>
              </w:rPr>
            </w:pPr>
          </w:p>
        </w:tc>
        <w:tc>
          <w:tcPr>
            <w:tcW w:w="2040" w:type="dxa"/>
            <w:vAlign w:val="bottom"/>
            <w:tcBorders>
              <w:top w:val="single" w:sz="8" w:color="00552B"/>
              <w:right w:val="single" w:sz="8" w:color="00552B"/>
            </w:tcBorders>
            <w:gridSpan w:val="2"/>
            <w:shd w:val="clear" w:color="auto" w:fill="EAEAE9"/>
          </w:tcPr>
          <w:p>
            <w:pPr>
              <w:ind w:left="80"/>
              <w:spacing w:after="0" w:line="182" w:lineRule="exact"/>
              <w:rPr>
                <w:sz w:val="20"/>
                <w:szCs w:val="20"/>
                <w:color w:val="auto"/>
              </w:rPr>
            </w:pPr>
            <w:r>
              <w:rPr>
                <w:rFonts w:ascii="Arial" w:cs="Arial" w:eastAsia="Arial" w:hAnsi="Arial"/>
                <w:sz w:val="17"/>
                <w:szCs w:val="17"/>
                <w:b w:val="1"/>
                <w:bCs w:val="1"/>
                <w:color w:val="00AE4F"/>
              </w:rPr>
              <w:t xml:space="preserve">Kelly </w:t>
            </w:r>
            <w:r>
              <w:rPr>
                <w:rFonts w:ascii="Arial" w:cs="Arial" w:eastAsia="Arial" w:hAnsi="Arial"/>
                <w:sz w:val="17"/>
                <w:szCs w:val="17"/>
                <w:b w:val="1"/>
                <w:bCs w:val="1"/>
                <w:color w:val="000000"/>
              </w:rPr>
              <w:t>Enterprise</w:t>
            </w:r>
          </w:p>
        </w:tc>
        <w:tc>
          <w:tcPr>
            <w:tcW w:w="2000" w:type="dxa"/>
            <w:vAlign w:val="bottom"/>
            <w:tcBorders>
              <w:top w:val="single" w:sz="8" w:color="00AE4F"/>
            </w:tcBorders>
            <w:gridSpan w:val="2"/>
            <w:shd w:val="clear" w:color="auto" w:fill="E5F6ED"/>
          </w:tcPr>
          <w:p>
            <w:pPr>
              <w:ind w:left="80"/>
              <w:spacing w:after="0" w:line="182" w:lineRule="exact"/>
              <w:rPr>
                <w:sz w:val="20"/>
                <w:szCs w:val="20"/>
                <w:color w:val="auto"/>
              </w:rPr>
            </w:pPr>
            <w:r>
              <w:rPr>
                <w:rFonts w:ascii="Arial" w:cs="Arial" w:eastAsia="Arial" w:hAnsi="Arial"/>
                <w:sz w:val="17"/>
                <w:szCs w:val="17"/>
                <w:b w:val="1"/>
                <w:bCs w:val="1"/>
                <w:color w:val="00AE4F"/>
              </w:rPr>
              <w:t xml:space="preserve">Kelly </w:t>
            </w:r>
            <w:r>
              <w:rPr>
                <w:rFonts w:ascii="Arial" w:cs="Arial" w:eastAsia="Arial" w:hAnsi="Arial"/>
                <w:sz w:val="17"/>
                <w:szCs w:val="17"/>
                <w:b w:val="1"/>
                <w:bCs w:val="1"/>
                <w:color w:val="000000"/>
              </w:rPr>
              <w:t>Science,</w:t>
            </w:r>
          </w:p>
        </w:tc>
        <w:tc>
          <w:tcPr>
            <w:tcW w:w="200" w:type="dxa"/>
            <w:vAlign w:val="bottom"/>
            <w:tcBorders>
              <w:top w:val="single" w:sz="8" w:color="00AE4F"/>
            </w:tcBorders>
            <w:shd w:val="clear" w:color="auto" w:fill="E5F6ED"/>
          </w:tcPr>
          <w:p>
            <w:pPr>
              <w:spacing w:after="0"/>
              <w:rPr>
                <w:sz w:val="15"/>
                <w:szCs w:val="15"/>
                <w:color w:val="auto"/>
              </w:rPr>
            </w:pPr>
          </w:p>
        </w:tc>
        <w:tc>
          <w:tcPr>
            <w:tcW w:w="1860" w:type="dxa"/>
            <w:vAlign w:val="bottom"/>
            <w:tcBorders>
              <w:top w:val="single" w:sz="8" w:color="00AE4F"/>
              <w:right w:val="single" w:sz="8" w:color="00AE4F"/>
            </w:tcBorders>
            <w:shd w:val="clear" w:color="auto" w:fill="E5F6ED"/>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60" w:type="dxa"/>
            <w:vAlign w:val="bottom"/>
            <w:tcBorders>
              <w:right w:val="single" w:sz="8" w:color="00552B"/>
            </w:tcBorders>
          </w:tcPr>
          <w:p>
            <w:pPr>
              <w:spacing w:after="0"/>
              <w:rPr>
                <w:sz w:val="16"/>
                <w:szCs w:val="16"/>
                <w:color w:val="auto"/>
              </w:rPr>
            </w:pPr>
          </w:p>
        </w:tc>
        <w:tc>
          <w:tcPr>
            <w:tcW w:w="2040" w:type="dxa"/>
            <w:vAlign w:val="bottom"/>
            <w:tcBorders>
              <w:right w:val="single" w:sz="8" w:color="00552B"/>
            </w:tcBorders>
            <w:gridSpan w:val="2"/>
            <w:shd w:val="clear" w:color="auto" w:fill="EAEAE9"/>
          </w:tcPr>
          <w:p>
            <w:pPr>
              <w:ind w:left="80"/>
              <w:spacing w:after="0" w:line="186" w:lineRule="exact"/>
              <w:rPr>
                <w:sz w:val="20"/>
                <w:szCs w:val="20"/>
                <w:color w:val="auto"/>
              </w:rPr>
            </w:pPr>
            <w:r>
              <w:rPr>
                <w:rFonts w:ascii="Arial" w:cs="Arial" w:eastAsia="Arial" w:hAnsi="Arial"/>
                <w:sz w:val="17"/>
                <w:szCs w:val="17"/>
                <w:b w:val="1"/>
                <w:bCs w:val="1"/>
                <w:color w:val="auto"/>
              </w:rPr>
              <w:t>Talent Management</w:t>
            </w:r>
          </w:p>
        </w:tc>
        <w:tc>
          <w:tcPr>
            <w:tcW w:w="2000" w:type="dxa"/>
            <w:vAlign w:val="bottom"/>
            <w:gridSpan w:val="2"/>
            <w:shd w:val="clear" w:color="auto" w:fill="E5F6ED"/>
          </w:tcPr>
          <w:p>
            <w:pPr>
              <w:ind w:left="80"/>
              <w:spacing w:after="0" w:line="186" w:lineRule="exact"/>
              <w:rPr>
                <w:sz w:val="20"/>
                <w:szCs w:val="20"/>
                <w:color w:val="auto"/>
              </w:rPr>
            </w:pPr>
            <w:r>
              <w:rPr>
                <w:rFonts w:ascii="Arial" w:cs="Arial" w:eastAsia="Arial" w:hAnsi="Arial"/>
                <w:sz w:val="17"/>
                <w:szCs w:val="17"/>
                <w:b w:val="1"/>
                <w:bCs w:val="1"/>
                <w:color w:val="auto"/>
              </w:rPr>
              <w:t>Engineering &amp;</w:t>
            </w:r>
          </w:p>
        </w:tc>
        <w:tc>
          <w:tcPr>
            <w:tcW w:w="2060" w:type="dxa"/>
            <w:vAlign w:val="bottom"/>
            <w:tcBorders>
              <w:right w:val="single" w:sz="8" w:color="00AE4F"/>
            </w:tcBorders>
            <w:gridSpan w:val="2"/>
            <w:shd w:val="clear" w:color="auto" w:fill="E5F6ED"/>
          </w:tcPr>
          <w:p>
            <w:pPr>
              <w:ind w:left="100"/>
              <w:spacing w:after="0" w:line="186" w:lineRule="exact"/>
              <w:rPr>
                <w:sz w:val="20"/>
                <w:szCs w:val="20"/>
                <w:color w:val="auto"/>
              </w:rPr>
            </w:pPr>
            <w:r>
              <w:rPr>
                <w:rFonts w:ascii="Arial" w:cs="Arial" w:eastAsia="Arial" w:hAnsi="Arial"/>
                <w:sz w:val="17"/>
                <w:szCs w:val="17"/>
                <w:b w:val="1"/>
                <w:bCs w:val="1"/>
                <w:color w:val="00AE4F"/>
              </w:rPr>
              <w:t xml:space="preserve">Kelly </w:t>
            </w:r>
            <w:r>
              <w:rPr>
                <w:rFonts w:ascii="Arial" w:cs="Arial" w:eastAsia="Arial" w:hAnsi="Arial"/>
                <w:sz w:val="17"/>
                <w:szCs w:val="17"/>
                <w:b w:val="1"/>
                <w:bCs w:val="1"/>
                <w:color w:val="000000"/>
              </w:rPr>
              <w:t>Education</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right w:val="single" w:sz="8" w:color="00552B"/>
            </w:tcBorders>
          </w:tcPr>
          <w:p>
            <w:pPr>
              <w:spacing w:after="0"/>
              <w:rPr>
                <w:sz w:val="17"/>
                <w:szCs w:val="17"/>
                <w:color w:val="auto"/>
              </w:rPr>
            </w:pPr>
          </w:p>
        </w:tc>
        <w:tc>
          <w:tcPr>
            <w:tcW w:w="2040" w:type="dxa"/>
            <w:vAlign w:val="bottom"/>
            <w:tcBorders>
              <w:bottom w:val="single" w:sz="8" w:color="auto"/>
              <w:right w:val="single" w:sz="8" w:color="00552B"/>
            </w:tcBorders>
            <w:gridSpan w:val="2"/>
            <w:shd w:val="clear" w:color="auto" w:fill="EAEAE9"/>
          </w:tcPr>
          <w:p>
            <w:pPr>
              <w:ind w:left="80"/>
              <w:spacing w:after="0"/>
              <w:rPr>
                <w:sz w:val="20"/>
                <w:szCs w:val="20"/>
                <w:color w:val="auto"/>
              </w:rPr>
            </w:pPr>
            <w:r>
              <w:rPr>
                <w:rFonts w:ascii="Arial" w:cs="Arial" w:eastAsia="Arial" w:hAnsi="Arial"/>
                <w:sz w:val="17"/>
                <w:szCs w:val="17"/>
                <w:b w:val="1"/>
                <w:bCs w:val="1"/>
                <w:color w:val="auto"/>
              </w:rPr>
              <w:t>(ETM)</w:t>
            </w:r>
          </w:p>
        </w:tc>
        <w:tc>
          <w:tcPr>
            <w:tcW w:w="2000" w:type="dxa"/>
            <w:vAlign w:val="bottom"/>
            <w:tcBorders>
              <w:bottom w:val="single" w:sz="8" w:color="auto"/>
            </w:tcBorders>
            <w:gridSpan w:val="2"/>
            <w:shd w:val="clear" w:color="auto" w:fill="E5F6ED"/>
          </w:tcPr>
          <w:p>
            <w:pPr>
              <w:ind w:left="80"/>
              <w:spacing w:after="0"/>
              <w:rPr>
                <w:sz w:val="20"/>
                <w:szCs w:val="20"/>
                <w:color w:val="auto"/>
              </w:rPr>
            </w:pPr>
            <w:r>
              <w:rPr>
                <w:rFonts w:ascii="Arial" w:cs="Arial" w:eastAsia="Arial" w:hAnsi="Arial"/>
                <w:sz w:val="17"/>
                <w:szCs w:val="17"/>
                <w:b w:val="1"/>
                <w:bCs w:val="1"/>
                <w:color w:val="auto"/>
              </w:rPr>
              <w:t>Technology (SET)</w:t>
            </w:r>
          </w:p>
        </w:tc>
        <w:tc>
          <w:tcPr>
            <w:tcW w:w="2060" w:type="dxa"/>
            <w:vAlign w:val="bottom"/>
            <w:tcBorders>
              <w:bottom w:val="single" w:sz="8" w:color="auto"/>
              <w:right w:val="single" w:sz="8" w:color="00AE4F"/>
            </w:tcBorders>
            <w:gridSpan w:val="2"/>
            <w:shd w:val="clear" w:color="auto" w:fill="E5F6ED"/>
          </w:tcPr>
          <w:p>
            <w:pPr>
              <w:ind w:left="100"/>
              <w:spacing w:after="0"/>
              <w:rPr>
                <w:sz w:val="20"/>
                <w:szCs w:val="20"/>
                <w:color w:val="auto"/>
              </w:rPr>
            </w:pPr>
            <w:r>
              <w:rPr>
                <w:rFonts w:ascii="Arial" w:cs="Arial" w:eastAsia="Arial" w:hAnsi="Arial"/>
                <w:sz w:val="17"/>
                <w:szCs w:val="17"/>
                <w:b w:val="1"/>
                <w:bCs w:val="1"/>
                <w:color w:val="auto"/>
              </w:rPr>
              <w:t>(EDU)</w:t>
            </w:r>
          </w:p>
        </w:tc>
        <w:tc>
          <w:tcPr>
            <w:tcW w:w="0" w:type="dxa"/>
            <w:vAlign w:val="bottom"/>
          </w:tcPr>
          <w:p>
            <w:pPr>
              <w:spacing w:after="0"/>
              <w:rPr>
                <w:sz w:val="1"/>
                <w:szCs w:val="1"/>
                <w:color w:val="auto"/>
              </w:rPr>
            </w:pPr>
          </w:p>
        </w:tc>
      </w:tr>
      <w:tr>
        <w:trPr>
          <w:trHeight w:val="253"/>
        </w:trPr>
        <w:tc>
          <w:tcPr>
            <w:tcW w:w="4060" w:type="dxa"/>
            <w:vAlign w:val="bottom"/>
            <w:tcBorders>
              <w:bottom w:val="single" w:sz="8" w:color="7F7F7F"/>
              <w:right w:val="single" w:sz="8" w:color="00552B"/>
            </w:tcBorders>
          </w:tcPr>
          <w:p>
            <w:pPr>
              <w:ind w:left="6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9"/>
                <w:szCs w:val="19"/>
                <w:b w:val="1"/>
                <w:bCs w:val="1"/>
                <w:color w:val="auto"/>
                <w:vertAlign w:val="superscript"/>
              </w:rPr>
              <w:t>(1)</w:t>
            </w:r>
          </w:p>
        </w:tc>
        <w:tc>
          <w:tcPr>
            <w:tcW w:w="2040" w:type="dxa"/>
            <w:vAlign w:val="bottom"/>
            <w:tcBorders>
              <w:bottom w:val="single" w:sz="8" w:color="7F7F7F"/>
              <w:right w:val="single" w:sz="8" w:color="00552B"/>
            </w:tcBorders>
            <w:gridSpan w:val="2"/>
            <w:shd w:val="clear" w:color="auto" w:fill="EAEAE9"/>
          </w:tcPr>
          <w:p>
            <w:pPr>
              <w:ind w:left="80"/>
              <w:spacing w:after="0"/>
              <w:rPr>
                <w:sz w:val="20"/>
                <w:szCs w:val="20"/>
                <w:color w:val="auto"/>
              </w:rPr>
            </w:pPr>
            <w:r>
              <w:rPr>
                <w:rFonts w:ascii="Arial" w:cs="Arial" w:eastAsia="Arial" w:hAnsi="Arial"/>
                <w:sz w:val="13"/>
                <w:szCs w:val="13"/>
                <w:color w:val="auto"/>
              </w:rPr>
              <w:t>$2.0B</w:t>
            </w:r>
          </w:p>
        </w:tc>
        <w:tc>
          <w:tcPr>
            <w:tcW w:w="2000" w:type="dxa"/>
            <w:vAlign w:val="bottom"/>
            <w:tcBorders>
              <w:bottom w:val="single" w:sz="8" w:color="7F7F7F"/>
            </w:tcBorders>
            <w:gridSpan w:val="2"/>
            <w:shd w:val="clear" w:color="auto" w:fill="E5F6ED"/>
          </w:tcPr>
          <w:p>
            <w:pPr>
              <w:ind w:left="80"/>
              <w:spacing w:after="0"/>
              <w:rPr>
                <w:sz w:val="20"/>
                <w:szCs w:val="20"/>
                <w:color w:val="auto"/>
              </w:rPr>
            </w:pPr>
            <w:r>
              <w:rPr>
                <w:rFonts w:ascii="Arial" w:cs="Arial" w:eastAsia="Arial" w:hAnsi="Arial"/>
                <w:sz w:val="13"/>
                <w:szCs w:val="13"/>
                <w:color w:val="auto"/>
              </w:rPr>
              <w:t>$1.2B</w:t>
            </w:r>
          </w:p>
        </w:tc>
        <w:tc>
          <w:tcPr>
            <w:tcW w:w="2060" w:type="dxa"/>
            <w:vAlign w:val="bottom"/>
            <w:tcBorders>
              <w:bottom w:val="single" w:sz="8" w:color="7F7F7F"/>
              <w:right w:val="single" w:sz="8" w:color="00AE4F"/>
            </w:tcBorders>
            <w:gridSpan w:val="2"/>
            <w:shd w:val="clear" w:color="auto" w:fill="E5F6ED"/>
          </w:tcPr>
          <w:p>
            <w:pPr>
              <w:ind w:left="100"/>
              <w:spacing w:after="0"/>
              <w:rPr>
                <w:sz w:val="20"/>
                <w:szCs w:val="20"/>
                <w:color w:val="auto"/>
              </w:rPr>
            </w:pPr>
            <w:r>
              <w:rPr>
                <w:rFonts w:ascii="Arial" w:cs="Arial" w:eastAsia="Arial" w:hAnsi="Arial"/>
                <w:sz w:val="13"/>
                <w:szCs w:val="13"/>
                <w:color w:val="auto"/>
              </w:rPr>
              <w:t>$1.0B</w:t>
            </w:r>
          </w:p>
        </w:tc>
        <w:tc>
          <w:tcPr>
            <w:tcW w:w="0" w:type="dxa"/>
            <w:vAlign w:val="bottom"/>
          </w:tcPr>
          <w:p>
            <w:pPr>
              <w:spacing w:after="0"/>
              <w:rPr>
                <w:sz w:val="1"/>
                <w:szCs w:val="1"/>
                <w:color w:val="auto"/>
              </w:rPr>
            </w:pPr>
          </w:p>
        </w:tc>
      </w:tr>
      <w:tr>
        <w:trPr>
          <w:trHeight w:val="253"/>
        </w:trPr>
        <w:tc>
          <w:tcPr>
            <w:tcW w:w="4060" w:type="dxa"/>
            <w:vAlign w:val="bottom"/>
            <w:tcBorders>
              <w:right w:val="single" w:sz="8" w:color="00552B"/>
            </w:tcBorders>
          </w:tcPr>
          <w:p>
            <w:pPr>
              <w:ind w:left="60"/>
              <w:spacing w:after="0"/>
              <w:rPr>
                <w:sz w:val="20"/>
                <w:szCs w:val="20"/>
                <w:color w:val="auto"/>
              </w:rPr>
            </w:pPr>
            <w:r>
              <w:rPr>
                <w:rFonts w:ascii="Arial" w:cs="Arial" w:eastAsia="Arial" w:hAnsi="Arial"/>
                <w:sz w:val="13"/>
                <w:szCs w:val="13"/>
                <w:b w:val="1"/>
                <w:bCs w:val="1"/>
                <w:color w:val="auto"/>
              </w:rPr>
              <w:t>GP Margin</w:t>
            </w:r>
          </w:p>
        </w:tc>
        <w:tc>
          <w:tcPr>
            <w:tcW w:w="2040" w:type="dxa"/>
            <w:vAlign w:val="bottom"/>
            <w:tcBorders>
              <w:bottom w:val="single" w:sz="8" w:color="EAEAE9"/>
              <w:right w:val="single" w:sz="8" w:color="00552B"/>
            </w:tcBorders>
            <w:gridSpan w:val="2"/>
            <w:shd w:val="clear" w:color="auto" w:fill="EAEAE9"/>
          </w:tcPr>
          <w:p>
            <w:pPr>
              <w:ind w:left="80"/>
              <w:spacing w:after="0"/>
              <w:rPr>
                <w:sz w:val="20"/>
                <w:szCs w:val="20"/>
                <w:color w:val="auto"/>
              </w:rPr>
            </w:pPr>
            <w:r>
              <w:rPr>
                <w:rFonts w:ascii="Arial" w:cs="Arial" w:eastAsia="Arial" w:hAnsi="Arial"/>
                <w:sz w:val="13"/>
                <w:szCs w:val="13"/>
                <w:color w:val="auto"/>
              </w:rPr>
              <w:t>19.6%</w:t>
            </w:r>
          </w:p>
        </w:tc>
        <w:tc>
          <w:tcPr>
            <w:tcW w:w="2000" w:type="dxa"/>
            <w:vAlign w:val="bottom"/>
            <w:tcBorders>
              <w:bottom w:val="single" w:sz="8" w:color="E5F6ED"/>
            </w:tcBorders>
            <w:gridSpan w:val="2"/>
            <w:shd w:val="clear" w:color="auto" w:fill="E5F6ED"/>
          </w:tcPr>
          <w:p>
            <w:pPr>
              <w:ind w:left="80"/>
              <w:spacing w:after="0"/>
              <w:rPr>
                <w:sz w:val="20"/>
                <w:szCs w:val="20"/>
                <w:color w:val="auto"/>
              </w:rPr>
            </w:pPr>
            <w:r>
              <w:rPr>
                <w:rFonts w:ascii="Arial" w:cs="Arial" w:eastAsia="Arial" w:hAnsi="Arial"/>
                <w:sz w:val="13"/>
                <w:szCs w:val="13"/>
                <w:color w:val="auto"/>
              </w:rPr>
              <w:t>25.3%</w:t>
            </w:r>
          </w:p>
        </w:tc>
        <w:tc>
          <w:tcPr>
            <w:tcW w:w="2060" w:type="dxa"/>
            <w:vAlign w:val="bottom"/>
            <w:tcBorders>
              <w:bottom w:val="single" w:sz="8" w:color="E5F6ED"/>
              <w:right w:val="single" w:sz="8" w:color="00AE4F"/>
            </w:tcBorders>
            <w:gridSpan w:val="2"/>
            <w:shd w:val="clear" w:color="auto" w:fill="E5F6ED"/>
          </w:tcPr>
          <w:p>
            <w:pPr>
              <w:ind w:left="10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53"/>
        </w:trPr>
        <w:tc>
          <w:tcPr>
            <w:tcW w:w="4060" w:type="dxa"/>
            <w:vAlign w:val="bottom"/>
            <w:tcBorders>
              <w:top w:val="single" w:sz="8" w:color="7F7F7F"/>
              <w:bottom w:val="single" w:sz="8" w:color="7F7F7F"/>
              <w:right w:val="single" w:sz="8" w:color="00552B"/>
            </w:tcBorders>
          </w:tcPr>
          <w:p>
            <w:pPr>
              <w:ind w:left="60"/>
              <w:spacing w:after="0"/>
              <w:rPr>
                <w:sz w:val="20"/>
                <w:szCs w:val="20"/>
                <w:color w:val="auto"/>
              </w:rPr>
            </w:pPr>
            <w:r>
              <w:rPr>
                <w:rFonts w:ascii="Arial" w:cs="Arial" w:eastAsia="Arial" w:hAnsi="Arial"/>
                <w:sz w:val="13"/>
                <w:szCs w:val="13"/>
                <w:b w:val="1"/>
                <w:bCs w:val="1"/>
                <w:color w:val="auto"/>
              </w:rPr>
              <w:t>Adj. EBITDA Margin</w:t>
            </w:r>
            <w:r>
              <w:rPr>
                <w:rFonts w:ascii="Arial" w:cs="Arial" w:eastAsia="Arial" w:hAnsi="Arial"/>
                <w:sz w:val="19"/>
                <w:szCs w:val="19"/>
                <w:b w:val="1"/>
                <w:bCs w:val="1"/>
                <w:color w:val="auto"/>
                <w:vertAlign w:val="superscript"/>
              </w:rPr>
              <w:t>(2)</w:t>
            </w:r>
          </w:p>
        </w:tc>
        <w:tc>
          <w:tcPr>
            <w:tcW w:w="2040" w:type="dxa"/>
            <w:vAlign w:val="bottom"/>
            <w:tcBorders>
              <w:top w:val="single" w:sz="8" w:color="7F7F7F"/>
              <w:bottom w:val="single" w:sz="8" w:color="7F7F7F"/>
              <w:right w:val="single" w:sz="8" w:color="00552B"/>
            </w:tcBorders>
            <w:gridSpan w:val="2"/>
            <w:shd w:val="clear" w:color="auto" w:fill="EAEAE9"/>
          </w:tcPr>
          <w:p>
            <w:pPr>
              <w:ind w:left="80"/>
              <w:spacing w:after="0"/>
              <w:rPr>
                <w:sz w:val="20"/>
                <w:szCs w:val="20"/>
                <w:color w:val="auto"/>
              </w:rPr>
            </w:pPr>
            <w:r>
              <w:rPr>
                <w:rFonts w:ascii="Arial" w:cs="Arial" w:eastAsia="Arial" w:hAnsi="Arial"/>
                <w:sz w:val="13"/>
                <w:szCs w:val="13"/>
                <w:color w:val="auto"/>
              </w:rPr>
              <w:t>1.4%</w:t>
            </w:r>
          </w:p>
        </w:tc>
        <w:tc>
          <w:tcPr>
            <w:tcW w:w="2000" w:type="dxa"/>
            <w:vAlign w:val="bottom"/>
            <w:tcBorders>
              <w:top w:val="single" w:sz="8" w:color="7F7F7F"/>
              <w:bottom w:val="single" w:sz="8" w:color="7F7F7F"/>
            </w:tcBorders>
            <w:gridSpan w:val="2"/>
            <w:shd w:val="clear" w:color="auto" w:fill="E5F6ED"/>
          </w:tcPr>
          <w:p>
            <w:pPr>
              <w:ind w:left="80"/>
              <w:spacing w:after="0"/>
              <w:rPr>
                <w:sz w:val="20"/>
                <w:szCs w:val="20"/>
                <w:color w:val="auto"/>
              </w:rPr>
            </w:pPr>
            <w:r>
              <w:rPr>
                <w:rFonts w:ascii="Arial" w:cs="Arial" w:eastAsia="Arial" w:hAnsi="Arial"/>
                <w:sz w:val="13"/>
                <w:szCs w:val="13"/>
                <w:color w:val="auto"/>
              </w:rPr>
              <w:t>5.5%</w:t>
            </w:r>
          </w:p>
        </w:tc>
        <w:tc>
          <w:tcPr>
            <w:tcW w:w="2060" w:type="dxa"/>
            <w:vAlign w:val="bottom"/>
            <w:tcBorders>
              <w:top w:val="single" w:sz="8" w:color="7F7F7F"/>
              <w:bottom w:val="single" w:sz="8" w:color="7F7F7F"/>
              <w:right w:val="single" w:sz="8" w:color="00AE4F"/>
            </w:tcBorders>
            <w:gridSpan w:val="2"/>
            <w:shd w:val="clear" w:color="auto" w:fill="E5F6ED"/>
          </w:tcPr>
          <w:p>
            <w:pPr>
              <w:ind w:lef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53"/>
        </w:trPr>
        <w:tc>
          <w:tcPr>
            <w:tcW w:w="4060" w:type="dxa"/>
            <w:vAlign w:val="bottom"/>
            <w:tcBorders>
              <w:right w:val="single" w:sz="8" w:color="00552B"/>
            </w:tcBorders>
          </w:tcPr>
          <w:p>
            <w:pPr>
              <w:ind w:left="60"/>
              <w:spacing w:after="0"/>
              <w:rPr>
                <w:sz w:val="20"/>
                <w:szCs w:val="20"/>
                <w:color w:val="auto"/>
              </w:rPr>
            </w:pPr>
            <w:r>
              <w:rPr>
                <w:rFonts w:ascii="Arial" w:cs="Arial" w:eastAsia="Arial" w:hAnsi="Arial"/>
                <w:sz w:val="13"/>
                <w:szCs w:val="13"/>
                <w:b w:val="1"/>
                <w:bCs w:val="1"/>
                <w:color w:val="auto"/>
              </w:rPr>
              <w:t>Geography</w:t>
            </w:r>
          </w:p>
        </w:tc>
        <w:tc>
          <w:tcPr>
            <w:tcW w:w="2040" w:type="dxa"/>
            <w:vAlign w:val="bottom"/>
            <w:tcBorders>
              <w:bottom w:val="single" w:sz="8" w:color="EAEAE9"/>
              <w:right w:val="single" w:sz="8" w:color="00552B"/>
            </w:tcBorders>
            <w:gridSpan w:val="2"/>
            <w:shd w:val="clear" w:color="auto" w:fill="EAEAE9"/>
          </w:tcPr>
          <w:p>
            <w:pPr>
              <w:ind w:left="80"/>
              <w:spacing w:after="0"/>
              <w:rPr>
                <w:sz w:val="20"/>
                <w:szCs w:val="20"/>
                <w:color w:val="auto"/>
              </w:rPr>
            </w:pPr>
            <w:r>
              <w:rPr>
                <w:rFonts w:ascii="Arial" w:cs="Arial" w:eastAsia="Arial" w:hAnsi="Arial"/>
                <w:sz w:val="13"/>
                <w:szCs w:val="13"/>
                <w:color w:val="auto"/>
              </w:rPr>
              <w:t>Global</w:t>
            </w:r>
          </w:p>
        </w:tc>
        <w:tc>
          <w:tcPr>
            <w:tcW w:w="2000" w:type="dxa"/>
            <w:vAlign w:val="bottom"/>
            <w:tcBorders>
              <w:bottom w:val="single" w:sz="8" w:color="E5F6ED"/>
            </w:tcBorders>
            <w:gridSpan w:val="2"/>
            <w:shd w:val="clear" w:color="auto" w:fill="E5F6ED"/>
          </w:tcPr>
          <w:p>
            <w:pPr>
              <w:ind w:left="80"/>
              <w:spacing w:after="0"/>
              <w:rPr>
                <w:sz w:val="20"/>
                <w:szCs w:val="20"/>
                <w:color w:val="auto"/>
              </w:rPr>
            </w:pPr>
            <w:r>
              <w:rPr>
                <w:rFonts w:ascii="Arial" w:cs="Arial" w:eastAsia="Arial" w:hAnsi="Arial"/>
                <w:sz w:val="13"/>
                <w:szCs w:val="13"/>
                <w:color w:val="auto"/>
              </w:rPr>
              <w:t>North America</w:t>
            </w:r>
          </w:p>
        </w:tc>
        <w:tc>
          <w:tcPr>
            <w:tcW w:w="2060" w:type="dxa"/>
            <w:vAlign w:val="bottom"/>
            <w:tcBorders>
              <w:bottom w:val="single" w:sz="8" w:color="E5F6ED"/>
              <w:right w:val="single" w:sz="8" w:color="00AE4F"/>
            </w:tcBorders>
            <w:gridSpan w:val="2"/>
            <w:shd w:val="clear" w:color="auto" w:fill="E5F6ED"/>
          </w:tcPr>
          <w:p>
            <w:pPr>
              <w:ind w:left="100"/>
              <w:spacing w:after="0"/>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183"/>
        </w:trPr>
        <w:tc>
          <w:tcPr>
            <w:tcW w:w="4060" w:type="dxa"/>
            <w:vAlign w:val="bottom"/>
            <w:tcBorders>
              <w:top w:val="single" w:sz="8" w:color="7F7F7F"/>
              <w:right w:val="single" w:sz="8" w:color="00552B"/>
            </w:tcBorders>
          </w:tcPr>
          <w:p>
            <w:pPr>
              <w:spacing w:after="0"/>
              <w:rPr>
                <w:sz w:val="15"/>
                <w:szCs w:val="15"/>
                <w:color w:val="auto"/>
              </w:rPr>
            </w:pPr>
          </w:p>
        </w:tc>
        <w:tc>
          <w:tcPr>
            <w:tcW w:w="180" w:type="dxa"/>
            <w:vAlign w:val="bottom"/>
            <w:tcBorders>
              <w:top w:val="single" w:sz="8" w:color="7F7F7F"/>
            </w:tcBorders>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top w:val="single" w:sz="8" w:color="7F7F7F"/>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Temp staffing</w:t>
            </w:r>
          </w:p>
        </w:tc>
        <w:tc>
          <w:tcPr>
            <w:tcW w:w="180" w:type="dxa"/>
            <w:vAlign w:val="bottom"/>
            <w:tcBorders>
              <w:top w:val="single" w:sz="8" w:color="7F7F7F"/>
            </w:tcBorders>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top w:val="single" w:sz="8" w:color="7F7F7F"/>
            </w:tcBorders>
            <w:shd w:val="clear" w:color="auto" w:fill="E5F6ED"/>
          </w:tcPr>
          <w:p>
            <w:pPr>
              <w:ind w:left="40"/>
              <w:spacing w:after="0"/>
              <w:rPr>
                <w:sz w:val="20"/>
                <w:szCs w:val="20"/>
                <w:color w:val="auto"/>
              </w:rPr>
            </w:pPr>
            <w:r>
              <w:rPr>
                <w:rFonts w:ascii="Arial" w:cs="Arial" w:eastAsia="Arial" w:hAnsi="Arial"/>
                <w:sz w:val="13"/>
                <w:szCs w:val="13"/>
                <w:color w:val="auto"/>
              </w:rPr>
              <w:t>Temp staffing</w:t>
            </w:r>
          </w:p>
        </w:tc>
        <w:tc>
          <w:tcPr>
            <w:tcW w:w="200" w:type="dxa"/>
            <w:vAlign w:val="bottom"/>
            <w:tcBorders>
              <w:top w:val="single" w:sz="8" w:color="7F7F7F"/>
            </w:tcBorders>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top w:val="single" w:sz="8" w:color="7F7F7F"/>
              <w:right w:val="single" w:sz="8" w:color="00AE4F"/>
            </w:tcBorders>
            <w:shd w:val="clear" w:color="auto" w:fill="E5F6ED"/>
          </w:tcPr>
          <w:p>
            <w:pPr>
              <w:ind w:left="40"/>
              <w:spacing w:after="0"/>
              <w:rPr>
                <w:sz w:val="20"/>
                <w:szCs w:val="20"/>
                <w:color w:val="auto"/>
              </w:rPr>
            </w:pPr>
            <w:r>
              <w:rPr>
                <w:rFonts w:ascii="Arial" w:cs="Arial" w:eastAsia="Arial" w:hAnsi="Arial"/>
                <w:sz w:val="13"/>
                <w:szCs w:val="13"/>
                <w:color w:val="auto"/>
              </w:rPr>
              <w:t>Temp staffing</w:t>
            </w:r>
          </w:p>
        </w:tc>
        <w:tc>
          <w:tcPr>
            <w:tcW w:w="0" w:type="dxa"/>
            <w:vAlign w:val="bottom"/>
          </w:tcPr>
          <w:p>
            <w:pPr>
              <w:spacing w:after="0"/>
              <w:rPr>
                <w:sz w:val="1"/>
                <w:szCs w:val="1"/>
                <w:color w:val="auto"/>
              </w:rPr>
            </w:pPr>
          </w:p>
        </w:tc>
      </w:tr>
      <w:tr>
        <w:trPr>
          <w:trHeight w:val="149"/>
        </w:trPr>
        <w:tc>
          <w:tcPr>
            <w:tcW w:w="4060" w:type="dxa"/>
            <w:vAlign w:val="bottom"/>
            <w:tcBorders>
              <w:right w:val="single" w:sz="8" w:color="00552B"/>
            </w:tcBorders>
            <w:vMerge w:val="restart"/>
          </w:tcPr>
          <w:p>
            <w:pPr>
              <w:ind w:left="60"/>
              <w:spacing w:after="0"/>
              <w:rPr>
                <w:sz w:val="20"/>
                <w:szCs w:val="20"/>
                <w:color w:val="auto"/>
              </w:rPr>
            </w:pPr>
            <w:r>
              <w:rPr>
                <w:rFonts w:ascii="Arial" w:cs="Arial" w:eastAsia="Arial" w:hAnsi="Arial"/>
                <w:sz w:val="13"/>
                <w:szCs w:val="13"/>
                <w:b w:val="1"/>
                <w:bCs w:val="1"/>
                <w:color w:val="auto"/>
              </w:rPr>
              <w:t>Solutions</w:t>
            </w:r>
          </w:p>
        </w:tc>
        <w:tc>
          <w:tcPr>
            <w:tcW w:w="180" w:type="dxa"/>
            <w:vAlign w:val="bottom"/>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Perm placement</w:t>
            </w:r>
          </w:p>
        </w:tc>
        <w:tc>
          <w:tcPr>
            <w:tcW w:w="180" w:type="dxa"/>
            <w:vAlign w:val="bottom"/>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E5F6ED"/>
          </w:tcPr>
          <w:p>
            <w:pPr>
              <w:ind w:left="40"/>
              <w:spacing w:after="0"/>
              <w:rPr>
                <w:sz w:val="20"/>
                <w:szCs w:val="20"/>
                <w:color w:val="auto"/>
              </w:rPr>
            </w:pPr>
            <w:r>
              <w:rPr>
                <w:rFonts w:ascii="Arial" w:cs="Arial" w:eastAsia="Arial" w:hAnsi="Arial"/>
                <w:sz w:val="13"/>
                <w:szCs w:val="13"/>
                <w:color w:val="auto"/>
              </w:rPr>
              <w:t>Perm placement</w:t>
            </w:r>
          </w:p>
        </w:tc>
        <w:tc>
          <w:tcPr>
            <w:tcW w:w="200" w:type="dxa"/>
            <w:vAlign w:val="bottom"/>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AE4F"/>
            </w:tcBorders>
            <w:shd w:val="clear" w:color="auto" w:fill="E5F6ED"/>
          </w:tcPr>
          <w:p>
            <w:pPr>
              <w:ind w:left="40"/>
              <w:spacing w:after="0"/>
              <w:rPr>
                <w:sz w:val="20"/>
                <w:szCs w:val="20"/>
                <w:color w:val="auto"/>
              </w:rPr>
            </w:pPr>
            <w:r>
              <w:rPr>
                <w:rFonts w:ascii="Arial" w:cs="Arial" w:eastAsia="Arial" w:hAnsi="Arial"/>
                <w:sz w:val="13"/>
                <w:szCs w:val="13"/>
                <w:color w:val="auto"/>
              </w:rPr>
              <w:t>Perm placement</w:t>
            </w:r>
          </w:p>
        </w:tc>
        <w:tc>
          <w:tcPr>
            <w:tcW w:w="0" w:type="dxa"/>
            <w:vAlign w:val="bottom"/>
          </w:tcPr>
          <w:p>
            <w:pPr>
              <w:spacing w:after="0"/>
              <w:rPr>
                <w:sz w:val="1"/>
                <w:szCs w:val="1"/>
                <w:color w:val="auto"/>
              </w:rPr>
            </w:pPr>
          </w:p>
        </w:tc>
      </w:tr>
      <w:tr>
        <w:trPr>
          <w:trHeight w:val="105"/>
        </w:trPr>
        <w:tc>
          <w:tcPr>
            <w:tcW w:w="4060" w:type="dxa"/>
            <w:vAlign w:val="bottom"/>
            <w:tcBorders>
              <w:right w:val="single" w:sz="8" w:color="00552B"/>
            </w:tcBorders>
            <w:vMerge w:val="continue"/>
          </w:tcPr>
          <w:p>
            <w:pPr>
              <w:spacing w:after="0"/>
              <w:rPr>
                <w:sz w:val="9"/>
                <w:szCs w:val="9"/>
                <w:color w:val="auto"/>
              </w:rPr>
            </w:pPr>
          </w:p>
        </w:tc>
        <w:tc>
          <w:tcPr>
            <w:tcW w:w="180" w:type="dxa"/>
            <w:vAlign w:val="bottom"/>
            <w:vMerge w:val="restart"/>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vMerge w:val="restart"/>
            <w:shd w:val="clear" w:color="auto" w:fill="EAEAE9"/>
          </w:tcPr>
          <w:p>
            <w:pPr>
              <w:ind w:left="60"/>
              <w:spacing w:after="0"/>
              <w:rPr>
                <w:sz w:val="20"/>
                <w:szCs w:val="20"/>
                <w:color w:val="auto"/>
              </w:rPr>
            </w:pPr>
            <w:r>
              <w:rPr>
                <w:rFonts w:ascii="Arial" w:cs="Arial" w:eastAsia="Arial" w:hAnsi="Arial"/>
                <w:sz w:val="13"/>
                <w:szCs w:val="13"/>
                <w:color w:val="auto"/>
              </w:rPr>
              <w:t>Outcome-based</w:t>
            </w:r>
          </w:p>
        </w:tc>
        <w:tc>
          <w:tcPr>
            <w:tcW w:w="180" w:type="dxa"/>
            <w:vAlign w:val="bottom"/>
            <w:vMerge w:val="restart"/>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vMerge w:val="restart"/>
            <w:shd w:val="clear" w:color="auto" w:fill="E5F6ED"/>
          </w:tcPr>
          <w:p>
            <w:pPr>
              <w:ind w:left="40"/>
              <w:spacing w:after="0"/>
              <w:rPr>
                <w:sz w:val="20"/>
                <w:szCs w:val="20"/>
                <w:color w:val="auto"/>
              </w:rPr>
            </w:pPr>
            <w:r>
              <w:rPr>
                <w:rFonts w:ascii="Arial" w:cs="Arial" w:eastAsia="Arial" w:hAnsi="Arial"/>
                <w:sz w:val="13"/>
                <w:szCs w:val="13"/>
                <w:color w:val="auto"/>
              </w:rPr>
              <w:t>Outcome-based</w:t>
            </w:r>
          </w:p>
        </w:tc>
        <w:tc>
          <w:tcPr>
            <w:tcW w:w="200" w:type="dxa"/>
            <w:vAlign w:val="bottom"/>
            <w:shd w:val="clear" w:color="auto" w:fill="E5F6ED"/>
          </w:tcPr>
          <w:p>
            <w:pPr>
              <w:spacing w:after="0"/>
              <w:rPr>
                <w:sz w:val="9"/>
                <w:szCs w:val="9"/>
                <w:color w:val="auto"/>
              </w:rPr>
            </w:pPr>
          </w:p>
        </w:tc>
        <w:tc>
          <w:tcPr>
            <w:tcW w:w="1860" w:type="dxa"/>
            <w:vAlign w:val="bottom"/>
            <w:tcBorders>
              <w:right w:val="single" w:sz="8" w:color="00AE4F"/>
            </w:tcBorders>
            <w:shd w:val="clear" w:color="auto" w:fill="E5F6ED"/>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060" w:type="dxa"/>
            <w:vAlign w:val="bottom"/>
            <w:tcBorders>
              <w:right w:val="single" w:sz="8" w:color="00552B"/>
            </w:tcBorders>
          </w:tcPr>
          <w:p>
            <w:pPr>
              <w:spacing w:after="0"/>
              <w:rPr>
                <w:sz w:val="3"/>
                <w:szCs w:val="3"/>
                <w:color w:val="auto"/>
              </w:rPr>
            </w:pPr>
          </w:p>
        </w:tc>
        <w:tc>
          <w:tcPr>
            <w:tcW w:w="180" w:type="dxa"/>
            <w:vAlign w:val="bottom"/>
            <w:vMerge w:val="continue"/>
            <w:shd w:val="clear" w:color="auto" w:fill="EAEAE9"/>
          </w:tcPr>
          <w:p>
            <w:pPr>
              <w:spacing w:after="0"/>
              <w:rPr>
                <w:sz w:val="3"/>
                <w:szCs w:val="3"/>
                <w:color w:val="auto"/>
              </w:rPr>
            </w:pPr>
          </w:p>
        </w:tc>
        <w:tc>
          <w:tcPr>
            <w:tcW w:w="1860" w:type="dxa"/>
            <w:vAlign w:val="bottom"/>
            <w:tcBorders>
              <w:right w:val="single" w:sz="8" w:color="00552B"/>
            </w:tcBorders>
            <w:vMerge w:val="continue"/>
            <w:shd w:val="clear" w:color="auto" w:fill="EAEAE9"/>
          </w:tcPr>
          <w:p>
            <w:pPr>
              <w:spacing w:after="0"/>
              <w:rPr>
                <w:sz w:val="3"/>
                <w:szCs w:val="3"/>
                <w:color w:val="auto"/>
              </w:rPr>
            </w:pPr>
          </w:p>
        </w:tc>
        <w:tc>
          <w:tcPr>
            <w:tcW w:w="180" w:type="dxa"/>
            <w:vAlign w:val="bottom"/>
            <w:vMerge w:val="continue"/>
            <w:shd w:val="clear" w:color="auto" w:fill="E5F6ED"/>
          </w:tcPr>
          <w:p>
            <w:pPr>
              <w:spacing w:after="0"/>
              <w:rPr>
                <w:sz w:val="3"/>
                <w:szCs w:val="3"/>
                <w:color w:val="auto"/>
              </w:rPr>
            </w:pPr>
          </w:p>
        </w:tc>
        <w:tc>
          <w:tcPr>
            <w:tcW w:w="1820" w:type="dxa"/>
            <w:vAlign w:val="bottom"/>
            <w:vMerge w:val="continue"/>
            <w:shd w:val="clear" w:color="auto" w:fill="E5F6ED"/>
          </w:tcPr>
          <w:p>
            <w:pPr>
              <w:spacing w:after="0"/>
              <w:rPr>
                <w:sz w:val="3"/>
                <w:szCs w:val="3"/>
                <w:color w:val="auto"/>
              </w:rPr>
            </w:pPr>
          </w:p>
        </w:tc>
        <w:tc>
          <w:tcPr>
            <w:tcW w:w="200" w:type="dxa"/>
            <w:vAlign w:val="bottom"/>
            <w:shd w:val="clear" w:color="auto" w:fill="E5F6ED"/>
          </w:tcPr>
          <w:p>
            <w:pPr>
              <w:spacing w:after="0"/>
              <w:rPr>
                <w:sz w:val="3"/>
                <w:szCs w:val="3"/>
                <w:color w:val="auto"/>
              </w:rPr>
            </w:pPr>
          </w:p>
        </w:tc>
        <w:tc>
          <w:tcPr>
            <w:tcW w:w="1860" w:type="dxa"/>
            <w:vAlign w:val="bottom"/>
            <w:tcBorders>
              <w:right w:val="single" w:sz="8" w:color="00AE4F"/>
            </w:tcBorders>
            <w:shd w:val="clear" w:color="auto" w:fill="E5F6ED"/>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060" w:type="dxa"/>
            <w:vAlign w:val="bottom"/>
            <w:tcBorders>
              <w:right w:val="single" w:sz="8" w:color="00552B"/>
            </w:tcBorders>
          </w:tcPr>
          <w:p>
            <w:pPr>
              <w:spacing w:after="0"/>
              <w:rPr>
                <w:sz w:val="19"/>
                <w:szCs w:val="19"/>
                <w:color w:val="auto"/>
              </w:rPr>
            </w:pPr>
          </w:p>
        </w:tc>
        <w:tc>
          <w:tcPr>
            <w:tcW w:w="180" w:type="dxa"/>
            <w:vAlign w:val="bottom"/>
            <w:tcBorders>
              <w:bottom w:val="single" w:sz="8" w:color="EAEAE9"/>
            </w:tcBorders>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bottom w:val="single" w:sz="8" w:color="EAEAE9"/>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Talent solutions</w:t>
            </w:r>
          </w:p>
        </w:tc>
        <w:tc>
          <w:tcPr>
            <w:tcW w:w="180" w:type="dxa"/>
            <w:vAlign w:val="bottom"/>
            <w:tcBorders>
              <w:bottom w:val="single" w:sz="8" w:color="E5F6ED"/>
            </w:tcBorders>
            <w:shd w:val="clear" w:color="auto" w:fill="E5F6ED"/>
          </w:tcPr>
          <w:p>
            <w:pPr>
              <w:spacing w:after="0"/>
              <w:rPr>
                <w:sz w:val="19"/>
                <w:szCs w:val="19"/>
                <w:color w:val="auto"/>
              </w:rPr>
            </w:pPr>
          </w:p>
        </w:tc>
        <w:tc>
          <w:tcPr>
            <w:tcW w:w="1820" w:type="dxa"/>
            <w:vAlign w:val="bottom"/>
            <w:tcBorders>
              <w:bottom w:val="single" w:sz="8" w:color="E5F6ED"/>
            </w:tcBorders>
            <w:shd w:val="clear" w:color="auto" w:fill="E5F6ED"/>
          </w:tcPr>
          <w:p>
            <w:pPr>
              <w:spacing w:after="0"/>
              <w:rPr>
                <w:sz w:val="19"/>
                <w:szCs w:val="19"/>
                <w:color w:val="auto"/>
              </w:rPr>
            </w:pPr>
          </w:p>
        </w:tc>
        <w:tc>
          <w:tcPr>
            <w:tcW w:w="200" w:type="dxa"/>
            <w:vAlign w:val="bottom"/>
            <w:tcBorders>
              <w:bottom w:val="single" w:sz="8" w:color="E5F6ED"/>
            </w:tcBorders>
            <w:shd w:val="clear" w:color="auto" w:fill="E5F6ED"/>
          </w:tcPr>
          <w:p>
            <w:pPr>
              <w:spacing w:after="0"/>
              <w:rPr>
                <w:sz w:val="19"/>
                <w:szCs w:val="19"/>
                <w:color w:val="auto"/>
              </w:rPr>
            </w:pPr>
          </w:p>
        </w:tc>
        <w:tc>
          <w:tcPr>
            <w:tcW w:w="1860" w:type="dxa"/>
            <w:vAlign w:val="bottom"/>
            <w:tcBorders>
              <w:bottom w:val="single" w:sz="8" w:color="E5F6ED"/>
              <w:right w:val="single" w:sz="8" w:color="00AE4F"/>
            </w:tcBorders>
            <w:shd w:val="clear" w:color="auto" w:fill="E5F6ED"/>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7F7F7F"/>
              <w:right w:val="single" w:sz="8" w:color="00552B"/>
            </w:tcBorders>
          </w:tcPr>
          <w:p>
            <w:pPr>
              <w:spacing w:after="0"/>
              <w:rPr>
                <w:sz w:val="15"/>
                <w:szCs w:val="15"/>
                <w:color w:val="auto"/>
              </w:rPr>
            </w:pPr>
          </w:p>
        </w:tc>
        <w:tc>
          <w:tcPr>
            <w:tcW w:w="180" w:type="dxa"/>
            <w:vAlign w:val="bottom"/>
            <w:tcBorders>
              <w:top w:val="single" w:sz="8" w:color="7F7F7F"/>
            </w:tcBorders>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top w:val="single" w:sz="8" w:color="7F7F7F"/>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Industrial</w:t>
            </w:r>
          </w:p>
        </w:tc>
        <w:tc>
          <w:tcPr>
            <w:tcW w:w="180" w:type="dxa"/>
            <w:vAlign w:val="bottom"/>
            <w:tcBorders>
              <w:top w:val="single" w:sz="8" w:color="7F7F7F"/>
            </w:tcBorders>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top w:val="single" w:sz="8" w:color="7F7F7F"/>
            </w:tcBorders>
            <w:shd w:val="clear" w:color="auto" w:fill="E5F6ED"/>
          </w:tcPr>
          <w:p>
            <w:pPr>
              <w:ind w:left="40"/>
              <w:spacing w:after="0"/>
              <w:rPr>
                <w:sz w:val="20"/>
                <w:szCs w:val="20"/>
                <w:color w:val="auto"/>
              </w:rPr>
            </w:pPr>
            <w:r>
              <w:rPr>
                <w:rFonts w:ascii="Arial" w:cs="Arial" w:eastAsia="Arial" w:hAnsi="Arial"/>
                <w:sz w:val="13"/>
                <w:szCs w:val="13"/>
                <w:color w:val="auto"/>
              </w:rPr>
              <w:t>Engineering</w:t>
            </w:r>
          </w:p>
        </w:tc>
        <w:tc>
          <w:tcPr>
            <w:tcW w:w="200" w:type="dxa"/>
            <w:vAlign w:val="bottom"/>
            <w:tcBorders>
              <w:top w:val="single" w:sz="8" w:color="7F7F7F"/>
            </w:tcBorders>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top w:val="single" w:sz="8" w:color="7F7F7F"/>
              <w:right w:val="single" w:sz="8" w:color="00AE4F"/>
            </w:tcBorders>
            <w:shd w:val="clear" w:color="auto" w:fill="E5F6ED"/>
          </w:tcPr>
          <w:p>
            <w:pPr>
              <w:ind w:left="40"/>
              <w:spacing w:after="0"/>
              <w:rPr>
                <w:sz w:val="20"/>
                <w:szCs w:val="20"/>
                <w:color w:val="auto"/>
              </w:rPr>
            </w:pPr>
            <w:r>
              <w:rPr>
                <w:rFonts w:ascii="Arial" w:cs="Arial" w:eastAsia="Arial" w:hAnsi="Arial"/>
                <w:sz w:val="13"/>
                <w:szCs w:val="13"/>
                <w:color w:val="auto"/>
              </w:rPr>
              <w:t>K-12</w:t>
            </w:r>
          </w:p>
        </w:tc>
        <w:tc>
          <w:tcPr>
            <w:tcW w:w="0" w:type="dxa"/>
            <w:vAlign w:val="bottom"/>
          </w:tcPr>
          <w:p>
            <w:pPr>
              <w:spacing w:after="0"/>
              <w:rPr>
                <w:sz w:val="1"/>
                <w:szCs w:val="1"/>
                <w:color w:val="auto"/>
              </w:rPr>
            </w:pPr>
          </w:p>
        </w:tc>
      </w:tr>
      <w:tr>
        <w:trPr>
          <w:trHeight w:val="149"/>
        </w:trPr>
        <w:tc>
          <w:tcPr>
            <w:tcW w:w="4060" w:type="dxa"/>
            <w:vAlign w:val="bottom"/>
            <w:tcBorders>
              <w:right w:val="single" w:sz="8" w:color="00552B"/>
            </w:tcBorders>
          </w:tcPr>
          <w:p>
            <w:pPr>
              <w:spacing w:after="0"/>
              <w:rPr>
                <w:sz w:val="12"/>
                <w:szCs w:val="12"/>
                <w:color w:val="auto"/>
              </w:rPr>
            </w:pPr>
          </w:p>
        </w:tc>
        <w:tc>
          <w:tcPr>
            <w:tcW w:w="180" w:type="dxa"/>
            <w:vAlign w:val="bottom"/>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Contact Center</w:t>
            </w:r>
          </w:p>
        </w:tc>
        <w:tc>
          <w:tcPr>
            <w:tcW w:w="180" w:type="dxa"/>
            <w:vAlign w:val="bottom"/>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E5F6ED"/>
          </w:tcPr>
          <w:p>
            <w:pPr>
              <w:ind w:left="40"/>
              <w:spacing w:after="0"/>
              <w:rPr>
                <w:sz w:val="20"/>
                <w:szCs w:val="20"/>
                <w:color w:val="auto"/>
              </w:rPr>
            </w:pPr>
            <w:r>
              <w:rPr>
                <w:rFonts w:ascii="Arial" w:cs="Arial" w:eastAsia="Arial" w:hAnsi="Arial"/>
                <w:sz w:val="13"/>
                <w:szCs w:val="13"/>
                <w:color w:val="auto"/>
              </w:rPr>
              <w:t>Science &amp; Clinical</w:t>
            </w:r>
          </w:p>
        </w:tc>
        <w:tc>
          <w:tcPr>
            <w:tcW w:w="200" w:type="dxa"/>
            <w:vAlign w:val="bottom"/>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AE4F"/>
            </w:tcBorders>
            <w:shd w:val="clear" w:color="auto" w:fill="E5F6ED"/>
          </w:tcPr>
          <w:p>
            <w:pPr>
              <w:ind w:left="40"/>
              <w:spacing w:after="0"/>
              <w:rPr>
                <w:sz w:val="20"/>
                <w:szCs w:val="20"/>
                <w:color w:val="auto"/>
              </w:rPr>
            </w:pPr>
            <w:r>
              <w:rPr>
                <w:rFonts w:ascii="Arial" w:cs="Arial" w:eastAsia="Arial" w:hAnsi="Arial"/>
                <w:sz w:val="13"/>
                <w:szCs w:val="13"/>
                <w:color w:val="auto"/>
              </w:rPr>
              <w:t>Special Ed/Needs</w:t>
            </w:r>
          </w:p>
        </w:tc>
        <w:tc>
          <w:tcPr>
            <w:tcW w:w="0" w:type="dxa"/>
            <w:vAlign w:val="bottom"/>
          </w:tcPr>
          <w:p>
            <w:pPr>
              <w:spacing w:after="0"/>
              <w:rPr>
                <w:sz w:val="1"/>
                <w:szCs w:val="1"/>
                <w:color w:val="auto"/>
              </w:rPr>
            </w:pPr>
          </w:p>
        </w:tc>
      </w:tr>
      <w:tr>
        <w:trPr>
          <w:trHeight w:val="144"/>
        </w:trPr>
        <w:tc>
          <w:tcPr>
            <w:tcW w:w="4060" w:type="dxa"/>
            <w:vAlign w:val="bottom"/>
            <w:tcBorders>
              <w:right w:val="single" w:sz="8" w:color="00552B"/>
            </w:tcBorders>
            <w:vMerge w:val="restart"/>
          </w:tcPr>
          <w:p>
            <w:pPr>
              <w:ind w:left="60"/>
              <w:spacing w:after="0"/>
              <w:rPr>
                <w:sz w:val="20"/>
                <w:szCs w:val="20"/>
                <w:color w:val="auto"/>
              </w:rPr>
            </w:pPr>
            <w:r>
              <w:rPr>
                <w:rFonts w:ascii="Arial" w:cs="Arial" w:eastAsia="Arial" w:hAnsi="Arial"/>
                <w:sz w:val="13"/>
                <w:szCs w:val="13"/>
                <w:b w:val="1"/>
                <w:bCs w:val="1"/>
                <w:color w:val="auto"/>
              </w:rPr>
              <w:t>Specialties</w:t>
            </w:r>
          </w:p>
        </w:tc>
        <w:tc>
          <w:tcPr>
            <w:tcW w:w="180" w:type="dxa"/>
            <w:vAlign w:val="bottom"/>
            <w:shd w:val="clear" w:color="auto" w:fill="EAEAE9"/>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shd w:val="clear" w:color="auto" w:fill="EAEAE9"/>
          </w:tcPr>
          <w:p>
            <w:pPr>
              <w:ind w:left="60"/>
              <w:spacing w:after="0" w:line="144" w:lineRule="exact"/>
              <w:rPr>
                <w:sz w:val="20"/>
                <w:szCs w:val="20"/>
                <w:color w:val="auto"/>
              </w:rPr>
            </w:pPr>
            <w:r>
              <w:rPr>
                <w:rFonts w:ascii="Arial" w:cs="Arial" w:eastAsia="Arial" w:hAnsi="Arial"/>
                <w:sz w:val="13"/>
                <w:szCs w:val="13"/>
                <w:color w:val="auto"/>
              </w:rPr>
              <w:t>Office Clerical</w:t>
            </w:r>
          </w:p>
        </w:tc>
        <w:tc>
          <w:tcPr>
            <w:tcW w:w="180" w:type="dxa"/>
            <w:vAlign w:val="bottom"/>
            <w:shd w:val="clear" w:color="auto" w:fill="E5F6ED"/>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E5F6ED"/>
          </w:tcPr>
          <w:p>
            <w:pPr>
              <w:ind w:left="40"/>
              <w:spacing w:after="0" w:line="144" w:lineRule="exact"/>
              <w:rPr>
                <w:sz w:val="20"/>
                <w:szCs w:val="20"/>
                <w:color w:val="auto"/>
              </w:rPr>
            </w:pPr>
            <w:r>
              <w:rPr>
                <w:rFonts w:ascii="Arial" w:cs="Arial" w:eastAsia="Arial" w:hAnsi="Arial"/>
                <w:sz w:val="13"/>
                <w:szCs w:val="13"/>
                <w:color w:val="auto"/>
              </w:rPr>
              <w:t>Technology</w:t>
            </w:r>
          </w:p>
        </w:tc>
        <w:tc>
          <w:tcPr>
            <w:tcW w:w="200" w:type="dxa"/>
            <w:vAlign w:val="bottom"/>
            <w:shd w:val="clear" w:color="auto" w:fill="E5F6ED"/>
          </w:tcPr>
          <w:p>
            <w:pPr>
              <w:ind w:lef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AE4F"/>
            </w:tcBorders>
            <w:shd w:val="clear" w:color="auto" w:fill="E5F6ED"/>
          </w:tcPr>
          <w:p>
            <w:pPr>
              <w:ind w:left="40"/>
              <w:spacing w:after="0" w:line="144" w:lineRule="exact"/>
              <w:rPr>
                <w:sz w:val="20"/>
                <w:szCs w:val="20"/>
                <w:color w:val="auto"/>
              </w:rPr>
            </w:pPr>
            <w:r>
              <w:rPr>
                <w:rFonts w:ascii="Arial" w:cs="Arial" w:eastAsia="Arial" w:hAnsi="Arial"/>
                <w:sz w:val="13"/>
                <w:szCs w:val="13"/>
                <w:color w:val="auto"/>
              </w:rPr>
              <w:t>Tutoring</w:t>
            </w:r>
          </w:p>
        </w:tc>
        <w:tc>
          <w:tcPr>
            <w:tcW w:w="0" w:type="dxa"/>
            <w:vAlign w:val="bottom"/>
          </w:tcPr>
          <w:p>
            <w:pPr>
              <w:spacing w:after="0"/>
              <w:rPr>
                <w:sz w:val="1"/>
                <w:szCs w:val="1"/>
                <w:color w:val="auto"/>
              </w:rPr>
            </w:pPr>
          </w:p>
        </w:tc>
      </w:tr>
      <w:tr>
        <w:trPr>
          <w:trHeight w:val="111"/>
        </w:trPr>
        <w:tc>
          <w:tcPr>
            <w:tcW w:w="4060" w:type="dxa"/>
            <w:vAlign w:val="bottom"/>
            <w:tcBorders>
              <w:right w:val="single" w:sz="8" w:color="00552B"/>
            </w:tcBorders>
            <w:vMerge w:val="continue"/>
          </w:tcPr>
          <w:p>
            <w:pPr>
              <w:spacing w:after="0"/>
              <w:rPr>
                <w:sz w:val="9"/>
                <w:szCs w:val="9"/>
                <w:color w:val="auto"/>
              </w:rPr>
            </w:pPr>
          </w:p>
        </w:tc>
        <w:tc>
          <w:tcPr>
            <w:tcW w:w="180" w:type="dxa"/>
            <w:vAlign w:val="bottom"/>
            <w:vMerge w:val="restart"/>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vMerge w:val="restart"/>
            <w:shd w:val="clear" w:color="auto" w:fill="EAEAE9"/>
          </w:tcPr>
          <w:p>
            <w:pPr>
              <w:ind w:left="60"/>
              <w:spacing w:after="0" w:line="149" w:lineRule="exact"/>
              <w:rPr>
                <w:sz w:val="20"/>
                <w:szCs w:val="20"/>
                <w:color w:val="auto"/>
              </w:rPr>
            </w:pPr>
            <w:r>
              <w:rPr>
                <w:rFonts w:ascii="Arial" w:cs="Arial" w:eastAsia="Arial" w:hAnsi="Arial"/>
                <w:sz w:val="12"/>
                <w:szCs w:val="12"/>
                <w:color w:val="auto"/>
              </w:rPr>
              <w:t>MSP</w:t>
            </w:r>
            <w:r>
              <w:rPr>
                <w:rFonts w:ascii="Arial" w:cs="Arial" w:eastAsia="Arial" w:hAnsi="Arial"/>
                <w:sz w:val="17"/>
                <w:szCs w:val="17"/>
                <w:color w:val="auto"/>
                <w:vertAlign w:val="superscript"/>
              </w:rPr>
              <w:t>(3)</w:t>
            </w:r>
          </w:p>
        </w:tc>
        <w:tc>
          <w:tcPr>
            <w:tcW w:w="180" w:type="dxa"/>
            <w:vAlign w:val="bottom"/>
            <w:vMerge w:val="restart"/>
            <w:shd w:val="clear" w:color="auto" w:fill="E5F6ED"/>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vMerge w:val="restart"/>
            <w:shd w:val="clear" w:color="auto" w:fill="E5F6ED"/>
          </w:tcPr>
          <w:p>
            <w:pPr>
              <w:ind w:left="40"/>
              <w:spacing w:after="0"/>
              <w:rPr>
                <w:sz w:val="20"/>
                <w:szCs w:val="20"/>
                <w:color w:val="auto"/>
              </w:rPr>
            </w:pPr>
            <w:r>
              <w:rPr>
                <w:rFonts w:ascii="Arial" w:cs="Arial" w:eastAsia="Arial" w:hAnsi="Arial"/>
                <w:sz w:val="13"/>
                <w:szCs w:val="13"/>
                <w:color w:val="auto"/>
              </w:rPr>
              <w:t>Telecom</w:t>
            </w:r>
          </w:p>
        </w:tc>
        <w:tc>
          <w:tcPr>
            <w:tcW w:w="200" w:type="dxa"/>
            <w:vAlign w:val="bottom"/>
            <w:vMerge w:val="restart"/>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AE4F"/>
            </w:tcBorders>
            <w:vMerge w:val="restart"/>
            <w:shd w:val="clear" w:color="auto" w:fill="E5F6ED"/>
          </w:tcPr>
          <w:p>
            <w:pPr>
              <w:ind w:left="40"/>
              <w:spacing w:after="0"/>
              <w:rPr>
                <w:sz w:val="20"/>
                <w:szCs w:val="20"/>
                <w:color w:val="auto"/>
              </w:rPr>
            </w:pPr>
            <w:r>
              <w:rPr>
                <w:rFonts w:ascii="Arial" w:cs="Arial" w:eastAsia="Arial" w:hAnsi="Arial"/>
                <w:sz w:val="13"/>
                <w:szCs w:val="13"/>
                <w:color w:val="auto"/>
              </w:rPr>
              <w:t>Therapy Services</w:t>
            </w:r>
          </w:p>
        </w:tc>
        <w:tc>
          <w:tcPr>
            <w:tcW w:w="0" w:type="dxa"/>
            <w:vAlign w:val="bottom"/>
          </w:tcPr>
          <w:p>
            <w:pPr>
              <w:spacing w:after="0"/>
              <w:rPr>
                <w:sz w:val="1"/>
                <w:szCs w:val="1"/>
                <w:color w:val="auto"/>
              </w:rPr>
            </w:pPr>
          </w:p>
        </w:tc>
      </w:tr>
      <w:tr>
        <w:trPr>
          <w:trHeight w:val="38"/>
        </w:trPr>
        <w:tc>
          <w:tcPr>
            <w:tcW w:w="4060" w:type="dxa"/>
            <w:vAlign w:val="bottom"/>
            <w:tcBorders>
              <w:right w:val="single" w:sz="8" w:color="00552B"/>
            </w:tcBorders>
          </w:tcPr>
          <w:p>
            <w:pPr>
              <w:spacing w:after="0"/>
              <w:rPr>
                <w:sz w:val="3"/>
                <w:szCs w:val="3"/>
                <w:color w:val="auto"/>
              </w:rPr>
            </w:pPr>
          </w:p>
        </w:tc>
        <w:tc>
          <w:tcPr>
            <w:tcW w:w="180" w:type="dxa"/>
            <w:vAlign w:val="bottom"/>
            <w:vMerge w:val="continue"/>
            <w:shd w:val="clear" w:color="auto" w:fill="EAEAE9"/>
          </w:tcPr>
          <w:p>
            <w:pPr>
              <w:spacing w:after="0"/>
              <w:rPr>
                <w:sz w:val="3"/>
                <w:szCs w:val="3"/>
                <w:color w:val="auto"/>
              </w:rPr>
            </w:pPr>
          </w:p>
        </w:tc>
        <w:tc>
          <w:tcPr>
            <w:tcW w:w="1860" w:type="dxa"/>
            <w:vAlign w:val="bottom"/>
            <w:tcBorders>
              <w:right w:val="single" w:sz="8" w:color="00552B"/>
            </w:tcBorders>
            <w:vMerge w:val="continue"/>
            <w:shd w:val="clear" w:color="auto" w:fill="EAEAE9"/>
          </w:tcPr>
          <w:p>
            <w:pPr>
              <w:spacing w:after="0"/>
              <w:rPr>
                <w:sz w:val="3"/>
                <w:szCs w:val="3"/>
                <w:color w:val="auto"/>
              </w:rPr>
            </w:pPr>
          </w:p>
        </w:tc>
        <w:tc>
          <w:tcPr>
            <w:tcW w:w="180" w:type="dxa"/>
            <w:vAlign w:val="bottom"/>
            <w:vMerge w:val="continue"/>
            <w:shd w:val="clear" w:color="auto" w:fill="E5F6ED"/>
          </w:tcPr>
          <w:p>
            <w:pPr>
              <w:spacing w:after="0"/>
              <w:rPr>
                <w:sz w:val="3"/>
                <w:szCs w:val="3"/>
                <w:color w:val="auto"/>
              </w:rPr>
            </w:pPr>
          </w:p>
        </w:tc>
        <w:tc>
          <w:tcPr>
            <w:tcW w:w="1820" w:type="dxa"/>
            <w:vAlign w:val="bottom"/>
            <w:vMerge w:val="continue"/>
            <w:shd w:val="clear" w:color="auto" w:fill="E5F6ED"/>
          </w:tcPr>
          <w:p>
            <w:pPr>
              <w:spacing w:after="0"/>
              <w:rPr>
                <w:sz w:val="3"/>
                <w:szCs w:val="3"/>
                <w:color w:val="auto"/>
              </w:rPr>
            </w:pPr>
          </w:p>
        </w:tc>
        <w:tc>
          <w:tcPr>
            <w:tcW w:w="200" w:type="dxa"/>
            <w:vAlign w:val="bottom"/>
            <w:vMerge w:val="continue"/>
            <w:shd w:val="clear" w:color="auto" w:fill="E5F6ED"/>
          </w:tcPr>
          <w:p>
            <w:pPr>
              <w:spacing w:after="0"/>
              <w:rPr>
                <w:sz w:val="3"/>
                <w:szCs w:val="3"/>
                <w:color w:val="auto"/>
              </w:rPr>
            </w:pPr>
          </w:p>
        </w:tc>
        <w:tc>
          <w:tcPr>
            <w:tcW w:w="1860" w:type="dxa"/>
            <w:vAlign w:val="bottom"/>
            <w:tcBorders>
              <w:right w:val="single" w:sz="8" w:color="00AE4F"/>
            </w:tcBorders>
            <w:vMerge w:val="continue"/>
            <w:shd w:val="clear" w:color="auto" w:fill="E5F6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tcBorders>
              <w:right w:val="single" w:sz="8" w:color="00552B"/>
            </w:tcBorders>
          </w:tcPr>
          <w:p>
            <w:pPr>
              <w:spacing w:after="0"/>
              <w:rPr>
                <w:sz w:val="12"/>
                <w:szCs w:val="12"/>
                <w:color w:val="auto"/>
              </w:rPr>
            </w:pPr>
          </w:p>
        </w:tc>
        <w:tc>
          <w:tcPr>
            <w:tcW w:w="180" w:type="dxa"/>
            <w:vAlign w:val="bottom"/>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552B"/>
            </w:tcBorders>
            <w:shd w:val="clear" w:color="auto" w:fill="EAEAE9"/>
          </w:tcPr>
          <w:p>
            <w:pPr>
              <w:ind w:left="60"/>
              <w:spacing w:after="0" w:line="149" w:lineRule="exact"/>
              <w:rPr>
                <w:sz w:val="20"/>
                <w:szCs w:val="20"/>
                <w:color w:val="auto"/>
              </w:rPr>
            </w:pPr>
            <w:r>
              <w:rPr>
                <w:rFonts w:ascii="Arial" w:cs="Arial" w:eastAsia="Arial" w:hAnsi="Arial"/>
                <w:sz w:val="17"/>
                <w:szCs w:val="17"/>
                <w:color w:val="auto"/>
                <w:vertAlign w:val="subscript"/>
              </w:rPr>
              <w:t>RPO</w:t>
            </w:r>
            <w:r>
              <w:rPr>
                <w:rFonts w:ascii="Arial" w:cs="Arial" w:eastAsia="Arial" w:hAnsi="Arial"/>
                <w:sz w:val="8"/>
                <w:szCs w:val="8"/>
                <w:color w:val="auto"/>
              </w:rPr>
              <w:t>(3)</w:t>
            </w:r>
          </w:p>
        </w:tc>
        <w:tc>
          <w:tcPr>
            <w:tcW w:w="180" w:type="dxa"/>
            <w:vAlign w:val="bottom"/>
            <w:shd w:val="clear" w:color="auto" w:fill="E5F6ED"/>
          </w:tcPr>
          <w:p>
            <w:pPr>
              <w:spacing w:after="0"/>
              <w:rPr>
                <w:sz w:val="12"/>
                <w:szCs w:val="12"/>
                <w:color w:val="auto"/>
              </w:rPr>
            </w:pPr>
          </w:p>
        </w:tc>
        <w:tc>
          <w:tcPr>
            <w:tcW w:w="1820" w:type="dxa"/>
            <w:vAlign w:val="bottom"/>
            <w:shd w:val="clear" w:color="auto" w:fill="E5F6ED"/>
          </w:tcPr>
          <w:p>
            <w:pPr>
              <w:spacing w:after="0"/>
              <w:rPr>
                <w:sz w:val="12"/>
                <w:szCs w:val="12"/>
                <w:color w:val="auto"/>
              </w:rPr>
            </w:pPr>
          </w:p>
        </w:tc>
        <w:tc>
          <w:tcPr>
            <w:tcW w:w="200" w:type="dxa"/>
            <w:vAlign w:val="bottom"/>
            <w:shd w:val="clear" w:color="auto" w:fill="E5F6ED"/>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right w:val="single" w:sz="8" w:color="00AE4F"/>
            </w:tcBorders>
            <w:shd w:val="clear" w:color="auto" w:fill="E5F6ED"/>
          </w:tcPr>
          <w:p>
            <w:pPr>
              <w:ind w:left="40"/>
              <w:spacing w:after="0"/>
              <w:rPr>
                <w:sz w:val="20"/>
                <w:szCs w:val="20"/>
                <w:color w:val="auto"/>
              </w:rPr>
            </w:pPr>
            <w:r>
              <w:rPr>
                <w:rFonts w:ascii="Arial" w:cs="Arial" w:eastAsia="Arial" w:hAnsi="Arial"/>
                <w:sz w:val="13"/>
                <w:szCs w:val="13"/>
                <w:color w:val="auto"/>
              </w:rPr>
              <w:t>Executive Search</w:t>
            </w:r>
          </w:p>
        </w:tc>
        <w:tc>
          <w:tcPr>
            <w:tcW w:w="0" w:type="dxa"/>
            <w:vAlign w:val="bottom"/>
          </w:tcPr>
          <w:p>
            <w:pPr>
              <w:spacing w:after="0"/>
              <w:rPr>
                <w:sz w:val="1"/>
                <w:szCs w:val="1"/>
                <w:color w:val="auto"/>
              </w:rPr>
            </w:pPr>
          </w:p>
        </w:tc>
      </w:tr>
      <w:tr>
        <w:trPr>
          <w:trHeight w:val="224"/>
        </w:trPr>
        <w:tc>
          <w:tcPr>
            <w:tcW w:w="4060" w:type="dxa"/>
            <w:vAlign w:val="bottom"/>
            <w:tcBorders>
              <w:bottom w:val="single" w:sz="8" w:color="7F7F7F"/>
              <w:right w:val="single" w:sz="8" w:color="00552B"/>
            </w:tcBorders>
          </w:tcPr>
          <w:p>
            <w:pPr>
              <w:spacing w:after="0"/>
              <w:rPr>
                <w:sz w:val="19"/>
                <w:szCs w:val="19"/>
                <w:color w:val="auto"/>
              </w:rPr>
            </w:pPr>
          </w:p>
        </w:tc>
        <w:tc>
          <w:tcPr>
            <w:tcW w:w="180" w:type="dxa"/>
            <w:vAlign w:val="bottom"/>
            <w:tcBorders>
              <w:bottom w:val="single" w:sz="8" w:color="7F7F7F"/>
            </w:tcBorders>
            <w:shd w:val="clear" w:color="auto" w:fill="EAEAE9"/>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bottom w:val="single" w:sz="8" w:color="7F7F7F"/>
              <w:right w:val="single" w:sz="8" w:color="00552B"/>
            </w:tcBorders>
            <w:shd w:val="clear" w:color="auto" w:fill="EAEAE9"/>
          </w:tcPr>
          <w:p>
            <w:pPr>
              <w:ind w:left="60"/>
              <w:spacing w:after="0"/>
              <w:rPr>
                <w:sz w:val="20"/>
                <w:szCs w:val="20"/>
                <w:color w:val="auto"/>
              </w:rPr>
            </w:pPr>
            <w:r>
              <w:rPr>
                <w:rFonts w:ascii="Arial" w:cs="Arial" w:eastAsia="Arial" w:hAnsi="Arial"/>
                <w:sz w:val="13"/>
                <w:szCs w:val="13"/>
                <w:color w:val="auto"/>
              </w:rPr>
              <w:t>PPO</w:t>
            </w:r>
            <w:r>
              <w:rPr>
                <w:rFonts w:ascii="Arial" w:cs="Arial" w:eastAsia="Arial" w:hAnsi="Arial"/>
                <w:sz w:val="19"/>
                <w:szCs w:val="19"/>
                <w:color w:val="auto"/>
                <w:vertAlign w:val="superscript"/>
              </w:rPr>
              <w:t>(3)</w:t>
            </w:r>
          </w:p>
        </w:tc>
        <w:tc>
          <w:tcPr>
            <w:tcW w:w="180" w:type="dxa"/>
            <w:vAlign w:val="bottom"/>
            <w:tcBorders>
              <w:bottom w:val="single" w:sz="8" w:color="7F7F7F"/>
            </w:tcBorders>
            <w:shd w:val="clear" w:color="auto" w:fill="E5F6ED"/>
          </w:tcPr>
          <w:p>
            <w:pPr>
              <w:spacing w:after="0"/>
              <w:rPr>
                <w:sz w:val="19"/>
                <w:szCs w:val="19"/>
                <w:color w:val="auto"/>
              </w:rPr>
            </w:pPr>
          </w:p>
        </w:tc>
        <w:tc>
          <w:tcPr>
            <w:tcW w:w="1820" w:type="dxa"/>
            <w:vAlign w:val="bottom"/>
            <w:tcBorders>
              <w:bottom w:val="single" w:sz="8" w:color="7F7F7F"/>
            </w:tcBorders>
            <w:shd w:val="clear" w:color="auto" w:fill="E5F6ED"/>
          </w:tcPr>
          <w:p>
            <w:pPr>
              <w:spacing w:after="0"/>
              <w:rPr>
                <w:sz w:val="19"/>
                <w:szCs w:val="19"/>
                <w:color w:val="auto"/>
              </w:rPr>
            </w:pPr>
          </w:p>
        </w:tc>
        <w:tc>
          <w:tcPr>
            <w:tcW w:w="200" w:type="dxa"/>
            <w:vAlign w:val="bottom"/>
            <w:tcBorders>
              <w:bottom w:val="single" w:sz="8" w:color="7F7F7F"/>
            </w:tcBorders>
            <w:shd w:val="clear" w:color="auto" w:fill="E5F6ED"/>
          </w:tcPr>
          <w:p>
            <w:pPr>
              <w:spacing w:after="0"/>
              <w:rPr>
                <w:sz w:val="19"/>
                <w:szCs w:val="19"/>
                <w:color w:val="auto"/>
              </w:rPr>
            </w:pPr>
          </w:p>
        </w:tc>
        <w:tc>
          <w:tcPr>
            <w:tcW w:w="1860" w:type="dxa"/>
            <w:vAlign w:val="bottom"/>
            <w:tcBorders>
              <w:bottom w:val="single" w:sz="8" w:color="7F7F7F"/>
              <w:right w:val="single" w:sz="8" w:color="00AE4F"/>
            </w:tcBorders>
            <w:shd w:val="clear" w:color="auto" w:fill="E5F6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Borders>
              <w:right w:val="single" w:sz="8" w:color="00552B"/>
            </w:tcBorders>
          </w:tcPr>
          <w:p>
            <w:pPr>
              <w:spacing w:after="0"/>
              <w:rPr>
                <w:sz w:val="18"/>
                <w:szCs w:val="18"/>
                <w:color w:val="auto"/>
              </w:rPr>
            </w:pPr>
          </w:p>
        </w:tc>
        <w:tc>
          <w:tcPr>
            <w:tcW w:w="180" w:type="dxa"/>
            <w:vAlign w:val="bottom"/>
            <w:tcBorders>
              <w:bottom w:val="single" w:sz="8" w:color="00552B"/>
            </w:tcBorders>
            <w:shd w:val="clear" w:color="auto" w:fill="EAEAE9"/>
          </w:tcPr>
          <w:p>
            <w:pPr>
              <w:spacing w:after="0"/>
              <w:rPr>
                <w:sz w:val="18"/>
                <w:szCs w:val="18"/>
                <w:color w:val="auto"/>
              </w:rPr>
            </w:pPr>
          </w:p>
        </w:tc>
        <w:tc>
          <w:tcPr>
            <w:tcW w:w="1860" w:type="dxa"/>
            <w:vAlign w:val="bottom"/>
            <w:tcBorders>
              <w:bottom w:val="single" w:sz="8" w:color="00552B"/>
              <w:right w:val="single" w:sz="8" w:color="00552B"/>
            </w:tcBorders>
            <w:shd w:val="clear" w:color="auto" w:fill="EAEAE9"/>
          </w:tcPr>
          <w:p>
            <w:pPr>
              <w:spacing w:after="0"/>
              <w:rPr>
                <w:sz w:val="18"/>
                <w:szCs w:val="18"/>
                <w:color w:val="auto"/>
              </w:rPr>
            </w:pPr>
          </w:p>
        </w:tc>
        <w:tc>
          <w:tcPr>
            <w:tcW w:w="180" w:type="dxa"/>
            <w:vAlign w:val="bottom"/>
            <w:tcBorders>
              <w:bottom w:val="single" w:sz="8" w:color="00AE4F"/>
            </w:tcBorders>
            <w:shd w:val="clear" w:color="auto" w:fill="E5F6ED"/>
          </w:tcPr>
          <w:p>
            <w:pPr>
              <w:spacing w:after="0"/>
              <w:rPr>
                <w:sz w:val="18"/>
                <w:szCs w:val="18"/>
                <w:color w:val="auto"/>
              </w:rPr>
            </w:pPr>
          </w:p>
        </w:tc>
        <w:tc>
          <w:tcPr>
            <w:tcW w:w="1820" w:type="dxa"/>
            <w:vAlign w:val="bottom"/>
            <w:tcBorders>
              <w:bottom w:val="single" w:sz="8" w:color="00AE4F"/>
            </w:tcBorders>
            <w:shd w:val="clear" w:color="auto" w:fill="E5F6ED"/>
          </w:tcPr>
          <w:p>
            <w:pPr>
              <w:spacing w:after="0"/>
              <w:rPr>
                <w:sz w:val="18"/>
                <w:szCs w:val="18"/>
                <w:color w:val="auto"/>
              </w:rPr>
            </w:pPr>
          </w:p>
        </w:tc>
        <w:tc>
          <w:tcPr>
            <w:tcW w:w="200" w:type="dxa"/>
            <w:vAlign w:val="bottom"/>
            <w:tcBorders>
              <w:bottom w:val="single" w:sz="8" w:color="00AE4F"/>
            </w:tcBorders>
            <w:shd w:val="clear" w:color="auto" w:fill="E5F6ED"/>
          </w:tcPr>
          <w:p>
            <w:pPr>
              <w:spacing w:after="0"/>
              <w:rPr>
                <w:sz w:val="18"/>
                <w:szCs w:val="18"/>
                <w:color w:val="auto"/>
              </w:rPr>
            </w:pPr>
          </w:p>
        </w:tc>
        <w:tc>
          <w:tcPr>
            <w:tcW w:w="1860" w:type="dxa"/>
            <w:vAlign w:val="bottom"/>
            <w:tcBorders>
              <w:bottom w:val="single" w:sz="8" w:color="00AE4F"/>
              <w:right w:val="single" w:sz="8" w:color="00AE4F"/>
            </w:tcBorders>
            <w:shd w:val="clear" w:color="auto" w:fill="E5F6ED"/>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60" w:hanging="29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Sum of Business Unit revenue may not equal total company revenue due to rounding.</w:t>
      </w:r>
    </w:p>
    <w:p>
      <w:pPr>
        <w:spacing w:after="0" w:line="60" w:lineRule="exact"/>
        <w:rPr>
          <w:rFonts w:ascii="Arial" w:cs="Arial" w:eastAsia="Arial" w:hAnsi="Arial"/>
          <w:sz w:val="12"/>
          <w:szCs w:val="12"/>
          <w:color w:val="auto"/>
        </w:rPr>
      </w:pPr>
    </w:p>
    <w:p>
      <w:pPr>
        <w:ind w:left="860" w:hanging="29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See reconciliations of Non-GAAP Measures included in Form 8-K dated February 12, 2026.</w:t>
      </w:r>
    </w:p>
    <w:p>
      <w:pPr>
        <w:spacing w:after="0" w:line="60" w:lineRule="exact"/>
        <w:rPr>
          <w:rFonts w:ascii="Arial" w:cs="Arial" w:eastAsia="Arial" w:hAnsi="Arial"/>
          <w:sz w:val="12"/>
          <w:szCs w:val="12"/>
          <w:color w:val="auto"/>
        </w:rPr>
      </w:pPr>
    </w:p>
    <w:p>
      <w:pPr>
        <w:ind w:left="860" w:hanging="296"/>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Managed Service Provider (“MSP”); Recruitment Process Outsourcing (“RPO”); Payroll Process Outsourcing (“PPO”).</w:t>
      </w:r>
    </w:p>
    <w:p>
      <w:pPr>
        <w:spacing w:after="0" w:line="5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10 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Proxy Summary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Select Awards and Recognitions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Recognized globally for the impact we deliver for clients 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150495</wp:posOffset>
            </wp:positionV>
            <wp:extent cx="6363970" cy="48044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63970" cy="480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160" w:type="dxa"/>
            <w:vAlign w:val="bottom"/>
          </w:tcPr>
          <w:p>
            <w:pPr>
              <w:jc w:val="center"/>
              <w:ind w:right="94"/>
              <w:spacing w:after="0"/>
              <w:rPr>
                <w:sz w:val="20"/>
                <w:szCs w:val="20"/>
                <w:color w:val="auto"/>
              </w:rPr>
            </w:pPr>
            <w:r>
              <w:rPr>
                <w:rFonts w:ascii="Arial" w:cs="Arial" w:eastAsia="Arial" w:hAnsi="Arial"/>
                <w:sz w:val="13"/>
                <w:szCs w:val="13"/>
                <w:b w:val="1"/>
                <w:bCs w:val="1"/>
                <w:color w:val="auto"/>
              </w:rPr>
              <w:t>KellyOCG Named MSP Leader on Everest</w:t>
            </w:r>
          </w:p>
        </w:tc>
        <w:tc>
          <w:tcPr>
            <w:tcW w:w="3340" w:type="dxa"/>
            <w:vAlign w:val="bottom"/>
          </w:tcPr>
          <w:p>
            <w:pPr>
              <w:jc w:val="center"/>
              <w:spacing w:after="0"/>
              <w:rPr>
                <w:sz w:val="20"/>
                <w:szCs w:val="20"/>
                <w:color w:val="auto"/>
              </w:rPr>
            </w:pPr>
            <w:r>
              <w:rPr>
                <w:rFonts w:ascii="Arial" w:cs="Arial" w:eastAsia="Arial" w:hAnsi="Arial"/>
                <w:sz w:val="13"/>
                <w:szCs w:val="13"/>
                <w:b w:val="1"/>
                <w:bCs w:val="1"/>
                <w:color w:val="auto"/>
              </w:rPr>
              <w:t>KellyOCG Named Services Procurement Leader,</w:t>
            </w:r>
          </w:p>
        </w:tc>
        <w:tc>
          <w:tcPr>
            <w:tcW w:w="3160" w:type="dxa"/>
            <w:vAlign w:val="bottom"/>
          </w:tcPr>
          <w:p>
            <w:pPr>
              <w:jc w:val="center"/>
              <w:ind w:left="94"/>
              <w:spacing w:after="0"/>
              <w:rPr>
                <w:sz w:val="20"/>
                <w:szCs w:val="20"/>
                <w:color w:val="auto"/>
              </w:rPr>
            </w:pPr>
            <w:r>
              <w:rPr>
                <w:rFonts w:ascii="Arial" w:cs="Arial" w:eastAsia="Arial" w:hAnsi="Arial"/>
                <w:sz w:val="13"/>
                <w:szCs w:val="13"/>
                <w:b w:val="1"/>
                <w:bCs w:val="1"/>
                <w:color w:val="auto"/>
              </w:rPr>
              <w:t>Kelly Professional &amp; Industrial Named</w:t>
            </w:r>
          </w:p>
        </w:tc>
        <w:tc>
          <w:tcPr>
            <w:tcW w:w="0" w:type="dxa"/>
            <w:vAlign w:val="bottom"/>
          </w:tcPr>
          <w:p>
            <w:pPr>
              <w:spacing w:after="0"/>
              <w:rPr>
                <w:sz w:val="1"/>
                <w:szCs w:val="1"/>
                <w:color w:val="auto"/>
              </w:rPr>
            </w:pPr>
          </w:p>
        </w:tc>
      </w:tr>
      <w:tr>
        <w:trPr>
          <w:trHeight w:val="149"/>
        </w:trPr>
        <w:tc>
          <w:tcPr>
            <w:tcW w:w="3160" w:type="dxa"/>
            <w:vAlign w:val="bottom"/>
          </w:tcPr>
          <w:p>
            <w:pPr>
              <w:jc w:val="center"/>
              <w:ind w:right="94"/>
              <w:spacing w:after="0"/>
              <w:rPr>
                <w:sz w:val="20"/>
                <w:szCs w:val="20"/>
                <w:color w:val="auto"/>
              </w:rPr>
            </w:pPr>
            <w:r>
              <w:rPr>
                <w:rFonts w:ascii="Arial" w:cs="Arial" w:eastAsia="Arial" w:hAnsi="Arial"/>
                <w:sz w:val="13"/>
                <w:szCs w:val="13"/>
                <w:b w:val="1"/>
                <w:bCs w:val="1"/>
                <w:color w:val="auto"/>
              </w:rPr>
              <w:t>Group’s PEAK Matrix Assessment</w:t>
            </w:r>
          </w:p>
        </w:tc>
        <w:tc>
          <w:tcPr>
            <w:tcW w:w="3340" w:type="dxa"/>
            <w:vAlign w:val="bottom"/>
          </w:tcPr>
          <w:p>
            <w:pPr>
              <w:jc w:val="center"/>
              <w:spacing w:after="0"/>
              <w:rPr>
                <w:sz w:val="20"/>
                <w:szCs w:val="20"/>
                <w:color w:val="auto"/>
              </w:rPr>
            </w:pPr>
            <w:r>
              <w:rPr>
                <w:rFonts w:ascii="Arial" w:cs="Arial" w:eastAsia="Arial" w:hAnsi="Arial"/>
                <w:sz w:val="13"/>
                <w:szCs w:val="13"/>
                <w:b w:val="1"/>
                <w:bCs w:val="1"/>
                <w:color w:val="auto"/>
              </w:rPr>
              <w:t>Star Performer by Everest Group</w:t>
            </w:r>
          </w:p>
        </w:tc>
        <w:tc>
          <w:tcPr>
            <w:tcW w:w="3160" w:type="dxa"/>
            <w:vAlign w:val="bottom"/>
          </w:tcPr>
          <w:p>
            <w:pPr>
              <w:jc w:val="center"/>
              <w:ind w:left="94"/>
              <w:spacing w:after="0"/>
              <w:rPr>
                <w:sz w:val="20"/>
                <w:szCs w:val="20"/>
                <w:color w:val="auto"/>
              </w:rPr>
            </w:pPr>
            <w:r>
              <w:rPr>
                <w:rFonts w:ascii="Arial" w:cs="Arial" w:eastAsia="Arial" w:hAnsi="Arial"/>
                <w:sz w:val="13"/>
                <w:szCs w:val="13"/>
                <w:b w:val="1"/>
                <w:bCs w:val="1"/>
                <w:color w:val="auto"/>
              </w:rPr>
              <w:t>Contingent Staffing Leader, Star Performer by</w:t>
            </w:r>
          </w:p>
        </w:tc>
        <w:tc>
          <w:tcPr>
            <w:tcW w:w="0" w:type="dxa"/>
            <w:vAlign w:val="bottom"/>
          </w:tcPr>
          <w:p>
            <w:pPr>
              <w:spacing w:after="0"/>
              <w:rPr>
                <w:sz w:val="1"/>
                <w:szCs w:val="1"/>
                <w:color w:val="auto"/>
              </w:rPr>
            </w:pPr>
          </w:p>
        </w:tc>
      </w:tr>
      <w:tr>
        <w:trPr>
          <w:trHeight w:val="180"/>
        </w:trPr>
        <w:tc>
          <w:tcPr>
            <w:tcW w:w="3160" w:type="dxa"/>
            <w:vAlign w:val="bottom"/>
            <w:vMerge w:val="restart"/>
          </w:tcPr>
          <w:p>
            <w:pPr>
              <w:jc w:val="center"/>
              <w:ind w:right="114"/>
              <w:spacing w:after="0"/>
              <w:rPr>
                <w:sz w:val="20"/>
                <w:szCs w:val="20"/>
                <w:color w:val="auto"/>
              </w:rPr>
            </w:pPr>
            <w:r>
              <w:rPr>
                <w:rFonts w:ascii="Arial" w:cs="Arial" w:eastAsia="Arial" w:hAnsi="Arial"/>
                <w:sz w:val="13"/>
                <w:szCs w:val="13"/>
                <w:color w:val="auto"/>
              </w:rPr>
              <w:t>KellyOCG continues to drive value for its clients,</w:t>
            </w:r>
          </w:p>
        </w:tc>
        <w:tc>
          <w:tcPr>
            <w:tcW w:w="3340" w:type="dxa"/>
            <w:vAlign w:val="bottom"/>
            <w:vMerge w:val="restart"/>
          </w:tcPr>
          <w:p>
            <w:pPr>
              <w:jc w:val="center"/>
              <w:spacing w:after="0"/>
              <w:rPr>
                <w:sz w:val="20"/>
                <w:szCs w:val="20"/>
                <w:color w:val="auto"/>
              </w:rPr>
            </w:pPr>
            <w:r>
              <w:rPr>
                <w:rFonts w:ascii="Arial" w:cs="Arial" w:eastAsia="Arial" w:hAnsi="Arial"/>
                <w:sz w:val="13"/>
                <w:szCs w:val="13"/>
                <w:color w:val="auto"/>
              </w:rPr>
              <w:t>KellyOCG has been named a services procurement</w:t>
            </w:r>
          </w:p>
        </w:tc>
        <w:tc>
          <w:tcPr>
            <w:tcW w:w="3160" w:type="dxa"/>
            <w:vAlign w:val="bottom"/>
          </w:tcPr>
          <w:p>
            <w:pPr>
              <w:jc w:val="center"/>
              <w:ind w:left="94"/>
              <w:spacing w:after="0"/>
              <w:rPr>
                <w:sz w:val="20"/>
                <w:szCs w:val="20"/>
                <w:color w:val="auto"/>
              </w:rPr>
            </w:pPr>
            <w:r>
              <w:rPr>
                <w:rFonts w:ascii="Arial" w:cs="Arial" w:eastAsia="Arial" w:hAnsi="Arial"/>
                <w:sz w:val="13"/>
                <w:szCs w:val="13"/>
                <w:b w:val="1"/>
                <w:bCs w:val="1"/>
                <w:color w:val="auto"/>
              </w:rPr>
              <w:t>Everest Group</w:t>
            </w: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160" w:type="dxa"/>
            <w:vAlign w:val="bottom"/>
          </w:tcPr>
          <w:p>
            <w:pPr>
              <w:jc w:val="center"/>
              <w:ind w:right="94"/>
              <w:spacing w:after="0"/>
              <w:rPr>
                <w:sz w:val="20"/>
                <w:szCs w:val="20"/>
                <w:color w:val="auto"/>
              </w:rPr>
            </w:pPr>
            <w:r>
              <w:rPr>
                <w:rFonts w:ascii="Arial" w:cs="Arial" w:eastAsia="Arial" w:hAnsi="Arial"/>
                <w:sz w:val="13"/>
                <w:szCs w:val="13"/>
                <w:color w:val="auto"/>
              </w:rPr>
              <w:t>building on its strong global presence and expertise</w:t>
            </w:r>
          </w:p>
        </w:tc>
        <w:tc>
          <w:tcPr>
            <w:tcW w:w="3340" w:type="dxa"/>
            <w:vAlign w:val="bottom"/>
          </w:tcPr>
          <w:p>
            <w:pPr>
              <w:jc w:val="center"/>
              <w:spacing w:after="0"/>
              <w:rPr>
                <w:sz w:val="20"/>
                <w:szCs w:val="20"/>
                <w:color w:val="auto"/>
              </w:rPr>
            </w:pPr>
            <w:r>
              <w:rPr>
                <w:rFonts w:ascii="Arial" w:cs="Arial" w:eastAsia="Arial" w:hAnsi="Arial"/>
                <w:sz w:val="13"/>
                <w:szCs w:val="13"/>
                <w:color w:val="auto"/>
              </w:rPr>
              <w:t>leader and star performer on Everest Group’s 2025</w:t>
            </w:r>
          </w:p>
        </w:tc>
        <w:tc>
          <w:tcPr>
            <w:tcW w:w="3160" w:type="dxa"/>
            <w:vAlign w:val="bottom"/>
          </w:tcPr>
          <w:p>
            <w:pPr>
              <w:jc w:val="center"/>
              <w:ind w:left="94"/>
              <w:spacing w:after="0"/>
              <w:rPr>
                <w:sz w:val="20"/>
                <w:szCs w:val="20"/>
                <w:color w:val="auto"/>
              </w:rPr>
            </w:pPr>
            <w:r>
              <w:rPr>
                <w:rFonts w:ascii="Arial" w:cs="Arial" w:eastAsia="Arial" w:hAnsi="Arial"/>
                <w:sz w:val="13"/>
                <w:szCs w:val="13"/>
                <w:color w:val="auto"/>
              </w:rPr>
              <w:t>Kelly Professional &amp; Industrial has been named a</w:t>
            </w:r>
          </w:p>
        </w:tc>
        <w:tc>
          <w:tcPr>
            <w:tcW w:w="0" w:type="dxa"/>
            <w:vAlign w:val="bottom"/>
          </w:tcPr>
          <w:p>
            <w:pPr>
              <w:spacing w:after="0"/>
              <w:rPr>
                <w:sz w:val="1"/>
                <w:szCs w:val="1"/>
                <w:color w:val="auto"/>
              </w:rPr>
            </w:pPr>
          </w:p>
        </w:tc>
      </w:tr>
      <w:tr>
        <w:trPr>
          <w:trHeight w:val="149"/>
        </w:trPr>
        <w:tc>
          <w:tcPr>
            <w:tcW w:w="3160" w:type="dxa"/>
            <w:vAlign w:val="bottom"/>
          </w:tcPr>
          <w:p>
            <w:pPr>
              <w:jc w:val="center"/>
              <w:ind w:right="94"/>
              <w:spacing w:after="0"/>
              <w:rPr>
                <w:sz w:val="20"/>
                <w:szCs w:val="20"/>
                <w:color w:val="auto"/>
              </w:rPr>
            </w:pPr>
            <w:r>
              <w:rPr>
                <w:rFonts w:ascii="Arial" w:cs="Arial" w:eastAsia="Arial" w:hAnsi="Arial"/>
                <w:sz w:val="13"/>
                <w:szCs w:val="13"/>
                <w:color w:val="auto"/>
              </w:rPr>
              <w:t>in catering to diverse client needs.</w:t>
            </w:r>
          </w:p>
        </w:tc>
        <w:tc>
          <w:tcPr>
            <w:tcW w:w="3340" w:type="dxa"/>
            <w:vAlign w:val="bottom"/>
          </w:tcPr>
          <w:p>
            <w:pPr>
              <w:jc w:val="center"/>
              <w:spacing w:after="0"/>
              <w:rPr>
                <w:sz w:val="20"/>
                <w:szCs w:val="20"/>
                <w:color w:val="auto"/>
              </w:rPr>
            </w:pPr>
            <w:r>
              <w:rPr>
                <w:rFonts w:ascii="Arial" w:cs="Arial" w:eastAsia="Arial" w:hAnsi="Arial"/>
                <w:sz w:val="13"/>
                <w:szCs w:val="13"/>
                <w:color w:val="auto"/>
              </w:rPr>
              <w:t>PEAK Matrix Assessment.</w:t>
            </w:r>
          </w:p>
        </w:tc>
        <w:tc>
          <w:tcPr>
            <w:tcW w:w="3160" w:type="dxa"/>
            <w:vAlign w:val="bottom"/>
          </w:tcPr>
          <w:p>
            <w:pPr>
              <w:jc w:val="center"/>
              <w:ind w:left="94"/>
              <w:spacing w:after="0"/>
              <w:rPr>
                <w:sz w:val="20"/>
                <w:szCs w:val="20"/>
                <w:color w:val="auto"/>
              </w:rPr>
            </w:pPr>
            <w:r>
              <w:rPr>
                <w:rFonts w:ascii="Arial" w:cs="Arial" w:eastAsia="Arial" w:hAnsi="Arial"/>
                <w:sz w:val="13"/>
                <w:szCs w:val="13"/>
                <w:color w:val="auto"/>
              </w:rPr>
              <w:t>leader and star performer on Everest Group’s 2025</w:t>
            </w: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160" w:type="dxa"/>
            <w:vAlign w:val="bottom"/>
          </w:tcPr>
          <w:p>
            <w:pPr>
              <w:jc w:val="center"/>
              <w:ind w:left="94"/>
              <w:spacing w:after="0"/>
              <w:rPr>
                <w:sz w:val="20"/>
                <w:szCs w:val="20"/>
                <w:color w:val="auto"/>
              </w:rPr>
            </w:pPr>
            <w:r>
              <w:rPr>
                <w:rFonts w:ascii="Arial" w:cs="Arial" w:eastAsia="Arial" w:hAnsi="Arial"/>
                <w:sz w:val="13"/>
                <w:szCs w:val="13"/>
                <w:color w:val="auto"/>
              </w:rPr>
              <w:t>US Contingent Staffing PEAK Matrix Assessment.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3180" w:type="dxa"/>
            <w:vAlign w:val="bottom"/>
          </w:tcPr>
          <w:p>
            <w:pPr>
              <w:jc w:val="center"/>
              <w:ind w:right="34"/>
              <w:spacing w:after="0"/>
              <w:rPr>
                <w:sz w:val="20"/>
                <w:szCs w:val="20"/>
                <w:color w:val="auto"/>
              </w:rPr>
            </w:pPr>
            <w:r>
              <w:rPr>
                <w:rFonts w:ascii="Arial" w:cs="Arial" w:eastAsia="Arial" w:hAnsi="Arial"/>
                <w:sz w:val="13"/>
                <w:szCs w:val="13"/>
                <w:b w:val="1"/>
                <w:bCs w:val="1"/>
                <w:color w:val="auto"/>
              </w:rPr>
              <w:t>Kelly Engineering Named a Contingent Staffing</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Kelly + Motion Recruitment Named IT Contingent</w:t>
            </w:r>
          </w:p>
        </w:tc>
        <w:tc>
          <w:tcPr>
            <w:tcW w:w="3140" w:type="dxa"/>
            <w:vAlign w:val="bottom"/>
          </w:tcPr>
          <w:p>
            <w:pPr>
              <w:jc w:val="center"/>
              <w:ind w:left="54"/>
              <w:spacing w:after="0"/>
              <w:rPr>
                <w:sz w:val="20"/>
                <w:szCs w:val="20"/>
                <w:color w:val="auto"/>
              </w:rPr>
            </w:pPr>
            <w:r>
              <w:rPr>
                <w:rFonts w:ascii="Arial" w:cs="Arial" w:eastAsia="Arial" w:hAnsi="Arial"/>
                <w:sz w:val="13"/>
                <w:szCs w:val="13"/>
                <w:b w:val="1"/>
                <w:bCs w:val="1"/>
                <w:color w:val="auto"/>
              </w:rPr>
              <w:t>KellyOCG + Sevenstep Named RPO Leader, Star</w:t>
            </w:r>
          </w:p>
        </w:tc>
      </w:tr>
      <w:tr>
        <w:trPr>
          <w:trHeight w:val="180"/>
        </w:trPr>
        <w:tc>
          <w:tcPr>
            <w:tcW w:w="3180" w:type="dxa"/>
            <w:vAlign w:val="bottom"/>
          </w:tcPr>
          <w:p>
            <w:pPr>
              <w:jc w:val="center"/>
              <w:ind w:right="34"/>
              <w:spacing w:after="0"/>
              <w:rPr>
                <w:sz w:val="20"/>
                <w:szCs w:val="20"/>
                <w:color w:val="auto"/>
              </w:rPr>
            </w:pPr>
            <w:r>
              <w:rPr>
                <w:rFonts w:ascii="Arial" w:cs="Arial" w:eastAsia="Arial" w:hAnsi="Arial"/>
                <w:sz w:val="13"/>
                <w:szCs w:val="13"/>
                <w:b w:val="1"/>
                <w:bCs w:val="1"/>
                <w:color w:val="auto"/>
              </w:rPr>
              <w:t>Leader, Star Performer by Everest Group</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Staffing Leader, Star Performer by Everest Group</w:t>
            </w:r>
          </w:p>
        </w:tc>
        <w:tc>
          <w:tcPr>
            <w:tcW w:w="3140" w:type="dxa"/>
            <w:vAlign w:val="bottom"/>
          </w:tcPr>
          <w:p>
            <w:pPr>
              <w:jc w:val="center"/>
              <w:ind w:left="34"/>
              <w:spacing w:after="0"/>
              <w:rPr>
                <w:sz w:val="20"/>
                <w:szCs w:val="20"/>
                <w:color w:val="auto"/>
              </w:rPr>
            </w:pPr>
            <w:r>
              <w:rPr>
                <w:rFonts w:ascii="Arial" w:cs="Arial" w:eastAsia="Arial" w:hAnsi="Arial"/>
                <w:sz w:val="13"/>
                <w:szCs w:val="13"/>
                <w:b w:val="1"/>
                <w:bCs w:val="1"/>
                <w:color w:val="auto"/>
              </w:rPr>
              <w:t>Performer by Everest Group</w:t>
            </w:r>
          </w:p>
        </w:tc>
      </w:tr>
      <w:tr>
        <w:trPr>
          <w:trHeight w:val="230"/>
        </w:trPr>
        <w:tc>
          <w:tcPr>
            <w:tcW w:w="3180" w:type="dxa"/>
            <w:vAlign w:val="bottom"/>
          </w:tcPr>
          <w:p>
            <w:pPr>
              <w:jc w:val="center"/>
              <w:ind w:right="54"/>
              <w:spacing w:after="0"/>
              <w:rPr>
                <w:sz w:val="20"/>
                <w:szCs w:val="20"/>
                <w:color w:val="auto"/>
              </w:rPr>
            </w:pPr>
            <w:r>
              <w:rPr>
                <w:rFonts w:ascii="Arial" w:cs="Arial" w:eastAsia="Arial" w:hAnsi="Arial"/>
                <w:sz w:val="13"/>
                <w:szCs w:val="13"/>
                <w:color w:val="auto"/>
              </w:rPr>
              <w:t>Kelly Engineering has been named a Star Performer</w:t>
            </w:r>
          </w:p>
        </w:tc>
        <w:tc>
          <w:tcPr>
            <w:tcW w:w="3400" w:type="dxa"/>
            <w:vAlign w:val="bottom"/>
          </w:tcPr>
          <w:p>
            <w:pPr>
              <w:jc w:val="center"/>
              <w:spacing w:after="0"/>
              <w:rPr>
                <w:sz w:val="20"/>
                <w:szCs w:val="20"/>
                <w:color w:val="auto"/>
              </w:rPr>
            </w:pPr>
            <w:r>
              <w:rPr>
                <w:rFonts w:ascii="Arial" w:cs="Arial" w:eastAsia="Arial" w:hAnsi="Arial"/>
                <w:sz w:val="13"/>
                <w:szCs w:val="13"/>
                <w:color w:val="auto"/>
              </w:rPr>
              <w:t>Kelly + Motion Recruitment has been selected as both</w:t>
            </w:r>
          </w:p>
        </w:tc>
        <w:tc>
          <w:tcPr>
            <w:tcW w:w="3140" w:type="dxa"/>
            <w:vAlign w:val="bottom"/>
          </w:tcPr>
          <w:p>
            <w:pPr>
              <w:jc w:val="center"/>
              <w:ind w:left="54"/>
              <w:spacing w:after="0"/>
              <w:rPr>
                <w:sz w:val="20"/>
                <w:szCs w:val="20"/>
                <w:color w:val="auto"/>
              </w:rPr>
            </w:pPr>
            <w:r>
              <w:rPr>
                <w:rFonts w:ascii="Arial" w:cs="Arial" w:eastAsia="Arial" w:hAnsi="Arial"/>
                <w:sz w:val="13"/>
                <w:szCs w:val="13"/>
                <w:color w:val="auto"/>
              </w:rPr>
              <w:t>KellyOCG + Sevenstep has been named a leader</w:t>
            </w:r>
          </w:p>
        </w:tc>
      </w:tr>
      <w:tr>
        <w:trPr>
          <w:trHeight w:val="149"/>
        </w:trPr>
        <w:tc>
          <w:tcPr>
            <w:tcW w:w="3180" w:type="dxa"/>
            <w:vAlign w:val="bottom"/>
          </w:tcPr>
          <w:p>
            <w:pPr>
              <w:jc w:val="center"/>
              <w:ind w:right="54"/>
              <w:spacing w:after="0"/>
              <w:rPr>
                <w:sz w:val="20"/>
                <w:szCs w:val="20"/>
                <w:color w:val="auto"/>
              </w:rPr>
            </w:pPr>
            <w:r>
              <w:rPr>
                <w:rFonts w:ascii="Arial" w:cs="Arial" w:eastAsia="Arial" w:hAnsi="Arial"/>
                <w:sz w:val="13"/>
                <w:szCs w:val="13"/>
                <w:color w:val="auto"/>
              </w:rPr>
              <w:t>and Leader on Everest Group’s 2025 US Contingent</w:t>
            </w:r>
          </w:p>
        </w:tc>
        <w:tc>
          <w:tcPr>
            <w:tcW w:w="3400" w:type="dxa"/>
            <w:vAlign w:val="bottom"/>
          </w:tcPr>
          <w:p>
            <w:pPr>
              <w:jc w:val="center"/>
              <w:spacing w:after="0"/>
              <w:rPr>
                <w:sz w:val="20"/>
                <w:szCs w:val="20"/>
                <w:color w:val="auto"/>
              </w:rPr>
            </w:pPr>
            <w:r>
              <w:rPr>
                <w:rFonts w:ascii="Arial" w:cs="Arial" w:eastAsia="Arial" w:hAnsi="Arial"/>
                <w:sz w:val="13"/>
                <w:szCs w:val="13"/>
                <w:color w:val="auto"/>
              </w:rPr>
              <w:t>an IT leader and star performer on Everest Group’s</w:t>
            </w:r>
          </w:p>
        </w:tc>
        <w:tc>
          <w:tcPr>
            <w:tcW w:w="3140" w:type="dxa"/>
            <w:vAlign w:val="bottom"/>
          </w:tcPr>
          <w:p>
            <w:pPr>
              <w:jc w:val="center"/>
              <w:ind w:left="54"/>
              <w:spacing w:after="0"/>
              <w:rPr>
                <w:sz w:val="20"/>
                <w:szCs w:val="20"/>
                <w:color w:val="auto"/>
              </w:rPr>
            </w:pPr>
            <w:r>
              <w:rPr>
                <w:rFonts w:ascii="Arial" w:cs="Arial" w:eastAsia="Arial" w:hAnsi="Arial"/>
                <w:sz w:val="13"/>
                <w:szCs w:val="13"/>
                <w:color w:val="auto"/>
              </w:rPr>
              <w:t>and star performer on Everest Group’s 2025</w:t>
            </w:r>
          </w:p>
        </w:tc>
      </w:tr>
      <w:tr>
        <w:trPr>
          <w:trHeight w:val="149"/>
        </w:trPr>
        <w:tc>
          <w:tcPr>
            <w:tcW w:w="3180" w:type="dxa"/>
            <w:vAlign w:val="bottom"/>
          </w:tcPr>
          <w:p>
            <w:pPr>
              <w:jc w:val="center"/>
              <w:ind w:right="34"/>
              <w:spacing w:after="0"/>
              <w:rPr>
                <w:sz w:val="20"/>
                <w:szCs w:val="20"/>
                <w:color w:val="auto"/>
              </w:rPr>
            </w:pPr>
            <w:r>
              <w:rPr>
                <w:rFonts w:ascii="Arial" w:cs="Arial" w:eastAsia="Arial" w:hAnsi="Arial"/>
                <w:sz w:val="13"/>
                <w:szCs w:val="13"/>
                <w:color w:val="auto"/>
              </w:rPr>
              <w:t>Staffing PEAK Matrix Assessment.</w:t>
            </w:r>
          </w:p>
        </w:tc>
        <w:tc>
          <w:tcPr>
            <w:tcW w:w="3400" w:type="dxa"/>
            <w:vAlign w:val="bottom"/>
          </w:tcPr>
          <w:p>
            <w:pPr>
              <w:jc w:val="center"/>
              <w:spacing w:after="0"/>
              <w:rPr>
                <w:sz w:val="20"/>
                <w:szCs w:val="20"/>
                <w:color w:val="auto"/>
              </w:rPr>
            </w:pPr>
            <w:r>
              <w:rPr>
                <w:rFonts w:ascii="Arial" w:cs="Arial" w:eastAsia="Arial" w:hAnsi="Arial"/>
                <w:sz w:val="13"/>
                <w:szCs w:val="13"/>
                <w:color w:val="auto"/>
              </w:rPr>
              <w:t>2025 US Contingent Staffing PEAK Matrix</w:t>
            </w:r>
          </w:p>
        </w:tc>
        <w:tc>
          <w:tcPr>
            <w:tcW w:w="3140" w:type="dxa"/>
            <w:vAlign w:val="bottom"/>
          </w:tcPr>
          <w:p>
            <w:pPr>
              <w:jc w:val="center"/>
              <w:ind w:left="34"/>
              <w:spacing w:after="0"/>
              <w:rPr>
                <w:sz w:val="20"/>
                <w:szCs w:val="20"/>
                <w:color w:val="auto"/>
              </w:rPr>
            </w:pPr>
            <w:r>
              <w:rPr>
                <w:rFonts w:ascii="Arial" w:cs="Arial" w:eastAsia="Arial" w:hAnsi="Arial"/>
                <w:sz w:val="13"/>
                <w:szCs w:val="13"/>
                <w:color w:val="auto"/>
              </w:rPr>
              <w:t>Recruitment Process Outsourcing Services PEAK</w:t>
            </w:r>
          </w:p>
        </w:tc>
      </w:tr>
      <w:tr>
        <w:trPr>
          <w:trHeight w:val="174"/>
        </w:trPr>
        <w:tc>
          <w:tcPr>
            <w:tcW w:w="318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3"/>
                <w:szCs w:val="13"/>
                <w:color w:val="auto"/>
                <w:w w:val="99"/>
              </w:rPr>
              <w:t>Assessment.</w:t>
            </w:r>
          </w:p>
        </w:tc>
        <w:tc>
          <w:tcPr>
            <w:tcW w:w="3140" w:type="dxa"/>
            <w:vAlign w:val="bottom"/>
          </w:tcPr>
          <w:p>
            <w:pPr>
              <w:jc w:val="center"/>
              <w:ind w:left="34"/>
              <w:spacing w:after="0"/>
              <w:rPr>
                <w:sz w:val="20"/>
                <w:szCs w:val="20"/>
                <w:color w:val="auto"/>
              </w:rPr>
            </w:pPr>
            <w:r>
              <w:rPr>
                <w:rFonts w:ascii="Arial" w:cs="Arial" w:eastAsia="Arial" w:hAnsi="Arial"/>
                <w:sz w:val="13"/>
                <w:szCs w:val="13"/>
                <w:color w:val="auto"/>
              </w:rPr>
              <w:t>Matrix Assessment – Global.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080" w:type="dxa"/>
            <w:vAlign w:val="bottom"/>
          </w:tcPr>
          <w:p>
            <w:pPr>
              <w:jc w:val="center"/>
              <w:ind w:right="54"/>
              <w:spacing w:after="0"/>
              <w:rPr>
                <w:sz w:val="20"/>
                <w:szCs w:val="20"/>
                <w:color w:val="auto"/>
              </w:rPr>
            </w:pPr>
            <w:r>
              <w:rPr>
                <w:rFonts w:ascii="Arial" w:cs="Arial" w:eastAsia="Arial" w:hAnsi="Arial"/>
                <w:sz w:val="13"/>
                <w:szCs w:val="13"/>
                <w:b w:val="1"/>
                <w:bCs w:val="1"/>
                <w:color w:val="auto"/>
              </w:rPr>
              <w:t>Kelly Named No. 2 Temporary Staffing Firm in</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Kelly Named No. 2 Professional Recruiting Firm in</w:t>
            </w:r>
          </w:p>
        </w:tc>
        <w:tc>
          <w:tcPr>
            <w:tcW w:w="3120" w:type="dxa"/>
            <w:vAlign w:val="bottom"/>
          </w:tcPr>
          <w:p>
            <w:pPr>
              <w:jc w:val="center"/>
              <w:ind w:left="54"/>
              <w:spacing w:after="0"/>
              <w:rPr>
                <w:sz w:val="20"/>
                <w:szCs w:val="20"/>
                <w:color w:val="auto"/>
              </w:rPr>
            </w:pPr>
            <w:r>
              <w:rPr>
                <w:rFonts w:ascii="Arial" w:cs="Arial" w:eastAsia="Arial" w:hAnsi="Arial"/>
                <w:sz w:val="13"/>
                <w:szCs w:val="13"/>
                <w:b w:val="1"/>
                <w:bCs w:val="1"/>
                <w:color w:val="auto"/>
              </w:rPr>
              <w:t>Kelly One of the Largest Staffing Firms Globally</w:t>
            </w:r>
          </w:p>
        </w:tc>
        <w:tc>
          <w:tcPr>
            <w:tcW w:w="0" w:type="dxa"/>
            <w:vAlign w:val="bottom"/>
          </w:tcPr>
          <w:p>
            <w:pPr>
              <w:spacing w:after="0"/>
              <w:rPr>
                <w:sz w:val="1"/>
                <w:szCs w:val="1"/>
                <w:color w:val="auto"/>
              </w:rPr>
            </w:pPr>
          </w:p>
        </w:tc>
      </w:tr>
      <w:tr>
        <w:trPr>
          <w:trHeight w:val="180"/>
        </w:trPr>
        <w:tc>
          <w:tcPr>
            <w:tcW w:w="3080" w:type="dxa"/>
            <w:vAlign w:val="bottom"/>
          </w:tcPr>
          <w:p>
            <w:pPr>
              <w:jc w:val="center"/>
              <w:ind w:right="54"/>
              <w:spacing w:after="0"/>
              <w:rPr>
                <w:sz w:val="20"/>
                <w:szCs w:val="20"/>
                <w:color w:val="auto"/>
              </w:rPr>
            </w:pPr>
            <w:r>
              <w:rPr>
                <w:rFonts w:ascii="Arial" w:cs="Arial" w:eastAsia="Arial" w:hAnsi="Arial"/>
                <w:sz w:val="13"/>
                <w:szCs w:val="13"/>
                <w:b w:val="1"/>
                <w:bCs w:val="1"/>
                <w:color w:val="auto"/>
              </w:rPr>
              <w:t>America by Forbes</w:t>
            </w: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rPr>
              <w:t>America by Forbes</w:t>
            </w:r>
          </w:p>
        </w:tc>
        <w:tc>
          <w:tcPr>
            <w:tcW w:w="3120" w:type="dxa"/>
            <w:vAlign w:val="bottom"/>
            <w:vMerge w:val="restart"/>
          </w:tcPr>
          <w:p>
            <w:pPr>
              <w:jc w:val="center"/>
              <w:ind w:left="54"/>
              <w:spacing w:after="0"/>
              <w:rPr>
                <w:sz w:val="20"/>
                <w:szCs w:val="20"/>
                <w:color w:val="auto"/>
              </w:rPr>
            </w:pPr>
            <w:r>
              <w:rPr>
                <w:rFonts w:ascii="Arial" w:cs="Arial" w:eastAsia="Arial" w:hAnsi="Arial"/>
                <w:sz w:val="13"/>
                <w:szCs w:val="13"/>
                <w:color w:val="auto"/>
              </w:rPr>
              <w:t>Kelly is one of the largest staffing firms globally,</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80" w:type="dxa"/>
            <w:vAlign w:val="bottom"/>
          </w:tcPr>
          <w:p>
            <w:pPr>
              <w:jc w:val="center"/>
              <w:ind w:right="54"/>
              <w:spacing w:after="0"/>
              <w:rPr>
                <w:sz w:val="20"/>
                <w:szCs w:val="20"/>
                <w:color w:val="auto"/>
              </w:rPr>
            </w:pPr>
            <w:r>
              <w:rPr>
                <w:rFonts w:ascii="Arial" w:cs="Arial" w:eastAsia="Arial" w:hAnsi="Arial"/>
                <w:sz w:val="13"/>
                <w:szCs w:val="13"/>
                <w:color w:val="auto"/>
              </w:rPr>
              <w:t>After an extensive survey of recruiters, hiring</w:t>
            </w:r>
          </w:p>
        </w:tc>
        <w:tc>
          <w:tcPr>
            <w:tcW w:w="3440" w:type="dxa"/>
            <w:vAlign w:val="bottom"/>
          </w:tcPr>
          <w:p>
            <w:pPr>
              <w:jc w:val="center"/>
              <w:spacing w:after="0"/>
              <w:rPr>
                <w:sz w:val="20"/>
                <w:szCs w:val="20"/>
                <w:color w:val="auto"/>
              </w:rPr>
            </w:pPr>
            <w:r>
              <w:rPr>
                <w:rFonts w:ascii="Arial" w:cs="Arial" w:eastAsia="Arial" w:hAnsi="Arial"/>
                <w:sz w:val="13"/>
                <w:szCs w:val="13"/>
                <w:color w:val="auto"/>
              </w:rPr>
              <w:t>After an extensive survey of recruiters, hiring</w:t>
            </w:r>
          </w:p>
        </w:tc>
        <w:tc>
          <w:tcPr>
            <w:tcW w:w="3120" w:type="dxa"/>
            <w:vAlign w:val="bottom"/>
          </w:tcPr>
          <w:p>
            <w:pPr>
              <w:jc w:val="center"/>
              <w:ind w:left="54"/>
              <w:spacing w:after="0"/>
              <w:rPr>
                <w:sz w:val="20"/>
                <w:szCs w:val="20"/>
                <w:color w:val="auto"/>
              </w:rPr>
            </w:pPr>
            <w:r>
              <w:rPr>
                <w:rFonts w:ascii="Arial" w:cs="Arial" w:eastAsia="Arial" w:hAnsi="Arial"/>
                <w:sz w:val="13"/>
                <w:szCs w:val="13"/>
                <w:color w:val="auto"/>
              </w:rPr>
              <w:t>according to the 2025 ranking by Staffing Industry</w:t>
            </w:r>
          </w:p>
        </w:tc>
        <w:tc>
          <w:tcPr>
            <w:tcW w:w="0" w:type="dxa"/>
            <w:vAlign w:val="bottom"/>
          </w:tcPr>
          <w:p>
            <w:pPr>
              <w:spacing w:after="0"/>
              <w:rPr>
                <w:sz w:val="1"/>
                <w:szCs w:val="1"/>
                <w:color w:val="auto"/>
              </w:rPr>
            </w:pPr>
          </w:p>
        </w:tc>
      </w:tr>
      <w:tr>
        <w:trPr>
          <w:trHeight w:val="149"/>
        </w:trPr>
        <w:tc>
          <w:tcPr>
            <w:tcW w:w="3080" w:type="dxa"/>
            <w:vAlign w:val="bottom"/>
          </w:tcPr>
          <w:p>
            <w:pPr>
              <w:jc w:val="center"/>
              <w:ind w:right="74"/>
              <w:spacing w:after="0"/>
              <w:rPr>
                <w:sz w:val="20"/>
                <w:szCs w:val="20"/>
                <w:color w:val="auto"/>
              </w:rPr>
            </w:pPr>
            <w:r>
              <w:rPr>
                <w:rFonts w:ascii="Arial" w:cs="Arial" w:eastAsia="Arial" w:hAnsi="Arial"/>
                <w:sz w:val="13"/>
                <w:szCs w:val="13"/>
                <w:color w:val="auto"/>
              </w:rPr>
              <w:t>managers and job seekers, Kelly has been named</w:t>
            </w:r>
          </w:p>
        </w:tc>
        <w:tc>
          <w:tcPr>
            <w:tcW w:w="3440" w:type="dxa"/>
            <w:vAlign w:val="bottom"/>
          </w:tcPr>
          <w:p>
            <w:pPr>
              <w:jc w:val="center"/>
              <w:spacing w:after="0"/>
              <w:rPr>
                <w:sz w:val="20"/>
                <w:szCs w:val="20"/>
                <w:color w:val="auto"/>
              </w:rPr>
            </w:pPr>
            <w:r>
              <w:rPr>
                <w:rFonts w:ascii="Arial" w:cs="Arial" w:eastAsia="Arial" w:hAnsi="Arial"/>
                <w:sz w:val="13"/>
                <w:szCs w:val="13"/>
                <w:color w:val="auto"/>
              </w:rPr>
              <w:t>managers and job seekers, Kelly has been named one</w:t>
            </w:r>
          </w:p>
        </w:tc>
        <w:tc>
          <w:tcPr>
            <w:tcW w:w="3120" w:type="dxa"/>
            <w:vAlign w:val="bottom"/>
          </w:tcPr>
          <w:p>
            <w:pPr>
              <w:jc w:val="center"/>
              <w:ind w:left="54"/>
              <w:spacing w:after="0"/>
              <w:rPr>
                <w:sz w:val="20"/>
                <w:szCs w:val="20"/>
                <w:color w:val="auto"/>
              </w:rPr>
            </w:pPr>
            <w:r>
              <w:rPr>
                <w:rFonts w:ascii="Arial" w:cs="Arial" w:eastAsia="Arial" w:hAnsi="Arial"/>
                <w:sz w:val="13"/>
                <w:szCs w:val="13"/>
                <w:color w:val="auto"/>
              </w:rPr>
              <w:t>Analysts (SIA).</w:t>
            </w:r>
          </w:p>
        </w:tc>
        <w:tc>
          <w:tcPr>
            <w:tcW w:w="0" w:type="dxa"/>
            <w:vAlign w:val="bottom"/>
          </w:tcPr>
          <w:p>
            <w:pPr>
              <w:spacing w:after="0"/>
              <w:rPr>
                <w:sz w:val="1"/>
                <w:szCs w:val="1"/>
                <w:color w:val="auto"/>
              </w:rPr>
            </w:pPr>
          </w:p>
        </w:tc>
      </w:tr>
      <w:tr>
        <w:trPr>
          <w:trHeight w:val="149"/>
        </w:trPr>
        <w:tc>
          <w:tcPr>
            <w:tcW w:w="3080" w:type="dxa"/>
            <w:vAlign w:val="bottom"/>
          </w:tcPr>
          <w:p>
            <w:pPr>
              <w:jc w:val="center"/>
              <w:ind w:right="54"/>
              <w:spacing w:after="0"/>
              <w:rPr>
                <w:sz w:val="20"/>
                <w:szCs w:val="20"/>
                <w:color w:val="auto"/>
              </w:rPr>
            </w:pPr>
            <w:r>
              <w:rPr>
                <w:rFonts w:ascii="Arial" w:cs="Arial" w:eastAsia="Arial" w:hAnsi="Arial"/>
                <w:sz w:val="13"/>
                <w:szCs w:val="13"/>
                <w:color w:val="auto"/>
              </w:rPr>
              <w:t>one of the best temporary staffing firms in America</w:t>
            </w:r>
          </w:p>
        </w:tc>
        <w:tc>
          <w:tcPr>
            <w:tcW w:w="3440" w:type="dxa"/>
            <w:vAlign w:val="bottom"/>
          </w:tcPr>
          <w:p>
            <w:pPr>
              <w:jc w:val="center"/>
              <w:spacing w:after="0"/>
              <w:rPr>
                <w:sz w:val="20"/>
                <w:szCs w:val="20"/>
                <w:color w:val="auto"/>
              </w:rPr>
            </w:pPr>
            <w:r>
              <w:rPr>
                <w:rFonts w:ascii="Arial" w:cs="Arial" w:eastAsia="Arial" w:hAnsi="Arial"/>
                <w:sz w:val="13"/>
                <w:szCs w:val="13"/>
                <w:color w:val="auto"/>
              </w:rPr>
              <w:t>of the best professional recruiting firms in America by</w:t>
            </w: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80" w:type="dxa"/>
            <w:vAlign w:val="bottom"/>
          </w:tcPr>
          <w:p>
            <w:pPr>
              <w:jc w:val="center"/>
              <w:ind w:right="54"/>
              <w:spacing w:after="0"/>
              <w:rPr>
                <w:sz w:val="20"/>
                <w:szCs w:val="20"/>
                <w:color w:val="auto"/>
              </w:rPr>
            </w:pPr>
            <w:r>
              <w:rPr>
                <w:rFonts w:ascii="Arial" w:cs="Arial" w:eastAsia="Arial" w:hAnsi="Arial"/>
                <w:sz w:val="13"/>
                <w:szCs w:val="13"/>
                <w:color w:val="auto"/>
              </w:rPr>
              <w:t>by Forbes.</w:t>
            </w:r>
          </w:p>
        </w:tc>
        <w:tc>
          <w:tcPr>
            <w:tcW w:w="3440" w:type="dxa"/>
            <w:vAlign w:val="bottom"/>
          </w:tcPr>
          <w:p>
            <w:pPr>
              <w:jc w:val="center"/>
              <w:spacing w:after="0"/>
              <w:rPr>
                <w:sz w:val="20"/>
                <w:szCs w:val="20"/>
                <w:color w:val="auto"/>
              </w:rPr>
            </w:pPr>
            <w:r>
              <w:rPr>
                <w:rFonts w:ascii="Arial" w:cs="Arial" w:eastAsia="Arial" w:hAnsi="Arial"/>
                <w:sz w:val="13"/>
                <w:szCs w:val="13"/>
                <w:color w:val="auto"/>
              </w:rPr>
              <w:t>Forbes.</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280" w:type="dxa"/>
            <w:vAlign w:val="bottom"/>
          </w:tcPr>
          <w:p>
            <w:pPr>
              <w:jc w:val="center"/>
              <w:ind w:left="14"/>
              <w:spacing w:after="0"/>
              <w:rPr>
                <w:sz w:val="20"/>
                <w:szCs w:val="20"/>
                <w:color w:val="auto"/>
              </w:rPr>
            </w:pPr>
            <w:r>
              <w:rPr>
                <w:rFonts w:ascii="Arial" w:cs="Arial" w:eastAsia="Arial" w:hAnsi="Arial"/>
                <w:sz w:val="13"/>
                <w:szCs w:val="13"/>
                <w:b w:val="1"/>
                <w:bCs w:val="1"/>
                <w:color w:val="auto"/>
              </w:rPr>
              <w:t>Kelly One of America’s Largest Staffing Firms</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Kelly One of the Largest U.S. Industrial Staffing</w:t>
            </w:r>
          </w:p>
        </w:tc>
        <w:tc>
          <w:tcPr>
            <w:tcW w:w="3060" w:type="dxa"/>
            <w:vAlign w:val="bottom"/>
            <w:gridSpan w:val="3"/>
          </w:tcPr>
          <w:p>
            <w:pPr>
              <w:jc w:val="center"/>
              <w:ind w:left="168"/>
              <w:spacing w:after="0"/>
              <w:rPr>
                <w:sz w:val="20"/>
                <w:szCs w:val="20"/>
                <w:color w:val="auto"/>
              </w:rPr>
            </w:pPr>
            <w:r>
              <w:rPr>
                <w:rFonts w:ascii="Arial" w:cs="Arial" w:eastAsia="Arial" w:hAnsi="Arial"/>
                <w:sz w:val="13"/>
                <w:szCs w:val="13"/>
                <w:b w:val="1"/>
                <w:bCs w:val="1"/>
                <w:color w:val="auto"/>
              </w:rPr>
              <w:t>Kelly One of the Largest U.S. Office/Clerical</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vMerge w:val="restart"/>
          </w:tcPr>
          <w:p>
            <w:pPr>
              <w:jc w:val="center"/>
              <w:ind w:left="14"/>
              <w:spacing w:after="0"/>
              <w:rPr>
                <w:sz w:val="20"/>
                <w:szCs w:val="20"/>
                <w:color w:val="auto"/>
              </w:rPr>
            </w:pPr>
            <w:r>
              <w:rPr>
                <w:rFonts w:ascii="Arial" w:cs="Arial" w:eastAsia="Arial" w:hAnsi="Arial"/>
                <w:sz w:val="13"/>
                <w:szCs w:val="13"/>
                <w:color w:val="auto"/>
              </w:rPr>
              <w:t>Kelly is one of the largest staffing firms in the U.S.,</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Firms</w:t>
            </w:r>
          </w:p>
        </w:tc>
        <w:tc>
          <w:tcPr>
            <w:tcW w:w="2620" w:type="dxa"/>
            <w:vAlign w:val="bottom"/>
          </w:tcPr>
          <w:p>
            <w:pPr>
              <w:jc w:val="center"/>
              <w:ind w:left="588"/>
              <w:spacing w:after="0"/>
              <w:rPr>
                <w:sz w:val="20"/>
                <w:szCs w:val="20"/>
                <w:color w:val="auto"/>
              </w:rPr>
            </w:pPr>
            <w:r>
              <w:rPr>
                <w:rFonts w:ascii="Arial" w:cs="Arial" w:eastAsia="Arial" w:hAnsi="Arial"/>
                <w:sz w:val="13"/>
                <w:szCs w:val="13"/>
                <w:b w:val="1"/>
                <w:bCs w:val="1"/>
                <w:color w:val="auto"/>
              </w:rPr>
              <w:t>Staffing Firms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280" w:type="dxa"/>
            <w:vAlign w:val="bottom"/>
            <w:vMerge w:val="continue"/>
          </w:tcPr>
          <w:p>
            <w:pPr>
              <w:spacing w:after="0"/>
              <w:rPr>
                <w:sz w:val="7"/>
                <w:szCs w:val="7"/>
                <w:color w:val="auto"/>
              </w:rPr>
            </w:pPr>
          </w:p>
        </w:tc>
        <w:tc>
          <w:tcPr>
            <w:tcW w:w="34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80" w:type="dxa"/>
            <w:vAlign w:val="bottom"/>
          </w:tcPr>
          <w:p>
            <w:pPr>
              <w:jc w:val="center"/>
              <w:ind w:left="14"/>
              <w:spacing w:after="0"/>
              <w:rPr>
                <w:sz w:val="20"/>
                <w:szCs w:val="20"/>
                <w:color w:val="auto"/>
              </w:rPr>
            </w:pPr>
            <w:r>
              <w:rPr>
                <w:rFonts w:ascii="Arial" w:cs="Arial" w:eastAsia="Arial" w:hAnsi="Arial"/>
                <w:sz w:val="13"/>
                <w:szCs w:val="13"/>
                <w:color w:val="auto"/>
              </w:rPr>
              <w:t>according to the 2025 ranking by Staffing Industry</w:t>
            </w:r>
          </w:p>
        </w:tc>
        <w:tc>
          <w:tcPr>
            <w:tcW w:w="3420" w:type="dxa"/>
            <w:vAlign w:val="bottom"/>
          </w:tcPr>
          <w:p>
            <w:pPr>
              <w:jc w:val="center"/>
              <w:spacing w:after="0"/>
              <w:rPr>
                <w:sz w:val="20"/>
                <w:szCs w:val="20"/>
                <w:color w:val="auto"/>
              </w:rPr>
            </w:pPr>
            <w:r>
              <w:rPr>
                <w:rFonts w:ascii="Arial" w:cs="Arial" w:eastAsia="Arial" w:hAnsi="Arial"/>
                <w:sz w:val="13"/>
                <w:szCs w:val="13"/>
                <w:color w:val="auto"/>
              </w:rPr>
              <w:t>Kelly is one of the largest industrial staffing firms in the</w:t>
            </w:r>
          </w:p>
        </w:tc>
        <w:tc>
          <w:tcPr>
            <w:tcW w:w="3320" w:type="dxa"/>
            <w:vAlign w:val="bottom"/>
            <w:gridSpan w:val="4"/>
          </w:tcPr>
          <w:p>
            <w:pPr>
              <w:jc w:val="center"/>
              <w:spacing w:after="0"/>
              <w:rPr>
                <w:sz w:val="20"/>
                <w:szCs w:val="20"/>
                <w:color w:val="auto"/>
              </w:rPr>
            </w:pPr>
            <w:r>
              <w:rPr>
                <w:rFonts w:ascii="Arial" w:cs="Arial" w:eastAsia="Arial" w:hAnsi="Arial"/>
                <w:sz w:val="13"/>
                <w:szCs w:val="13"/>
                <w:color w:val="auto"/>
              </w:rPr>
              <w:t>Kelly is one of the largest office/clerical staffing firms</w:t>
            </w:r>
          </w:p>
        </w:tc>
        <w:tc>
          <w:tcPr>
            <w:tcW w:w="0" w:type="dxa"/>
            <w:vAlign w:val="bottom"/>
          </w:tcPr>
          <w:p>
            <w:pPr>
              <w:spacing w:after="0"/>
              <w:rPr>
                <w:sz w:val="1"/>
                <w:szCs w:val="1"/>
                <w:color w:val="auto"/>
              </w:rPr>
            </w:pPr>
          </w:p>
        </w:tc>
      </w:tr>
      <w:tr>
        <w:trPr>
          <w:trHeight w:val="149"/>
        </w:trPr>
        <w:tc>
          <w:tcPr>
            <w:tcW w:w="3280" w:type="dxa"/>
            <w:vAlign w:val="bottom"/>
          </w:tcPr>
          <w:p>
            <w:pPr>
              <w:jc w:val="center"/>
              <w:ind w:left="14"/>
              <w:spacing w:after="0"/>
              <w:rPr>
                <w:sz w:val="20"/>
                <w:szCs w:val="20"/>
                <w:color w:val="auto"/>
              </w:rPr>
            </w:pPr>
            <w:r>
              <w:rPr>
                <w:rFonts w:ascii="Arial" w:cs="Arial" w:eastAsia="Arial" w:hAnsi="Arial"/>
                <w:sz w:val="13"/>
                <w:szCs w:val="13"/>
                <w:color w:val="auto"/>
              </w:rPr>
              <w:t>Analysts (SIA).</w:t>
            </w:r>
          </w:p>
        </w:tc>
        <w:tc>
          <w:tcPr>
            <w:tcW w:w="3420" w:type="dxa"/>
            <w:vAlign w:val="bottom"/>
          </w:tcPr>
          <w:p>
            <w:pPr>
              <w:jc w:val="center"/>
              <w:spacing w:after="0"/>
              <w:rPr>
                <w:sz w:val="20"/>
                <w:szCs w:val="20"/>
                <w:color w:val="auto"/>
              </w:rPr>
            </w:pPr>
            <w:r>
              <w:rPr>
                <w:rFonts w:ascii="Arial" w:cs="Arial" w:eastAsia="Arial" w:hAnsi="Arial"/>
                <w:sz w:val="13"/>
                <w:szCs w:val="13"/>
                <w:color w:val="auto"/>
              </w:rPr>
              <w:t>U.S., according to the 2025 ranking by Staffing</w:t>
            </w:r>
          </w:p>
        </w:tc>
        <w:tc>
          <w:tcPr>
            <w:tcW w:w="3060" w:type="dxa"/>
            <w:vAlign w:val="bottom"/>
            <w:gridSpan w:val="3"/>
          </w:tcPr>
          <w:p>
            <w:pPr>
              <w:jc w:val="center"/>
              <w:ind w:left="148"/>
              <w:spacing w:after="0"/>
              <w:rPr>
                <w:sz w:val="20"/>
                <w:szCs w:val="20"/>
                <w:color w:val="auto"/>
              </w:rPr>
            </w:pPr>
            <w:r>
              <w:rPr>
                <w:rFonts w:ascii="Arial" w:cs="Arial" w:eastAsia="Arial" w:hAnsi="Arial"/>
                <w:sz w:val="13"/>
                <w:szCs w:val="13"/>
                <w:color w:val="auto"/>
              </w:rPr>
              <w:t>in the U.S., according to the 2025 ranking by</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3"/>
                <w:szCs w:val="13"/>
                <w:color w:val="auto"/>
              </w:rPr>
              <w:t>Industry Analysts (SIA).</w:t>
            </w:r>
          </w:p>
        </w:tc>
        <w:tc>
          <w:tcPr>
            <w:tcW w:w="2620" w:type="dxa"/>
            <w:vAlign w:val="bottom"/>
          </w:tcPr>
          <w:p>
            <w:pPr>
              <w:jc w:val="center"/>
              <w:ind w:left="608"/>
              <w:spacing w:after="0"/>
              <w:rPr>
                <w:sz w:val="20"/>
                <w:szCs w:val="20"/>
                <w:color w:val="auto"/>
              </w:rPr>
            </w:pPr>
            <w:r>
              <w:rPr>
                <w:rFonts w:ascii="Arial" w:cs="Arial" w:eastAsia="Arial" w:hAnsi="Arial"/>
                <w:sz w:val="13"/>
                <w:szCs w:val="13"/>
                <w:color w:val="auto"/>
              </w:rPr>
              <w:t>Staffing Industry Analysts (SIA).</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280" w:type="dxa"/>
            <w:vAlign w:val="bottom"/>
            <w:tcBorders>
              <w:bottom w:val="single" w:sz="8" w:color="00AE4F"/>
            </w:tcBorders>
          </w:tcPr>
          <w:p>
            <w:pPr>
              <w:spacing w:after="0"/>
              <w:rPr>
                <w:sz w:val="9"/>
                <w:szCs w:val="9"/>
                <w:color w:val="auto"/>
              </w:rPr>
            </w:pPr>
          </w:p>
        </w:tc>
        <w:tc>
          <w:tcPr>
            <w:tcW w:w="3420" w:type="dxa"/>
            <w:vAlign w:val="bottom"/>
            <w:tcBorders>
              <w:bottom w:val="single" w:sz="8" w:color="00AE4F"/>
            </w:tcBorders>
          </w:tcPr>
          <w:p>
            <w:pPr>
              <w:spacing w:after="0"/>
              <w:rPr>
                <w:sz w:val="9"/>
                <w:szCs w:val="9"/>
                <w:color w:val="auto"/>
              </w:rPr>
            </w:pPr>
          </w:p>
        </w:tc>
        <w:tc>
          <w:tcPr>
            <w:tcW w:w="2620" w:type="dxa"/>
            <w:vAlign w:val="bottom"/>
            <w:tcBorders>
              <w:bottom w:val="single" w:sz="8" w:color="00AE4F"/>
            </w:tcBorders>
          </w:tcPr>
          <w:p>
            <w:pPr>
              <w:spacing w:after="0"/>
              <w:rPr>
                <w:sz w:val="9"/>
                <w:szCs w:val="9"/>
                <w:color w:val="auto"/>
              </w:rPr>
            </w:pPr>
          </w:p>
        </w:tc>
        <w:tc>
          <w:tcPr>
            <w:tcW w:w="300" w:type="dxa"/>
            <w:vAlign w:val="bottom"/>
            <w:tcBorders>
              <w:bottom w:val="single" w:sz="8" w:color="00AE4F"/>
            </w:tcBorders>
          </w:tcPr>
          <w:p>
            <w:pPr>
              <w:spacing w:after="0"/>
              <w:rPr>
                <w:sz w:val="9"/>
                <w:szCs w:val="9"/>
                <w:color w:val="auto"/>
              </w:rPr>
            </w:pPr>
          </w:p>
        </w:tc>
        <w:tc>
          <w:tcPr>
            <w:tcW w:w="140" w:type="dxa"/>
            <w:vAlign w:val="bottom"/>
            <w:tcBorders>
              <w:bottom w:val="single" w:sz="8" w:color="00AE4F"/>
            </w:tcBorders>
          </w:tcPr>
          <w:p>
            <w:pPr>
              <w:spacing w:after="0"/>
              <w:rPr>
                <w:sz w:val="9"/>
                <w:szCs w:val="9"/>
                <w:color w:val="auto"/>
              </w:rPr>
            </w:pPr>
          </w:p>
        </w:tc>
        <w:tc>
          <w:tcPr>
            <w:tcW w:w="260" w:type="dxa"/>
            <w:vAlign w:val="bottom"/>
            <w:tcBorders>
              <w:bottom w:val="single" w:sz="8" w:color="00AE4F"/>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620" w:type="dxa"/>
            <w:vAlign w:val="bottom"/>
            <w:vMerge w:val="restart"/>
          </w:tcPr>
          <w:p>
            <w:pPr>
              <w:ind w:left="1800"/>
              <w:spacing w:after="0"/>
              <w:rPr>
                <w:sz w:val="20"/>
                <w:szCs w:val="20"/>
                <w:color w:val="auto"/>
              </w:rPr>
            </w:pPr>
            <w:r>
              <w:rPr>
                <w:rFonts w:ascii="Arial" w:cs="Arial" w:eastAsia="Arial" w:hAnsi="Arial"/>
                <w:sz w:val="20"/>
                <w:szCs w:val="20"/>
                <w:color w:val="auto"/>
              </w:rPr>
              <w:t> </w:t>
            </w:r>
          </w:p>
        </w:tc>
        <w:tc>
          <w:tcPr>
            <w:tcW w:w="300" w:type="dxa"/>
            <w:vAlign w:val="bottom"/>
            <w:vMerge w:val="restart"/>
          </w:tcPr>
          <w:p>
            <w:pPr>
              <w:ind w:left="40"/>
              <w:spacing w:after="0"/>
              <w:rPr>
                <w:sz w:val="20"/>
                <w:szCs w:val="20"/>
                <w:color w:val="auto"/>
              </w:rPr>
            </w:pPr>
            <w:r>
              <w:rPr>
                <w:rFonts w:ascii="Arial" w:cs="Arial" w:eastAsia="Arial" w:hAnsi="Arial"/>
                <w:sz w:val="20"/>
                <w:szCs w:val="20"/>
                <w:color w:val="auto"/>
                <w:w w:val="85"/>
              </w:rPr>
              <w:t xml:space="preserve">  </w:t>
            </w:r>
          </w:p>
        </w:tc>
        <w:tc>
          <w:tcPr>
            <w:tcW w:w="14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w w:val="98"/>
              </w:rPr>
              <w:t>11</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2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4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5953760</wp:posOffset>
            </wp:positionH>
            <wp:positionV relativeFrom="paragraph">
              <wp:posOffset>-212090</wp:posOffset>
            </wp:positionV>
            <wp:extent cx="377825" cy="173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377190</wp:posOffset>
            </wp:positionV>
            <wp:extent cx="6363970" cy="3347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63970" cy="334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940" w:type="dxa"/>
            <w:vAlign w:val="bottom"/>
          </w:tcPr>
          <w:p>
            <w:pPr>
              <w:jc w:val="center"/>
              <w:ind w:right="114"/>
              <w:spacing w:after="0"/>
              <w:rPr>
                <w:sz w:val="20"/>
                <w:szCs w:val="20"/>
                <w:color w:val="auto"/>
              </w:rPr>
            </w:pPr>
            <w:r>
              <w:rPr>
                <w:rFonts w:ascii="Arial" w:cs="Arial" w:eastAsia="Arial" w:hAnsi="Arial"/>
                <w:sz w:val="13"/>
                <w:szCs w:val="13"/>
                <w:b w:val="1"/>
                <w:bCs w:val="1"/>
                <w:color w:val="auto"/>
              </w:rPr>
              <w:t>Kelly One of America’s Largest</w:t>
            </w:r>
          </w:p>
        </w:tc>
        <w:tc>
          <w:tcPr>
            <w:tcW w:w="3480" w:type="dxa"/>
            <w:vAlign w:val="bottom"/>
          </w:tcPr>
          <w:p>
            <w:pPr>
              <w:jc w:val="center"/>
              <w:spacing w:after="0"/>
              <w:rPr>
                <w:sz w:val="20"/>
                <w:szCs w:val="20"/>
                <w:color w:val="auto"/>
              </w:rPr>
            </w:pPr>
            <w:r>
              <w:rPr>
                <w:rFonts w:ascii="Arial" w:cs="Arial" w:eastAsia="Arial" w:hAnsi="Arial"/>
                <w:sz w:val="13"/>
                <w:szCs w:val="13"/>
                <w:b w:val="1"/>
                <w:bCs w:val="1"/>
                <w:color w:val="auto"/>
              </w:rPr>
              <w:t>Kelly One of America’s Largest Marketing/Creative</w:t>
            </w:r>
          </w:p>
        </w:tc>
        <w:tc>
          <w:tcPr>
            <w:tcW w:w="3120" w:type="dxa"/>
            <w:vAlign w:val="bottom"/>
          </w:tcPr>
          <w:p>
            <w:pPr>
              <w:jc w:val="center"/>
              <w:ind w:left="54"/>
              <w:spacing w:after="0"/>
              <w:rPr>
                <w:sz w:val="20"/>
                <w:szCs w:val="20"/>
                <w:color w:val="auto"/>
              </w:rPr>
            </w:pPr>
            <w:r>
              <w:rPr>
                <w:rFonts w:ascii="Arial" w:cs="Arial" w:eastAsia="Arial" w:hAnsi="Arial"/>
                <w:sz w:val="13"/>
                <w:szCs w:val="13"/>
                <w:b w:val="1"/>
                <w:bCs w:val="1"/>
                <w:color w:val="auto"/>
              </w:rPr>
              <w:t>Kelly One of U.S. Largest Engineering Staffing</w:t>
            </w:r>
          </w:p>
        </w:tc>
      </w:tr>
      <w:tr>
        <w:trPr>
          <w:trHeight w:val="180"/>
        </w:trPr>
        <w:tc>
          <w:tcPr>
            <w:tcW w:w="2940" w:type="dxa"/>
            <w:vAlign w:val="bottom"/>
          </w:tcPr>
          <w:p>
            <w:pPr>
              <w:jc w:val="center"/>
              <w:ind w:right="114"/>
              <w:spacing w:after="0"/>
              <w:rPr>
                <w:sz w:val="20"/>
                <w:szCs w:val="20"/>
                <w:color w:val="auto"/>
              </w:rPr>
            </w:pPr>
            <w:r>
              <w:rPr>
                <w:rFonts w:ascii="Arial" w:cs="Arial" w:eastAsia="Arial" w:hAnsi="Arial"/>
                <w:sz w:val="13"/>
                <w:szCs w:val="13"/>
                <w:b w:val="1"/>
                <w:bCs w:val="1"/>
                <w:color w:val="auto"/>
              </w:rPr>
              <w:t>Finance/Accounting Staffing Firms</w:t>
            </w:r>
          </w:p>
        </w:tc>
        <w:tc>
          <w:tcPr>
            <w:tcW w:w="3480" w:type="dxa"/>
            <w:vAlign w:val="bottom"/>
          </w:tcPr>
          <w:p>
            <w:pPr>
              <w:jc w:val="center"/>
              <w:spacing w:after="0"/>
              <w:rPr>
                <w:sz w:val="20"/>
                <w:szCs w:val="20"/>
                <w:color w:val="auto"/>
              </w:rPr>
            </w:pPr>
            <w:r>
              <w:rPr>
                <w:rFonts w:ascii="Arial" w:cs="Arial" w:eastAsia="Arial" w:hAnsi="Arial"/>
                <w:sz w:val="13"/>
                <w:szCs w:val="13"/>
                <w:b w:val="1"/>
                <w:bCs w:val="1"/>
                <w:color w:val="auto"/>
              </w:rPr>
              <w:t>Staffing Firms</w:t>
            </w:r>
          </w:p>
        </w:tc>
        <w:tc>
          <w:tcPr>
            <w:tcW w:w="3120" w:type="dxa"/>
            <w:vAlign w:val="bottom"/>
          </w:tcPr>
          <w:p>
            <w:pPr>
              <w:jc w:val="center"/>
              <w:ind w:left="54"/>
              <w:spacing w:after="0"/>
              <w:rPr>
                <w:sz w:val="20"/>
                <w:szCs w:val="20"/>
                <w:color w:val="auto"/>
              </w:rPr>
            </w:pPr>
            <w:r>
              <w:rPr>
                <w:rFonts w:ascii="Arial" w:cs="Arial" w:eastAsia="Arial" w:hAnsi="Arial"/>
                <w:sz w:val="13"/>
                <w:szCs w:val="13"/>
                <w:b w:val="1"/>
                <w:bCs w:val="1"/>
                <w:color w:val="auto"/>
              </w:rPr>
              <w:t>Firms</w:t>
            </w:r>
          </w:p>
        </w:tc>
      </w:tr>
      <w:tr>
        <w:trPr>
          <w:trHeight w:val="230"/>
        </w:trPr>
        <w:tc>
          <w:tcPr>
            <w:tcW w:w="2940" w:type="dxa"/>
            <w:vAlign w:val="bottom"/>
          </w:tcPr>
          <w:p>
            <w:pPr>
              <w:jc w:val="center"/>
              <w:ind w:right="114"/>
              <w:spacing w:after="0"/>
              <w:rPr>
                <w:sz w:val="20"/>
                <w:szCs w:val="20"/>
                <w:color w:val="auto"/>
              </w:rPr>
            </w:pPr>
            <w:r>
              <w:rPr>
                <w:rFonts w:ascii="Arial" w:cs="Arial" w:eastAsia="Arial" w:hAnsi="Arial"/>
                <w:sz w:val="13"/>
                <w:szCs w:val="13"/>
                <w:color w:val="auto"/>
              </w:rPr>
              <w:t>Kelly is one of the largest finance/accounting</w:t>
            </w:r>
          </w:p>
        </w:tc>
        <w:tc>
          <w:tcPr>
            <w:tcW w:w="3480" w:type="dxa"/>
            <w:vAlign w:val="bottom"/>
          </w:tcPr>
          <w:p>
            <w:pPr>
              <w:jc w:val="center"/>
              <w:spacing w:after="0"/>
              <w:rPr>
                <w:sz w:val="20"/>
                <w:szCs w:val="20"/>
                <w:color w:val="auto"/>
              </w:rPr>
            </w:pPr>
            <w:r>
              <w:rPr>
                <w:rFonts w:ascii="Arial" w:cs="Arial" w:eastAsia="Arial" w:hAnsi="Arial"/>
                <w:sz w:val="13"/>
                <w:szCs w:val="13"/>
                <w:color w:val="auto"/>
              </w:rPr>
              <w:t>Kelly is one of the largest marketing/creative staffing</w:t>
            </w:r>
          </w:p>
        </w:tc>
        <w:tc>
          <w:tcPr>
            <w:tcW w:w="3120" w:type="dxa"/>
            <w:vAlign w:val="bottom"/>
          </w:tcPr>
          <w:p>
            <w:pPr>
              <w:jc w:val="center"/>
              <w:ind w:left="54"/>
              <w:spacing w:after="0"/>
              <w:rPr>
                <w:sz w:val="20"/>
                <w:szCs w:val="20"/>
                <w:color w:val="auto"/>
              </w:rPr>
            </w:pPr>
            <w:r>
              <w:rPr>
                <w:rFonts w:ascii="Arial" w:cs="Arial" w:eastAsia="Arial" w:hAnsi="Arial"/>
                <w:sz w:val="13"/>
                <w:szCs w:val="13"/>
                <w:color w:val="auto"/>
              </w:rPr>
              <w:t>Kelly is one of the largest engineering staffing firms</w:t>
            </w:r>
          </w:p>
        </w:tc>
      </w:tr>
      <w:tr>
        <w:trPr>
          <w:trHeight w:val="149"/>
        </w:trPr>
        <w:tc>
          <w:tcPr>
            <w:tcW w:w="2940" w:type="dxa"/>
            <w:vAlign w:val="bottom"/>
          </w:tcPr>
          <w:p>
            <w:pPr>
              <w:jc w:val="center"/>
              <w:ind w:right="114"/>
              <w:spacing w:after="0"/>
              <w:rPr>
                <w:sz w:val="20"/>
                <w:szCs w:val="20"/>
                <w:color w:val="auto"/>
              </w:rPr>
            </w:pPr>
            <w:r>
              <w:rPr>
                <w:rFonts w:ascii="Arial" w:cs="Arial" w:eastAsia="Arial" w:hAnsi="Arial"/>
                <w:sz w:val="13"/>
                <w:szCs w:val="13"/>
                <w:color w:val="auto"/>
              </w:rPr>
              <w:t>staffing firms in the U.S., according to the 2025</w:t>
            </w:r>
          </w:p>
        </w:tc>
        <w:tc>
          <w:tcPr>
            <w:tcW w:w="3480" w:type="dxa"/>
            <w:vAlign w:val="bottom"/>
          </w:tcPr>
          <w:p>
            <w:pPr>
              <w:jc w:val="center"/>
              <w:spacing w:after="0"/>
              <w:rPr>
                <w:sz w:val="20"/>
                <w:szCs w:val="20"/>
                <w:color w:val="auto"/>
              </w:rPr>
            </w:pPr>
            <w:r>
              <w:rPr>
                <w:rFonts w:ascii="Arial" w:cs="Arial" w:eastAsia="Arial" w:hAnsi="Arial"/>
                <w:sz w:val="13"/>
                <w:szCs w:val="13"/>
                <w:color w:val="auto"/>
              </w:rPr>
              <w:t>firms in the U.S., according to the 2025 ranking by</w:t>
            </w:r>
          </w:p>
        </w:tc>
        <w:tc>
          <w:tcPr>
            <w:tcW w:w="3120" w:type="dxa"/>
            <w:vAlign w:val="bottom"/>
          </w:tcPr>
          <w:p>
            <w:pPr>
              <w:jc w:val="center"/>
              <w:ind w:left="54"/>
              <w:spacing w:after="0"/>
              <w:rPr>
                <w:sz w:val="20"/>
                <w:szCs w:val="20"/>
                <w:color w:val="auto"/>
              </w:rPr>
            </w:pPr>
            <w:r>
              <w:rPr>
                <w:rFonts w:ascii="Arial" w:cs="Arial" w:eastAsia="Arial" w:hAnsi="Arial"/>
                <w:sz w:val="13"/>
                <w:szCs w:val="13"/>
                <w:color w:val="auto"/>
              </w:rPr>
              <w:t>in the U.S., according to the 2025 ranking by</w:t>
            </w:r>
          </w:p>
        </w:tc>
      </w:tr>
      <w:tr>
        <w:trPr>
          <w:trHeight w:val="174"/>
        </w:trPr>
        <w:tc>
          <w:tcPr>
            <w:tcW w:w="2940" w:type="dxa"/>
            <w:vAlign w:val="bottom"/>
          </w:tcPr>
          <w:p>
            <w:pPr>
              <w:jc w:val="center"/>
              <w:ind w:right="114"/>
              <w:spacing w:after="0"/>
              <w:rPr>
                <w:sz w:val="20"/>
                <w:szCs w:val="20"/>
                <w:color w:val="auto"/>
              </w:rPr>
            </w:pPr>
            <w:r>
              <w:rPr>
                <w:rFonts w:ascii="Arial" w:cs="Arial" w:eastAsia="Arial" w:hAnsi="Arial"/>
                <w:sz w:val="13"/>
                <w:szCs w:val="13"/>
                <w:color w:val="auto"/>
              </w:rPr>
              <w:t>ranking by Staffing Industry Analysts (SIA).</w:t>
            </w:r>
          </w:p>
        </w:tc>
        <w:tc>
          <w:tcPr>
            <w:tcW w:w="3480" w:type="dxa"/>
            <w:vAlign w:val="bottom"/>
          </w:tcPr>
          <w:p>
            <w:pPr>
              <w:jc w:val="center"/>
              <w:spacing w:after="0"/>
              <w:rPr>
                <w:sz w:val="20"/>
                <w:szCs w:val="20"/>
                <w:color w:val="auto"/>
              </w:rPr>
            </w:pPr>
            <w:r>
              <w:rPr>
                <w:rFonts w:ascii="Arial" w:cs="Arial" w:eastAsia="Arial" w:hAnsi="Arial"/>
                <w:sz w:val="13"/>
                <w:szCs w:val="13"/>
                <w:color w:val="auto"/>
              </w:rPr>
              <w:t>Staffing Industry Analysts (SIA).</w:t>
            </w:r>
          </w:p>
        </w:tc>
        <w:tc>
          <w:tcPr>
            <w:tcW w:w="3120" w:type="dxa"/>
            <w:vAlign w:val="bottom"/>
          </w:tcPr>
          <w:p>
            <w:pPr>
              <w:jc w:val="center"/>
              <w:ind w:left="74"/>
              <w:spacing w:after="0"/>
              <w:rPr>
                <w:sz w:val="20"/>
                <w:szCs w:val="20"/>
                <w:color w:val="auto"/>
              </w:rPr>
            </w:pPr>
            <w:r>
              <w:rPr>
                <w:rFonts w:ascii="Arial" w:cs="Arial" w:eastAsia="Arial" w:hAnsi="Arial"/>
                <w:sz w:val="13"/>
                <w:szCs w:val="13"/>
                <w:color w:val="auto"/>
              </w:rPr>
              <w:t>Staffing Industry Analysts (SIA).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320" w:type="dxa"/>
            <w:vAlign w:val="bottom"/>
          </w:tcPr>
          <w:p>
            <w:pPr>
              <w:jc w:val="center"/>
              <w:spacing w:after="0"/>
              <w:rPr>
                <w:sz w:val="20"/>
                <w:szCs w:val="20"/>
                <w:color w:val="auto"/>
              </w:rPr>
            </w:pPr>
            <w:r>
              <w:rPr>
                <w:rFonts w:ascii="Arial" w:cs="Arial" w:eastAsia="Arial" w:hAnsi="Arial"/>
                <w:sz w:val="13"/>
                <w:szCs w:val="13"/>
                <w:b w:val="1"/>
                <w:bCs w:val="1"/>
                <w:color w:val="auto"/>
              </w:rPr>
              <w:t>Kelly One of America’s Largest IT Staffing Firms</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Kelly One of U.S. Largest Life Sciences Staffing</w:t>
            </w:r>
          </w:p>
        </w:tc>
        <w:tc>
          <w:tcPr>
            <w:tcW w:w="3300" w:type="dxa"/>
            <w:vAlign w:val="bottom"/>
          </w:tcPr>
          <w:p>
            <w:pPr>
              <w:jc w:val="center"/>
              <w:spacing w:after="0"/>
              <w:rPr>
                <w:sz w:val="20"/>
                <w:szCs w:val="20"/>
                <w:color w:val="auto"/>
              </w:rPr>
            </w:pPr>
            <w:r>
              <w:rPr>
                <w:rFonts w:ascii="Arial" w:cs="Arial" w:eastAsia="Arial" w:hAnsi="Arial"/>
                <w:sz w:val="13"/>
                <w:szCs w:val="13"/>
                <w:b w:val="1"/>
                <w:bCs w:val="1"/>
                <w:color w:val="auto"/>
              </w:rPr>
              <w:t>Kelly One of U.S. Largest Education Staffing</w:t>
            </w:r>
          </w:p>
        </w:tc>
        <w:tc>
          <w:tcPr>
            <w:tcW w:w="0" w:type="dxa"/>
            <w:vAlign w:val="bottom"/>
          </w:tcPr>
          <w:p>
            <w:pPr>
              <w:spacing w:after="0"/>
              <w:rPr>
                <w:sz w:val="1"/>
                <w:szCs w:val="1"/>
                <w:color w:val="auto"/>
              </w:rPr>
            </w:pPr>
          </w:p>
        </w:tc>
      </w:tr>
      <w:tr>
        <w:trPr>
          <w:trHeight w:val="180"/>
        </w:trPr>
        <w:tc>
          <w:tcPr>
            <w:tcW w:w="3320" w:type="dxa"/>
            <w:vAlign w:val="bottom"/>
            <w:vMerge w:val="restart"/>
          </w:tcPr>
          <w:p>
            <w:pPr>
              <w:jc w:val="center"/>
              <w:spacing w:after="0"/>
              <w:rPr>
                <w:sz w:val="20"/>
                <w:szCs w:val="20"/>
                <w:color w:val="auto"/>
              </w:rPr>
            </w:pPr>
            <w:r>
              <w:rPr>
                <w:rFonts w:ascii="Arial" w:cs="Arial" w:eastAsia="Arial" w:hAnsi="Arial"/>
                <w:sz w:val="13"/>
                <w:szCs w:val="13"/>
                <w:color w:val="auto"/>
              </w:rPr>
              <w:t>Kelly is one of the largest IT staffing firms in the</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Firms</w:t>
            </w:r>
          </w:p>
        </w:tc>
        <w:tc>
          <w:tcPr>
            <w:tcW w:w="3300" w:type="dxa"/>
            <w:vAlign w:val="bottom"/>
          </w:tcPr>
          <w:p>
            <w:pPr>
              <w:jc w:val="center"/>
              <w:spacing w:after="0"/>
              <w:rPr>
                <w:sz w:val="20"/>
                <w:szCs w:val="20"/>
                <w:color w:val="auto"/>
              </w:rPr>
            </w:pPr>
            <w:r>
              <w:rPr>
                <w:rFonts w:ascii="Arial" w:cs="Arial" w:eastAsia="Arial" w:hAnsi="Arial"/>
                <w:sz w:val="13"/>
                <w:szCs w:val="13"/>
                <w:b w:val="1"/>
                <w:bCs w:val="1"/>
                <w:color w:val="auto"/>
              </w:rPr>
              <w:t>Firms</w:t>
            </w:r>
          </w:p>
        </w:tc>
        <w:tc>
          <w:tcPr>
            <w:tcW w:w="0" w:type="dxa"/>
            <w:vAlign w:val="bottom"/>
          </w:tcPr>
          <w:p>
            <w:pPr>
              <w:spacing w:after="0"/>
              <w:rPr>
                <w:sz w:val="1"/>
                <w:szCs w:val="1"/>
                <w:color w:val="auto"/>
              </w:rPr>
            </w:pPr>
          </w:p>
        </w:tc>
      </w:tr>
      <w:tr>
        <w:trPr>
          <w:trHeight w:val="81"/>
        </w:trPr>
        <w:tc>
          <w:tcPr>
            <w:tcW w:w="3320" w:type="dxa"/>
            <w:vAlign w:val="bottom"/>
            <w:vMerge w:val="continue"/>
          </w:tcPr>
          <w:p>
            <w:pPr>
              <w:spacing w:after="0"/>
              <w:rPr>
                <w:sz w:val="7"/>
                <w:szCs w:val="7"/>
                <w:color w:val="auto"/>
              </w:rPr>
            </w:pPr>
          </w:p>
        </w:tc>
        <w:tc>
          <w:tcPr>
            <w:tcW w:w="34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20" w:type="dxa"/>
            <w:vAlign w:val="bottom"/>
          </w:tcPr>
          <w:p>
            <w:pPr>
              <w:jc w:val="center"/>
              <w:spacing w:after="0"/>
              <w:rPr>
                <w:sz w:val="20"/>
                <w:szCs w:val="20"/>
                <w:color w:val="auto"/>
              </w:rPr>
            </w:pPr>
            <w:r>
              <w:rPr>
                <w:rFonts w:ascii="Arial" w:cs="Arial" w:eastAsia="Arial" w:hAnsi="Arial"/>
                <w:sz w:val="13"/>
                <w:szCs w:val="13"/>
                <w:color w:val="auto"/>
              </w:rPr>
              <w:t>U.S., according to the 2025 ranking by Staffing</w:t>
            </w:r>
          </w:p>
        </w:tc>
        <w:tc>
          <w:tcPr>
            <w:tcW w:w="3400" w:type="dxa"/>
            <w:vAlign w:val="bottom"/>
          </w:tcPr>
          <w:p>
            <w:pPr>
              <w:jc w:val="center"/>
              <w:spacing w:after="0"/>
              <w:rPr>
                <w:sz w:val="20"/>
                <w:szCs w:val="20"/>
                <w:color w:val="auto"/>
              </w:rPr>
            </w:pPr>
            <w:r>
              <w:rPr>
                <w:rFonts w:ascii="Arial" w:cs="Arial" w:eastAsia="Arial" w:hAnsi="Arial"/>
                <w:sz w:val="13"/>
                <w:szCs w:val="13"/>
                <w:color w:val="auto"/>
              </w:rPr>
              <w:t>Kelly is one of the largest life sciences staffing firms in</w:t>
            </w:r>
          </w:p>
        </w:tc>
        <w:tc>
          <w:tcPr>
            <w:tcW w:w="3300" w:type="dxa"/>
            <w:vAlign w:val="bottom"/>
          </w:tcPr>
          <w:p>
            <w:pPr>
              <w:jc w:val="center"/>
              <w:spacing w:after="0"/>
              <w:rPr>
                <w:sz w:val="20"/>
                <w:szCs w:val="20"/>
                <w:color w:val="auto"/>
              </w:rPr>
            </w:pPr>
            <w:r>
              <w:rPr>
                <w:rFonts w:ascii="Arial" w:cs="Arial" w:eastAsia="Arial" w:hAnsi="Arial"/>
                <w:sz w:val="13"/>
                <w:szCs w:val="13"/>
                <w:color w:val="auto"/>
              </w:rPr>
              <w:t>Kelly is one of the largest education staffing firms in</w:t>
            </w:r>
          </w:p>
        </w:tc>
        <w:tc>
          <w:tcPr>
            <w:tcW w:w="0" w:type="dxa"/>
            <w:vAlign w:val="bottom"/>
          </w:tcPr>
          <w:p>
            <w:pPr>
              <w:spacing w:after="0"/>
              <w:rPr>
                <w:sz w:val="1"/>
                <w:szCs w:val="1"/>
                <w:color w:val="auto"/>
              </w:rPr>
            </w:pPr>
          </w:p>
        </w:tc>
      </w:tr>
      <w:tr>
        <w:trPr>
          <w:trHeight w:val="149"/>
        </w:trPr>
        <w:tc>
          <w:tcPr>
            <w:tcW w:w="3320" w:type="dxa"/>
            <w:vAlign w:val="bottom"/>
          </w:tcPr>
          <w:p>
            <w:pPr>
              <w:jc w:val="center"/>
              <w:spacing w:after="0"/>
              <w:rPr>
                <w:sz w:val="20"/>
                <w:szCs w:val="20"/>
                <w:color w:val="auto"/>
              </w:rPr>
            </w:pPr>
            <w:r>
              <w:rPr>
                <w:rFonts w:ascii="Arial" w:cs="Arial" w:eastAsia="Arial" w:hAnsi="Arial"/>
                <w:sz w:val="13"/>
                <w:szCs w:val="13"/>
                <w:color w:val="auto"/>
              </w:rPr>
              <w:t>Industry Analysts (SIA).</w:t>
            </w:r>
          </w:p>
        </w:tc>
        <w:tc>
          <w:tcPr>
            <w:tcW w:w="3400" w:type="dxa"/>
            <w:vAlign w:val="bottom"/>
          </w:tcPr>
          <w:p>
            <w:pPr>
              <w:jc w:val="center"/>
              <w:spacing w:after="0"/>
              <w:rPr>
                <w:sz w:val="20"/>
                <w:szCs w:val="20"/>
                <w:color w:val="auto"/>
              </w:rPr>
            </w:pPr>
            <w:r>
              <w:rPr>
                <w:rFonts w:ascii="Arial" w:cs="Arial" w:eastAsia="Arial" w:hAnsi="Arial"/>
                <w:sz w:val="13"/>
                <w:szCs w:val="13"/>
                <w:color w:val="auto"/>
              </w:rPr>
              <w:t>the U.S., according to the 2025 ranking by Staffing</w:t>
            </w:r>
          </w:p>
        </w:tc>
        <w:tc>
          <w:tcPr>
            <w:tcW w:w="3300" w:type="dxa"/>
            <w:vAlign w:val="bottom"/>
          </w:tcPr>
          <w:p>
            <w:pPr>
              <w:jc w:val="center"/>
              <w:spacing w:after="0"/>
              <w:rPr>
                <w:sz w:val="20"/>
                <w:szCs w:val="20"/>
                <w:color w:val="auto"/>
              </w:rPr>
            </w:pPr>
            <w:r>
              <w:rPr>
                <w:rFonts w:ascii="Arial" w:cs="Arial" w:eastAsia="Arial" w:hAnsi="Arial"/>
                <w:sz w:val="13"/>
                <w:szCs w:val="13"/>
                <w:color w:val="auto"/>
              </w:rPr>
              <w:t>the U.S., according to the 2025 ranking by Staffing</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3"/>
                <w:szCs w:val="13"/>
                <w:color w:val="auto"/>
              </w:rPr>
              <w:t>Industry Analysts (SIA).</w:t>
            </w:r>
          </w:p>
        </w:tc>
        <w:tc>
          <w:tcPr>
            <w:tcW w:w="3300" w:type="dxa"/>
            <w:vAlign w:val="bottom"/>
          </w:tcPr>
          <w:p>
            <w:pPr>
              <w:jc w:val="center"/>
              <w:spacing w:after="0"/>
              <w:rPr>
                <w:sz w:val="20"/>
                <w:szCs w:val="20"/>
                <w:color w:val="auto"/>
              </w:rPr>
            </w:pPr>
            <w:r>
              <w:rPr>
                <w:rFonts w:ascii="Arial" w:cs="Arial" w:eastAsia="Arial" w:hAnsi="Arial"/>
                <w:sz w:val="13"/>
                <w:szCs w:val="13"/>
                <w:color w:val="auto"/>
              </w:rPr>
              <w:t>Industry Analysts (SIA).</w:t>
            </w:r>
          </w:p>
        </w:tc>
        <w:tc>
          <w:tcPr>
            <w:tcW w:w="0" w:type="dxa"/>
            <w:vAlign w:val="bottom"/>
          </w:tcPr>
          <w:p>
            <w:pPr>
              <w:spacing w:after="0"/>
              <w:rPr>
                <w:sz w:val="1"/>
                <w:szCs w:val="1"/>
                <w:color w:val="auto"/>
              </w:rPr>
            </w:pPr>
          </w:p>
        </w:tc>
      </w:tr>
      <w:tr>
        <w:trPr>
          <w:trHeight w:val="107"/>
        </w:trPr>
        <w:tc>
          <w:tcPr>
            <w:tcW w:w="3320" w:type="dxa"/>
            <w:vAlign w:val="bottom"/>
            <w:tcBorders>
              <w:bottom w:val="single" w:sz="8" w:color="00AE4F"/>
            </w:tcBorders>
          </w:tcPr>
          <w:p>
            <w:pPr>
              <w:spacing w:after="0"/>
              <w:rPr>
                <w:sz w:val="9"/>
                <w:szCs w:val="9"/>
                <w:color w:val="auto"/>
              </w:rPr>
            </w:pPr>
          </w:p>
        </w:tc>
        <w:tc>
          <w:tcPr>
            <w:tcW w:w="3400" w:type="dxa"/>
            <w:vAlign w:val="bottom"/>
            <w:tcBorders>
              <w:bottom w:val="single" w:sz="8" w:color="00AE4F"/>
            </w:tcBorders>
          </w:tcPr>
          <w:p>
            <w:pPr>
              <w:spacing w:after="0"/>
              <w:rPr>
                <w:sz w:val="9"/>
                <w:szCs w:val="9"/>
                <w:color w:val="auto"/>
              </w:rPr>
            </w:pPr>
          </w:p>
        </w:tc>
        <w:tc>
          <w:tcPr>
            <w:tcW w:w="3300" w:type="dxa"/>
            <w:vAlign w:val="bottom"/>
            <w:tcBorders>
              <w:bottom w:val="single" w:sz="8" w:color="00AE4F"/>
            </w:tcBorders>
          </w:tcPr>
          <w:p>
            <w:pPr>
              <w:spacing w:after="0"/>
              <w:rPr>
                <w:sz w:val="9"/>
                <w:szCs w:val="9"/>
                <w:color w:val="auto"/>
              </w:rPr>
            </w:pPr>
          </w:p>
        </w:tc>
        <w:tc>
          <w:tcPr>
            <w:tcW w:w="0" w:type="dxa"/>
            <w:vAlign w:val="bottom"/>
          </w:tcPr>
          <w:p>
            <w:pPr>
              <w:spacing w:after="0"/>
              <w:rPr>
                <w:sz w:val="1"/>
                <w:szCs w:val="1"/>
                <w:color w:val="auto"/>
              </w:rPr>
            </w:pPr>
          </w:p>
        </w:tc>
      </w:tr>
      <w:tr>
        <w:trPr>
          <w:trHeight w:val="927"/>
        </w:trPr>
        <w:tc>
          <w:tcPr>
            <w:tcW w:w="3320" w:type="dxa"/>
            <w:vAlign w:val="bottom"/>
          </w:tcPr>
          <w:p>
            <w:pPr>
              <w:jc w:val="center"/>
              <w:spacing w:after="0"/>
              <w:rPr>
                <w:sz w:val="20"/>
                <w:szCs w:val="20"/>
                <w:color w:val="auto"/>
              </w:rPr>
            </w:pPr>
            <w:r>
              <w:rPr>
                <w:rFonts w:ascii="Arial" w:cs="Arial" w:eastAsia="Arial" w:hAnsi="Arial"/>
                <w:sz w:val="13"/>
                <w:szCs w:val="13"/>
                <w:b w:val="1"/>
                <w:bCs w:val="1"/>
                <w:color w:val="auto"/>
              </w:rPr>
              <w:t>KellyOCG + Sevenstep Named No. 1 Provider of</w:t>
            </w:r>
          </w:p>
        </w:tc>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Pr>
          <w:p>
            <w:pPr>
              <w:jc w:val="center"/>
              <w:spacing w:after="0"/>
              <w:rPr>
                <w:sz w:val="20"/>
                <w:szCs w:val="20"/>
                <w:color w:val="auto"/>
              </w:rPr>
            </w:pPr>
            <w:r>
              <w:rPr>
                <w:rFonts w:ascii="Arial" w:cs="Arial" w:eastAsia="Arial" w:hAnsi="Arial"/>
                <w:sz w:val="13"/>
                <w:szCs w:val="13"/>
                <w:b w:val="1"/>
                <w:bCs w:val="1"/>
                <w:color w:val="auto"/>
              </w:rPr>
              <w:t>Total Workforce Solutions</w:t>
            </w:r>
          </w:p>
        </w:tc>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Pr>
          <w:p>
            <w:pPr>
              <w:jc w:val="center"/>
              <w:spacing w:after="0"/>
              <w:rPr>
                <w:sz w:val="20"/>
                <w:szCs w:val="20"/>
                <w:color w:val="auto"/>
              </w:rPr>
            </w:pPr>
            <w:r>
              <w:rPr>
                <w:rFonts w:ascii="Arial" w:cs="Arial" w:eastAsia="Arial" w:hAnsi="Arial"/>
                <w:sz w:val="13"/>
                <w:szCs w:val="13"/>
                <w:color w:val="auto"/>
              </w:rPr>
              <w:t>KellyOCG + Sevenstep has claimed the No. 1 spot</w:t>
            </w:r>
          </w:p>
        </w:tc>
        <w:tc>
          <w:tcPr>
            <w:tcW w:w="34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320" w:type="dxa"/>
            <w:vAlign w:val="bottom"/>
          </w:tcPr>
          <w:p>
            <w:pPr>
              <w:jc w:val="center"/>
              <w:spacing w:after="0"/>
              <w:rPr>
                <w:sz w:val="20"/>
                <w:szCs w:val="20"/>
                <w:color w:val="auto"/>
              </w:rPr>
            </w:pPr>
            <w:r>
              <w:rPr>
                <w:rFonts w:ascii="Arial" w:cs="Arial" w:eastAsia="Arial" w:hAnsi="Arial"/>
                <w:sz w:val="13"/>
                <w:szCs w:val="13"/>
                <w:color w:val="auto"/>
              </w:rPr>
              <w:t>on HRO Today’s 2025 Baker’s Dozen Customer</w:t>
            </w:r>
          </w:p>
        </w:tc>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20" w:type="dxa"/>
            <w:vAlign w:val="bottom"/>
          </w:tcPr>
          <w:p>
            <w:pPr>
              <w:jc w:val="center"/>
              <w:spacing w:after="0"/>
              <w:rPr>
                <w:sz w:val="20"/>
                <w:szCs w:val="20"/>
                <w:color w:val="auto"/>
              </w:rPr>
            </w:pPr>
            <w:r>
              <w:rPr>
                <w:rFonts w:ascii="Arial" w:cs="Arial" w:eastAsia="Arial" w:hAnsi="Arial"/>
                <w:sz w:val="13"/>
                <w:szCs w:val="13"/>
                <w:color w:val="auto"/>
              </w:rPr>
              <w:t>Satisfaction Ratings: Total Workforce Solutions.</w:t>
            </w:r>
          </w:p>
        </w:tc>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A complete list of the Company’s awards and recognitions is available on </w:t>
      </w:r>
      <w:r>
        <w:rPr>
          <w:rFonts w:ascii="Arial" w:cs="Arial" w:eastAsia="Arial" w:hAnsi="Arial"/>
          <w:sz w:val="15"/>
          <w:szCs w:val="15"/>
          <w:i w:val="1"/>
          <w:iCs w:val="1"/>
          <w:color w:val="auto"/>
        </w:rPr>
        <w:t>kellyservices.com</w:t>
      </w:r>
      <w:r>
        <w:rPr>
          <w:rFonts w:ascii="Arial" w:cs="Arial" w:eastAsia="Arial" w:hAnsi="Arial"/>
          <w:sz w:val="15"/>
          <w:szCs w:val="15"/>
          <w:color w:val="auto"/>
        </w:rPr>
        <w:t>.</w:t>
      </w:r>
    </w:p>
    <w:p>
      <w:pPr>
        <w:spacing w:after="0" w:line="24"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12 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-211455</wp:posOffset>
            </wp:positionV>
            <wp:extent cx="7620" cy="212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40"/>
          </w:cols>
          <w:pgMar w:left="320" w:top="454" w:right="9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Proposal 1 – Election of Directors</w:t>
      </w:r>
    </w:p>
    <w:p>
      <w:pPr>
        <w:spacing w:after="0" w:line="314" w:lineRule="exact"/>
        <w:rPr>
          <w:sz w:val="20"/>
          <w:szCs w:val="20"/>
          <w:color w:val="auto"/>
        </w:rPr>
      </w:pPr>
    </w:p>
    <w:p>
      <w:pPr>
        <w:ind w:left="560" w:right="20"/>
        <w:spacing w:after="0" w:line="245" w:lineRule="auto"/>
        <w:rPr>
          <w:sz w:val="20"/>
          <w:szCs w:val="20"/>
          <w:color w:val="auto"/>
        </w:rPr>
      </w:pPr>
      <w:r>
        <w:rPr>
          <w:rFonts w:ascii="Arial" w:cs="Arial" w:eastAsia="Arial" w:hAnsi="Arial"/>
          <w:sz w:val="15"/>
          <w:szCs w:val="15"/>
          <w:color w:val="auto"/>
        </w:rPr>
        <w:t>The Board of Directors nominated eleven individuals for election as directors at the Annual Meeting, each to serve for one year and until his or her successor is elected and qualified. In 2025, our Company underwent a significant leadership transition alongside continued enhancements in corporate governance. Effective September 2, 2025, Christopher D. Layden was appointed as our new President and CEO and joined our Board of Directors. On the same day, Peter Quigley stepped down from his role as President and CEO in anticipation of his planned retirement. Chris’s appointment followed a rigorous succession process led by the Board, which considered both internal and external candidates. Mr. Layden brings a wealth of experience to the role. He most recently served as Chief Operating Officer at Prolink, a leading workforce solutions provider offering expertise in staffing, technology, culture, data, and talent experience solutions nationwide. Before his tenure at Prolink, Mr. Layden spent nearly twenty years with ManpowerGroup. In this global workforce solutions company, he held a variety of positions with increasing responsibility, including vice president and general manager of industry verticals.</w:t>
      </w:r>
    </w:p>
    <w:p>
      <w:pPr>
        <w:spacing w:after="0" w:line="40" w:lineRule="exact"/>
        <w:rPr>
          <w:sz w:val="20"/>
          <w:szCs w:val="20"/>
          <w:color w:val="auto"/>
        </w:rPr>
      </w:pPr>
    </w:p>
    <w:p>
      <w:pPr>
        <w:ind w:left="560" w:right="360"/>
        <w:spacing w:after="0" w:line="258" w:lineRule="auto"/>
        <w:rPr>
          <w:sz w:val="20"/>
          <w:szCs w:val="20"/>
          <w:color w:val="auto"/>
        </w:rPr>
      </w:pPr>
      <w:r>
        <w:rPr>
          <w:rFonts w:ascii="Arial" w:cs="Arial" w:eastAsia="Arial" w:hAnsi="Arial"/>
          <w:sz w:val="15"/>
          <w:szCs w:val="15"/>
          <w:color w:val="auto"/>
        </w:rPr>
        <w:t>Additionally, on January 30, 2026, the Terence E. Adderley Revocable Trust K (“Trust K”) closed a transaction with Hunt Equity Opportunities, LLC (“Hunt”), pursuant to which Hunt acquired 3,039,940 shares of Class B Common Stock of Kelly from Trust K, causing Hunt to become the controlling shareholder of Kelly with 92.2% of the Class B Common Stock (“the “transaction”).</w:t>
      </w:r>
    </w:p>
    <w:p>
      <w:pPr>
        <w:spacing w:after="0" w:line="27" w:lineRule="exact"/>
        <w:rPr>
          <w:sz w:val="20"/>
          <w:szCs w:val="20"/>
          <w:color w:val="auto"/>
        </w:rPr>
      </w:pPr>
    </w:p>
    <w:p>
      <w:pPr>
        <w:ind w:left="560" w:right="60"/>
        <w:spacing w:after="0" w:line="276" w:lineRule="auto"/>
        <w:rPr>
          <w:sz w:val="20"/>
          <w:szCs w:val="20"/>
          <w:color w:val="auto"/>
        </w:rPr>
      </w:pPr>
      <w:r>
        <w:rPr>
          <w:rFonts w:ascii="Arial" w:cs="Arial" w:eastAsia="Arial" w:hAnsi="Arial"/>
          <w:sz w:val="14"/>
          <w:szCs w:val="14"/>
          <w:color w:val="auto"/>
        </w:rPr>
        <w:t>Following the transaction, Kelly announced changes to the composition of the Company’s Board of Directors. Effective January 30, 2026, and continuing until the 2026 Annual Meeting of Stockholders, the Board consists of four Hunt designees: Chris Hunt, Angela Brock-Kyle, Edward Escudero, and James K. Hunt; Christopher D. Layden; and three directors who were serving as of January 30, 2026 and continue to serve on the Board: Robert S. Cubbin, Amala Duggirala, and Leslie A. Murphy. Chris Hunt was appointed as Chairman of the Board and James K. Hunt, lead director.</w:t>
      </w:r>
    </w:p>
    <w:p>
      <w:pPr>
        <w:spacing w:after="0" w:line="28" w:lineRule="exact"/>
        <w:rPr>
          <w:sz w:val="20"/>
          <w:szCs w:val="20"/>
          <w:color w:val="auto"/>
        </w:rPr>
      </w:pPr>
    </w:p>
    <w:p>
      <w:pPr>
        <w:ind w:left="560" w:right="60"/>
        <w:spacing w:after="0" w:line="275" w:lineRule="auto"/>
        <w:rPr>
          <w:sz w:val="20"/>
          <w:szCs w:val="20"/>
          <w:color w:val="auto"/>
        </w:rPr>
      </w:pPr>
      <w:r>
        <w:rPr>
          <w:rFonts w:ascii="Arial" w:cs="Arial" w:eastAsia="Arial" w:hAnsi="Arial"/>
          <w:sz w:val="15"/>
          <w:szCs w:val="15"/>
          <w:color w:val="auto"/>
        </w:rPr>
        <w:t>As part of these changes, Terrence B. Larkin, Gerald S. Adolph, George S. Corona, InaMarie F. Johnson, and Peter W. Quigley resigned from the Board, effective January 30, 2026.</w:t>
      </w:r>
    </w:p>
    <w:p>
      <w:pPr>
        <w:spacing w:after="0" w:line="14" w:lineRule="exact"/>
        <w:rPr>
          <w:sz w:val="20"/>
          <w:szCs w:val="20"/>
          <w:color w:val="auto"/>
        </w:rPr>
      </w:pPr>
    </w:p>
    <w:p>
      <w:pPr>
        <w:ind w:left="560" w:right="280"/>
        <w:spacing w:after="0" w:line="305" w:lineRule="auto"/>
        <w:rPr>
          <w:sz w:val="20"/>
          <w:szCs w:val="20"/>
          <w:color w:val="auto"/>
        </w:rPr>
      </w:pPr>
      <w:r>
        <w:rPr>
          <w:rFonts w:ascii="Arial" w:cs="Arial" w:eastAsia="Arial" w:hAnsi="Arial"/>
          <w:sz w:val="14"/>
          <w:szCs w:val="14"/>
          <w:color w:val="auto"/>
        </w:rPr>
        <w:t>Directors will be elected by a plurality of the votes cast by holders of Class B Common Stock who are present in person, or represented by proxy, and entitled to vote at the Annual Meeting. Our controlling shareholder, Hunt, has indicated its support and intention to vote for each director nominee.</w:t>
      </w:r>
    </w:p>
    <w:p>
      <w:pPr>
        <w:ind w:left="560" w:right="460"/>
        <w:spacing w:after="0" w:line="275" w:lineRule="auto"/>
        <w:rPr>
          <w:sz w:val="20"/>
          <w:szCs w:val="20"/>
          <w:color w:val="auto"/>
        </w:rPr>
      </w:pPr>
      <w:r>
        <w:rPr>
          <w:rFonts w:ascii="Arial" w:cs="Arial" w:eastAsia="Arial" w:hAnsi="Arial"/>
          <w:sz w:val="15"/>
          <w:szCs w:val="15"/>
          <w:color w:val="auto"/>
        </w:rPr>
        <w:t>We do not contemplate that any of the nominees will be unavailable to serve at the time of the Annual Meeting. In that event, however, the persons named in the enclosed form of proxy may vote for the election of a substitute selected by the Board, or the Board may reduce its size.</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Independence</w:t>
      </w:r>
    </w:p>
    <w:p>
      <w:pPr>
        <w:spacing w:after="0" w:line="81" w:lineRule="exact"/>
        <w:rPr>
          <w:sz w:val="20"/>
          <w:szCs w:val="20"/>
          <w:color w:val="auto"/>
        </w:rPr>
      </w:pPr>
    </w:p>
    <w:p>
      <w:pPr>
        <w:ind w:left="560" w:right="60"/>
        <w:spacing w:after="0" w:line="276" w:lineRule="auto"/>
        <w:rPr>
          <w:sz w:val="20"/>
          <w:szCs w:val="20"/>
          <w:color w:val="auto"/>
        </w:rPr>
      </w:pPr>
      <w:r>
        <w:rPr>
          <w:rFonts w:ascii="Arial" w:cs="Arial" w:eastAsia="Arial" w:hAnsi="Arial"/>
          <w:sz w:val="14"/>
          <w:szCs w:val="14"/>
          <w:color w:val="auto"/>
        </w:rPr>
        <w:t>The Board of Directors has a majority of directors who are independent under the listing standards of the Nasdaq Global Select Market, or Nasdaq. The Nasdaq Stock Market LLC Rules provide that a director of a business development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6" w:lineRule="exact"/>
        <w:rPr>
          <w:sz w:val="20"/>
          <w:szCs w:val="20"/>
          <w:color w:val="auto"/>
        </w:rPr>
      </w:pPr>
    </w:p>
    <w:p>
      <w:pPr>
        <w:ind w:left="560"/>
        <w:spacing w:after="0" w:line="248" w:lineRule="auto"/>
        <w:rPr>
          <w:sz w:val="20"/>
          <w:szCs w:val="20"/>
          <w:color w:val="auto"/>
        </w:rPr>
      </w:pPr>
      <w:r>
        <w:rPr>
          <w:rFonts w:ascii="Arial" w:cs="Arial" w:eastAsia="Arial" w:hAnsi="Arial"/>
          <w:sz w:val="15"/>
          <w:szCs w:val="15"/>
          <w:color w:val="auto"/>
        </w:rPr>
        <w:t>On March 17, 2026, our Board affirmatively determined that directors Angela Brock-Kyle, Robert S. Cubbin, Amala Duggirala, Edward Escudero, James K. Hunt, Leslie A. Murphy, Michael J. Wartell, and George H. Young III, representing a majority of the Board, are independent. Messrs. Chris Hunt and Ryan McCrory are “interested persons” due to their positions with Hunt Companies, Inc., as discussed in their respective biographies. Based upon independently verified information obtained from each director concerning their background, employment, and affiliations, the Board of Directors has affirmatively determined that none of the independent directors has a material business or professional relationship with the Company, other than in his or her capacity as a member of the Board of Directors or any committee thereof.</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Nominees</w:t>
      </w:r>
    </w:p>
    <w:p>
      <w:pPr>
        <w:spacing w:after="0" w:line="69" w:lineRule="exact"/>
        <w:rPr>
          <w:sz w:val="20"/>
          <w:szCs w:val="20"/>
          <w:color w:val="auto"/>
        </w:rPr>
      </w:pPr>
    </w:p>
    <w:p>
      <w:pPr>
        <w:jc w:val="both"/>
        <w:ind w:left="560" w:right="300"/>
        <w:spacing w:after="0" w:line="258" w:lineRule="auto"/>
        <w:rPr>
          <w:sz w:val="20"/>
          <w:szCs w:val="20"/>
          <w:color w:val="auto"/>
        </w:rPr>
      </w:pPr>
      <w:r>
        <w:rPr>
          <w:rFonts w:ascii="Arial" w:cs="Arial" w:eastAsia="Arial" w:hAnsi="Arial"/>
          <w:sz w:val="15"/>
          <w:szCs w:val="15"/>
          <w:color w:val="auto"/>
        </w:rPr>
        <w:t>Each of our director nominees has been recommended for election by our Corporate Governance and Nominating Committee and nominated by our Board. They are seasoned leaders with an array of diverse leadership experience in public and private companies, nonprofit organizations, and other businesses. They represent diverse backgrounds, experiences, skills, personal attributes, and viewpoints.</w:t>
      </w:r>
    </w:p>
    <w:p>
      <w:pPr>
        <w:spacing w:after="0" w:line="27" w:lineRule="exact"/>
        <w:rPr>
          <w:sz w:val="20"/>
          <w:szCs w:val="20"/>
          <w:color w:val="auto"/>
        </w:rPr>
      </w:pPr>
    </w:p>
    <w:p>
      <w:pPr>
        <w:ind w:left="560" w:right="180"/>
        <w:spacing w:after="0" w:line="275" w:lineRule="auto"/>
        <w:rPr>
          <w:sz w:val="20"/>
          <w:szCs w:val="20"/>
          <w:color w:val="auto"/>
        </w:rPr>
      </w:pPr>
      <w:r>
        <w:rPr>
          <w:rFonts w:ascii="Arial" w:cs="Arial" w:eastAsia="Arial" w:hAnsi="Arial"/>
          <w:sz w:val="15"/>
          <w:szCs w:val="15"/>
          <w:color w:val="auto"/>
        </w:rPr>
        <w:t>The Board believes that the unique attributes and experiences of each director nominee strengthens the Board’s ability to carry out its oversight role on behalf of shareholders, and is proud of the Company’s long history of having at least three</w:t>
      </w:r>
    </w:p>
    <w:p>
      <w:pPr>
        <w:spacing w:after="0" w:line="75"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80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Proposal 1: Election of Directors</w:t>
      </w:r>
    </w:p>
    <w:p>
      <w:pPr>
        <w:spacing w:after="0" w:line="135" w:lineRule="exact"/>
        <w:rPr>
          <w:sz w:val="20"/>
          <w:szCs w:val="20"/>
          <w:color w:val="auto"/>
        </w:rPr>
      </w:pPr>
    </w:p>
    <w:p>
      <w:pPr>
        <w:ind w:left="560" w:right="200"/>
        <w:spacing w:after="0" w:line="275" w:lineRule="auto"/>
        <w:rPr>
          <w:sz w:val="20"/>
          <w:szCs w:val="20"/>
          <w:color w:val="auto"/>
        </w:rPr>
      </w:pPr>
      <w:r>
        <w:rPr>
          <w:rFonts w:ascii="Arial" w:cs="Arial" w:eastAsia="Arial" w:hAnsi="Arial"/>
          <w:sz w:val="15"/>
          <w:szCs w:val="15"/>
          <w:color w:val="auto"/>
        </w:rPr>
        <w:t>directors who are women on the Board for the past 17 years. While we do not have a formal diversity policy, the Board will continue to prioritize varied perspectives and backgrounds in future Board membership.</w:t>
      </w:r>
    </w:p>
    <w:p>
      <w:pPr>
        <w:spacing w:after="0" w:line="14" w:lineRule="exact"/>
        <w:rPr>
          <w:sz w:val="20"/>
          <w:szCs w:val="20"/>
          <w:color w:val="auto"/>
        </w:rPr>
      </w:pPr>
    </w:p>
    <w:p>
      <w:pPr>
        <w:ind w:left="560"/>
        <w:spacing w:after="0" w:line="250" w:lineRule="auto"/>
        <w:rPr>
          <w:sz w:val="20"/>
          <w:szCs w:val="20"/>
          <w:color w:val="auto"/>
        </w:rPr>
      </w:pPr>
      <w:r>
        <w:rPr>
          <w:rFonts w:ascii="Arial" w:cs="Arial" w:eastAsia="Arial" w:hAnsi="Arial"/>
          <w:sz w:val="15"/>
          <w:szCs w:val="15"/>
          <w:color w:val="auto"/>
        </w:rPr>
        <w:t>For each of the eleven director nominees standing for election, the following pages set forth certain biographical information, including a description of their principal occupation, business experience, and the primary qualifications, experience, skills, and attributes that the Corporate Governance and Nominating Committee considered in recommending them as director nominees, as well as the committees on which each director nominee will serve as of the 2026 Annual Meeting. The Board composition charts, including information on independence, age, tenure, skills, experience, and attributes, assume that all director nominees are elected as directors at the Annual Meeting. Age and tenure for each director nominee is as of April 13, 2026.</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Composition</w:t>
      </w:r>
    </w:p>
    <w:p>
      <w:pPr>
        <w:spacing w:after="0" w:line="69" w:lineRule="exact"/>
        <w:rPr>
          <w:sz w:val="20"/>
          <w:szCs w:val="20"/>
          <w:color w:val="auto"/>
        </w:rPr>
      </w:pPr>
    </w:p>
    <w:p>
      <w:pPr>
        <w:ind w:left="560" w:right="220"/>
        <w:spacing w:after="0" w:line="250" w:lineRule="auto"/>
        <w:rPr>
          <w:sz w:val="20"/>
          <w:szCs w:val="20"/>
          <w:color w:val="auto"/>
        </w:rPr>
      </w:pPr>
      <w:r>
        <w:rPr>
          <w:rFonts w:ascii="Arial" w:cs="Arial" w:eastAsia="Arial" w:hAnsi="Arial"/>
          <w:sz w:val="15"/>
          <w:szCs w:val="15"/>
          <w:color w:val="auto"/>
        </w:rPr>
        <w:t>The Corporate Governance and Nominating Committee is responsible for identifying and recommending to the Board qualified candidates for Board membership as well as assessing the experience and skills of the Company’s current directors. The Committee regularly reviews the mix of individual qualifications, experience, skills, and attributes of incumbent directors to assess overall Board composition and define Board succession goals. The Committee values these core qualifications for Board composition essential to business success: leadership skills, ethics and integrity, independence, sound judgment, interpersonal and communication skills, and being accomplished in their field.</w:t>
      </w:r>
    </w:p>
    <w:p>
      <w:pPr>
        <w:spacing w:after="0" w:line="3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14 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00"/>
          </w:cols>
          <w:pgMar w:left="320" w:top="454"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760"/>
        <w:spacing w:after="0"/>
        <w:rPr>
          <w:sz w:val="20"/>
          <w:szCs w:val="20"/>
          <w:color w:val="auto"/>
        </w:rPr>
      </w:pPr>
      <w:r>
        <w:rPr>
          <w:rFonts w:ascii="Arial" w:cs="Arial" w:eastAsia="Arial" w:hAnsi="Arial"/>
          <w:sz w:val="12"/>
          <w:szCs w:val="12"/>
          <w:b w:val="1"/>
          <w:bCs w:val="1"/>
          <w:color w:val="auto"/>
        </w:rPr>
        <w:t>Proposal 1: Election of Directors</w:t>
      </w:r>
    </w:p>
    <w:p>
      <w:pPr>
        <w:spacing w:after="0" w:line="200" w:lineRule="exact"/>
        <w:rPr>
          <w:sz w:val="20"/>
          <w:szCs w:val="20"/>
          <w:color w:val="auto"/>
        </w:rPr>
      </w:pPr>
    </w:p>
    <w:p>
      <w:pPr>
        <w:spacing w:after="0" w:line="382" w:lineRule="exact"/>
        <w:rPr>
          <w:sz w:val="20"/>
          <w:szCs w:val="20"/>
          <w:color w:val="auto"/>
        </w:rPr>
      </w:pPr>
    </w:p>
    <w:p>
      <w:pPr>
        <w:ind w:left="560" w:right="1060"/>
        <w:spacing w:after="0" w:line="275" w:lineRule="auto"/>
        <w:rPr>
          <w:sz w:val="20"/>
          <w:szCs w:val="20"/>
          <w:color w:val="auto"/>
        </w:rPr>
      </w:pPr>
      <w:r>
        <w:rPr>
          <w:rFonts w:ascii="Arial" w:cs="Arial" w:eastAsia="Arial" w:hAnsi="Arial"/>
          <w:sz w:val="15"/>
          <w:szCs w:val="15"/>
          <w:color w:val="auto"/>
        </w:rPr>
        <w:t>In determining whether to recommend a director for re-nomination, the Committee also considers the director’s recent contributions and potential for continuing contributions to the work of the Board.</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Composition Matrix (2025)</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7"/>
                <w:szCs w:val="17"/>
                <w:color w:val="00AE4F"/>
                <w:w w:val="96"/>
              </w:rPr>
              <w:t>Director Nominees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840" w:type="dxa"/>
            <w:vAlign w:val="bottom"/>
          </w:tcPr>
          <w:p>
            <w:pPr>
              <w:ind w:left="60"/>
              <w:spacing w:after="0"/>
              <w:rPr>
                <w:sz w:val="20"/>
                <w:szCs w:val="20"/>
                <w:color w:val="auto"/>
              </w:rPr>
            </w:pPr>
            <w:r>
              <w:rPr>
                <w:rFonts w:ascii="Arial" w:cs="Arial" w:eastAsia="Arial" w:hAnsi="Arial"/>
                <w:sz w:val="17"/>
                <w:szCs w:val="17"/>
                <w:color w:val="00AE4F"/>
                <w:w w:val="96"/>
              </w:rPr>
              <w:t>Specific Experience and</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60"/>
              <w:spacing w:after="0" w:line="186" w:lineRule="exact"/>
              <w:rPr>
                <w:sz w:val="20"/>
                <w:szCs w:val="20"/>
                <w:color w:val="auto"/>
              </w:rPr>
            </w:pPr>
            <w:r>
              <w:rPr>
                <w:rFonts w:ascii="Arial" w:cs="Arial" w:eastAsia="Arial" w:hAnsi="Arial"/>
                <w:sz w:val="17"/>
                <w:szCs w:val="17"/>
                <w:color w:val="00AE4F"/>
              </w:rPr>
              <w:t>Skills (May vary</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60"/>
              <w:spacing w:after="0" w:line="186" w:lineRule="exact"/>
              <w:rPr>
                <w:sz w:val="20"/>
                <w:szCs w:val="20"/>
                <w:color w:val="auto"/>
              </w:rPr>
            </w:pPr>
            <w:r>
              <w:rPr>
                <w:rFonts w:ascii="Arial" w:cs="Arial" w:eastAsia="Arial" w:hAnsi="Arial"/>
                <w:sz w:val="17"/>
                <w:szCs w:val="17"/>
                <w:color w:val="00AE4F"/>
              </w:rPr>
              <w:t>based on current and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60"/>
              <w:spacing w:after="0" w:line="186" w:lineRule="exact"/>
              <w:rPr>
                <w:sz w:val="20"/>
                <w:szCs w:val="20"/>
                <w:color w:val="auto"/>
              </w:rPr>
            </w:pPr>
            <w:r>
              <w:rPr>
                <w:rFonts w:ascii="Arial" w:cs="Arial" w:eastAsia="Arial" w:hAnsi="Arial"/>
                <w:sz w:val="17"/>
                <w:szCs w:val="17"/>
                <w:color w:val="00AE4F"/>
              </w:rPr>
              <w:t>future Company</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00AE4F"/>
              </w:rPr>
              <w:t>priorities /needs)</w:t>
            </w: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  </w:t>
            </w:r>
          </w:p>
        </w:tc>
        <w:tc>
          <w:tcPr>
            <w:tcW w:w="110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color w:val="auto"/>
              </w:rPr>
              <w:t xml:space="preserve">       </w:t>
            </w:r>
          </w:p>
        </w:tc>
        <w:tc>
          <w:tcPr>
            <w:tcW w:w="84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 xml:space="preserve">       </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 xml:space="preserve">  </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 xml:space="preserve">  </w:t>
            </w: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rPr>
              <w:t xml:space="preserve">      </w:t>
            </w:r>
          </w:p>
        </w:tc>
        <w:tc>
          <w:tcPr>
            <w:tcW w:w="84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5"/>
                <w:szCs w:val="15"/>
                <w:color w:val="auto"/>
              </w:rPr>
              <w:t xml:space="preserve">       </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 xml:space="preserve">  </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 xml:space="preserve">   </w:t>
            </w: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 xml:space="preserve">     </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 xml:space="preserve">    </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 xml:space="preserve">         </w:t>
            </w:r>
          </w:p>
        </w:tc>
        <w:tc>
          <w:tcPr>
            <w:tcW w:w="50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color w:val="auto"/>
                <w:w w:val="99"/>
              </w:rPr>
              <w:t>  </w:t>
            </w:r>
          </w:p>
        </w:tc>
        <w:tc>
          <w:tcPr>
            <w:tcW w:w="0" w:type="dxa"/>
            <w:vAlign w:val="bottom"/>
          </w:tcPr>
          <w:p>
            <w:pPr>
              <w:spacing w:after="0"/>
              <w:rPr>
                <w:sz w:val="1"/>
                <w:szCs w:val="1"/>
                <w:color w:val="auto"/>
              </w:rPr>
            </w:pPr>
          </w:p>
        </w:tc>
      </w:tr>
      <w:tr>
        <w:trPr>
          <w:trHeight w:val="278"/>
        </w:trPr>
        <w:tc>
          <w:tcPr>
            <w:tcW w:w="1840" w:type="dxa"/>
            <w:vAlign w:val="bottom"/>
          </w:tcPr>
          <w:p>
            <w:pPr>
              <w:ind w:left="60"/>
              <w:spacing w:after="0"/>
              <w:rPr>
                <w:sz w:val="20"/>
                <w:szCs w:val="20"/>
                <w:color w:val="auto"/>
              </w:rPr>
            </w:pPr>
            <w:r>
              <w:rPr>
                <w:rFonts w:ascii="Arial" w:cs="Arial" w:eastAsia="Arial" w:hAnsi="Arial"/>
                <w:sz w:val="15"/>
                <w:szCs w:val="15"/>
                <w:color w:val="auto"/>
              </w:rPr>
              <w:t>Executive Leadership</w:t>
            </w:r>
          </w:p>
        </w:tc>
        <w:tc>
          <w:tcPr>
            <w:tcW w:w="20" w:type="dxa"/>
            <w:vAlign w:val="bottom"/>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EDEDED"/>
            </w:tcBorders>
            <w:shd w:val="clear" w:color="auto" w:fill="EDEDED"/>
          </w:tcPr>
          <w:p>
            <w:pPr>
              <w:jc w:val="center"/>
              <w:ind w:right="256"/>
              <w:spacing w:after="0"/>
              <w:rPr>
                <w:sz w:val="20"/>
                <w:szCs w:val="20"/>
                <w:color w:val="auto"/>
              </w:rPr>
            </w:pPr>
            <w:r>
              <w:rPr>
                <w:rFonts w:ascii="Times New Roman" w:cs="Times New Roman" w:eastAsia="Times New Roman" w:hAnsi="Times New Roman"/>
                <w:sz w:val="12"/>
                <w:szCs w:val="12"/>
                <w:color w:val="00AE4F"/>
              </w:rPr>
              <w:t>●</w:t>
            </w:r>
          </w:p>
        </w:tc>
        <w:tc>
          <w:tcPr>
            <w:tcW w:w="220" w:type="dxa"/>
            <w:vAlign w:val="bottom"/>
          </w:tcPr>
          <w:p>
            <w:pPr>
              <w:spacing w:after="0"/>
              <w:rPr>
                <w:sz w:val="24"/>
                <w:szCs w:val="24"/>
                <w:color w:val="auto"/>
              </w:rPr>
            </w:pPr>
          </w:p>
        </w:tc>
        <w:tc>
          <w:tcPr>
            <w:tcW w:w="62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bottom w:val="single" w:sz="8" w:color="EDEDED"/>
            </w:tcBorders>
            <w:shd w:val="clear" w:color="auto" w:fill="EDEDED"/>
          </w:tcPr>
          <w:p>
            <w:pPr>
              <w:spacing w:after="0"/>
              <w:rPr>
                <w:sz w:val="24"/>
                <w:szCs w:val="24"/>
                <w:color w:val="auto"/>
              </w:rPr>
            </w:pPr>
          </w:p>
        </w:tc>
        <w:tc>
          <w:tcPr>
            <w:tcW w:w="540" w:type="dxa"/>
            <w:vAlign w:val="bottom"/>
            <w:tcBorders>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bottom w:val="single" w:sz="8" w:color="EDEDED"/>
            </w:tcBorders>
            <w:shd w:val="clear" w:color="auto" w:fill="EDEDED"/>
          </w:tcPr>
          <w:p>
            <w:pPr>
              <w:spacing w:after="0"/>
              <w:rPr>
                <w:sz w:val="24"/>
                <w:szCs w:val="24"/>
                <w:color w:val="auto"/>
              </w:rPr>
            </w:pPr>
          </w:p>
        </w:tc>
        <w:tc>
          <w:tcPr>
            <w:tcW w:w="72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Pr>
          <w:p>
            <w:pPr>
              <w:spacing w:after="0"/>
              <w:rPr>
                <w:sz w:val="24"/>
                <w:szCs w:val="24"/>
                <w:color w:val="auto"/>
              </w:rPr>
            </w:pPr>
          </w:p>
        </w:tc>
        <w:tc>
          <w:tcPr>
            <w:tcW w:w="48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Pr>
          <w:p>
            <w:pPr>
              <w:spacing w:after="0"/>
              <w:rPr>
                <w:sz w:val="24"/>
                <w:szCs w:val="24"/>
                <w:color w:val="auto"/>
              </w:rPr>
            </w:pPr>
          </w:p>
        </w:tc>
        <w:tc>
          <w:tcPr>
            <w:tcW w:w="620" w:type="dxa"/>
            <w:vAlign w:val="bottom"/>
            <w:tcBorders>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bottom w:val="single" w:sz="8" w:color="EDEDED"/>
            </w:tcBorders>
            <w:shd w:val="clear" w:color="auto" w:fill="EDEDED"/>
          </w:tcPr>
          <w:p>
            <w:pPr>
              <w:spacing w:after="0"/>
              <w:rPr>
                <w:sz w:val="24"/>
                <w:szCs w:val="24"/>
                <w:color w:val="auto"/>
              </w:rPr>
            </w:pPr>
          </w:p>
        </w:tc>
        <w:tc>
          <w:tcPr>
            <w:tcW w:w="520" w:type="dxa"/>
            <w:vAlign w:val="bottom"/>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Pr>
          <w:p>
            <w:pPr>
              <w:spacing w:after="0"/>
              <w:rPr>
                <w:sz w:val="24"/>
                <w:szCs w:val="24"/>
                <w:color w:val="auto"/>
              </w:rPr>
            </w:pPr>
          </w:p>
        </w:tc>
        <w:tc>
          <w:tcPr>
            <w:tcW w:w="760" w:type="dxa"/>
            <w:vAlign w:val="bottom"/>
            <w:tcBorders>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Transformations</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jc w:val="center"/>
              <w:ind w:right="256"/>
              <w:spacing w:after="0"/>
              <w:rPr>
                <w:sz w:val="20"/>
                <w:szCs w:val="20"/>
                <w:color w:val="auto"/>
              </w:rPr>
            </w:pPr>
            <w:r>
              <w:rPr>
                <w:rFonts w:ascii="Times New Roman" w:cs="Times New Roman" w:eastAsia="Times New Roman" w:hAnsi="Times New Roman"/>
                <w:sz w:val="12"/>
                <w:szCs w:val="12"/>
                <w:color w:val="00AE4F"/>
              </w:rPr>
              <w:t>●</w:t>
            </w: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Innovation</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jc w:val="center"/>
              <w:ind w:right="256"/>
              <w:spacing w:after="0"/>
              <w:rPr>
                <w:sz w:val="20"/>
                <w:szCs w:val="20"/>
                <w:color w:val="auto"/>
              </w:rPr>
            </w:pPr>
            <w:r>
              <w:rPr>
                <w:rFonts w:ascii="Times New Roman" w:cs="Times New Roman" w:eastAsia="Times New Roman" w:hAnsi="Times New Roman"/>
                <w:sz w:val="12"/>
                <w:szCs w:val="12"/>
                <w:color w:val="00AE4F"/>
              </w:rPr>
              <w:t>●</w:t>
            </w: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spacing w:after="0"/>
              <w:rPr>
                <w:sz w:val="24"/>
                <w:szCs w:val="24"/>
                <w:color w:val="auto"/>
              </w:rPr>
            </w:pP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spacing w:after="0"/>
              <w:rPr>
                <w:sz w:val="24"/>
                <w:szCs w:val="24"/>
                <w:color w:val="auto"/>
              </w:rPr>
            </w:pP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Industry</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spacing w:after="0"/>
              <w:rPr>
                <w:sz w:val="24"/>
                <w:szCs w:val="24"/>
                <w:color w:val="auto"/>
              </w:rPr>
            </w:pP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spacing w:after="0"/>
              <w:rPr>
                <w:sz w:val="24"/>
                <w:szCs w:val="24"/>
                <w:color w:val="auto"/>
              </w:rPr>
            </w:pP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Technology, Digitization,</w:t>
            </w:r>
          </w:p>
        </w:tc>
        <w:tc>
          <w:tcPr>
            <w:tcW w:w="2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shd w:val="clear" w:color="auto" w:fill="EDEDED"/>
          </w:tcPr>
          <w:p>
            <w:pPr>
              <w:spacing w:after="0"/>
              <w:rPr>
                <w:sz w:val="17"/>
                <w:szCs w:val="17"/>
                <w:color w:val="auto"/>
              </w:rPr>
            </w:pPr>
          </w:p>
        </w:tc>
        <w:tc>
          <w:tcPr>
            <w:tcW w:w="880" w:type="dxa"/>
            <w:vAlign w:val="bottom"/>
            <w:tcBorders>
              <w:top w:val="single" w:sz="8" w:color="7F7F7F"/>
            </w:tcBorders>
            <w:shd w:val="clear" w:color="auto" w:fill="EDEDED"/>
          </w:tcPr>
          <w:p>
            <w:pPr>
              <w:spacing w:after="0"/>
              <w:rPr>
                <w:sz w:val="17"/>
                <w:szCs w:val="17"/>
                <w:color w:val="auto"/>
              </w:rPr>
            </w:pPr>
          </w:p>
        </w:tc>
        <w:tc>
          <w:tcPr>
            <w:tcW w:w="2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vMerge w:val="restart"/>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shd w:val="clear" w:color="auto" w:fill="EDEDED"/>
          </w:tcPr>
          <w:p>
            <w:pPr>
              <w:spacing w:after="0"/>
              <w:rPr>
                <w:sz w:val="17"/>
                <w:szCs w:val="17"/>
                <w:color w:val="auto"/>
              </w:rPr>
            </w:pPr>
          </w:p>
        </w:tc>
        <w:tc>
          <w:tcPr>
            <w:tcW w:w="540" w:type="dxa"/>
            <w:vAlign w:val="bottom"/>
            <w:tcBorders>
              <w:top w:val="single" w:sz="8" w:color="7F7F7F"/>
            </w:tcBorders>
            <w:vMerge w:val="restart"/>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tcBorders>
            <w:shd w:val="clear" w:color="auto" w:fill="EDEDED"/>
          </w:tcPr>
          <w:p>
            <w:pPr>
              <w:spacing w:after="0"/>
              <w:rPr>
                <w:sz w:val="17"/>
                <w:szCs w:val="17"/>
                <w:color w:val="auto"/>
              </w:rPr>
            </w:pPr>
          </w:p>
        </w:tc>
        <w:tc>
          <w:tcPr>
            <w:tcW w:w="72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tcPr>
          <w:p>
            <w:pPr>
              <w:spacing w:after="0"/>
              <w:rPr>
                <w:sz w:val="17"/>
                <w:szCs w:val="17"/>
                <w:color w:val="auto"/>
              </w:rPr>
            </w:pPr>
          </w:p>
        </w:tc>
        <w:tc>
          <w:tcPr>
            <w:tcW w:w="220" w:type="dxa"/>
            <w:vAlign w:val="bottom"/>
            <w:tcBorders>
              <w:top w:val="single" w:sz="8" w:color="7F7F7F"/>
            </w:tcBorders>
            <w:shd w:val="clear" w:color="auto" w:fill="EDEDED"/>
          </w:tcPr>
          <w:p>
            <w:pPr>
              <w:spacing w:after="0"/>
              <w:rPr>
                <w:sz w:val="17"/>
                <w:szCs w:val="17"/>
                <w:color w:val="auto"/>
              </w:rPr>
            </w:pPr>
          </w:p>
        </w:tc>
        <w:tc>
          <w:tcPr>
            <w:tcW w:w="620" w:type="dxa"/>
            <w:vAlign w:val="bottom"/>
            <w:tcBorders>
              <w:top w:val="single" w:sz="8" w:color="7F7F7F"/>
            </w:tcBorders>
            <w:vMerge w:val="restart"/>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17"/>
                <w:szCs w:val="17"/>
                <w:color w:val="auto"/>
              </w:rPr>
            </w:pPr>
          </w:p>
        </w:tc>
        <w:tc>
          <w:tcPr>
            <w:tcW w:w="4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shd w:val="clear" w:color="auto" w:fill="EDEDED"/>
          </w:tcPr>
          <w:p>
            <w:pPr>
              <w:spacing w:after="0"/>
              <w:rPr>
                <w:sz w:val="17"/>
                <w:szCs w:val="17"/>
                <w:color w:val="auto"/>
              </w:rPr>
            </w:pPr>
          </w:p>
        </w:tc>
        <w:tc>
          <w:tcPr>
            <w:tcW w:w="140" w:type="dxa"/>
            <w:vAlign w:val="bottom"/>
            <w:tcBorders>
              <w:top w:val="single" w:sz="8" w:color="7F7F7F"/>
            </w:tcBorders>
            <w:shd w:val="clear" w:color="auto" w:fill="EDEDED"/>
          </w:tcPr>
          <w:p>
            <w:pPr>
              <w:spacing w:after="0"/>
              <w:rPr>
                <w:sz w:val="17"/>
                <w:szCs w:val="17"/>
                <w:color w:val="auto"/>
              </w:rPr>
            </w:pPr>
          </w:p>
        </w:tc>
        <w:tc>
          <w:tcPr>
            <w:tcW w:w="520" w:type="dxa"/>
            <w:vAlign w:val="bottom"/>
            <w:tcBorders>
              <w:top w:val="single" w:sz="8" w:color="7F7F7F"/>
            </w:tcBorders>
            <w:vMerge w:val="restart"/>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vMerge w:val="restart"/>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tcBorders>
            <w:shd w:val="clear" w:color="auto" w:fill="EDEDED"/>
          </w:tcPr>
          <w:p>
            <w:pPr>
              <w:spacing w:after="0"/>
              <w:rPr>
                <w:sz w:val="17"/>
                <w:szCs w:val="17"/>
                <w:color w:val="auto"/>
              </w:rPr>
            </w:pPr>
          </w:p>
        </w:tc>
        <w:tc>
          <w:tcPr>
            <w:tcW w:w="240" w:type="dxa"/>
            <w:vAlign w:val="bottom"/>
            <w:tcBorders>
              <w:top w:val="single" w:sz="8" w:color="7F7F7F"/>
            </w:tcBorders>
          </w:tcPr>
          <w:p>
            <w:pPr>
              <w:spacing w:after="0"/>
              <w:rPr>
                <w:sz w:val="17"/>
                <w:szCs w:val="17"/>
                <w:color w:val="auto"/>
              </w:rPr>
            </w:pPr>
          </w:p>
        </w:tc>
        <w:tc>
          <w:tcPr>
            <w:tcW w:w="3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840" w:type="dxa"/>
            <w:vAlign w:val="bottom"/>
            <w:vMerge w:val="restart"/>
          </w:tcPr>
          <w:p>
            <w:pPr>
              <w:ind w:left="60"/>
              <w:spacing w:after="0"/>
              <w:rPr>
                <w:sz w:val="20"/>
                <w:szCs w:val="20"/>
                <w:color w:val="auto"/>
              </w:rPr>
            </w:pPr>
            <w:r>
              <w:rPr>
                <w:rFonts w:ascii="Arial" w:cs="Arial" w:eastAsia="Arial" w:hAnsi="Arial"/>
                <w:sz w:val="15"/>
                <w:szCs w:val="15"/>
                <w:color w:val="auto"/>
              </w:rPr>
              <w:t>and Cybersecurity</w:t>
            </w:r>
          </w:p>
        </w:tc>
        <w:tc>
          <w:tcPr>
            <w:tcW w:w="20" w:type="dxa"/>
            <w:vAlign w:val="bottom"/>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540" w:type="dxa"/>
            <w:vAlign w:val="bottom"/>
            <w:vMerge w:val="continue"/>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620" w:type="dxa"/>
            <w:vAlign w:val="bottom"/>
            <w:vMerge w:val="continue"/>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shd w:val="clear" w:color="auto" w:fill="EDEDED"/>
          </w:tcPr>
          <w:p>
            <w:pPr>
              <w:spacing w:after="0"/>
              <w:rPr>
                <w:sz w:val="7"/>
                <w:szCs w:val="7"/>
                <w:color w:val="auto"/>
              </w:rPr>
            </w:pPr>
          </w:p>
        </w:tc>
        <w:tc>
          <w:tcPr>
            <w:tcW w:w="360" w:type="dxa"/>
            <w:vAlign w:val="bottom"/>
            <w:shd w:val="clear" w:color="auto" w:fill="EDEDED"/>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EDEDED"/>
            </w:tcBorders>
            <w:shd w:val="clear" w:color="auto" w:fill="EDEDED"/>
          </w:tcPr>
          <w:p>
            <w:pPr>
              <w:spacing w:after="0"/>
              <w:rPr>
                <w:sz w:val="14"/>
                <w:szCs w:val="14"/>
                <w:color w:val="auto"/>
              </w:rPr>
            </w:pPr>
          </w:p>
        </w:tc>
        <w:tc>
          <w:tcPr>
            <w:tcW w:w="88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540" w:type="dxa"/>
            <w:vAlign w:val="bottom"/>
            <w:tcBorders>
              <w:bottom w:val="single" w:sz="8" w:color="EDEDED"/>
            </w:tcBorders>
            <w:shd w:val="clear" w:color="auto" w:fill="EDEDED"/>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140" w:type="dxa"/>
            <w:vAlign w:val="bottom"/>
            <w:tcBorders>
              <w:bottom w:val="single" w:sz="8" w:color="EDEDED"/>
            </w:tcBorders>
            <w:shd w:val="clear" w:color="auto" w:fill="EDEDED"/>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EDEDED"/>
            </w:tcBorders>
            <w:shd w:val="clear" w:color="auto" w:fill="EDEDED"/>
          </w:tcPr>
          <w:p>
            <w:pPr>
              <w:spacing w:after="0"/>
              <w:rPr>
                <w:sz w:val="14"/>
                <w:szCs w:val="14"/>
                <w:color w:val="auto"/>
              </w:rPr>
            </w:pPr>
          </w:p>
        </w:tc>
        <w:tc>
          <w:tcPr>
            <w:tcW w:w="36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Financial Acumen</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jc w:val="center"/>
              <w:ind w:right="256"/>
              <w:spacing w:after="0"/>
              <w:rPr>
                <w:sz w:val="20"/>
                <w:szCs w:val="20"/>
                <w:color w:val="auto"/>
              </w:rPr>
            </w:pPr>
            <w:r>
              <w:rPr>
                <w:rFonts w:ascii="Times New Roman" w:cs="Times New Roman" w:eastAsia="Times New Roman" w:hAnsi="Times New Roman"/>
                <w:sz w:val="12"/>
                <w:szCs w:val="12"/>
                <w:color w:val="00AE4F"/>
              </w:rPr>
              <w:t>●</w:t>
            </w: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Financial Expert</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spacing w:after="0"/>
              <w:rPr>
                <w:sz w:val="24"/>
                <w:szCs w:val="24"/>
                <w:color w:val="auto"/>
              </w:rPr>
            </w:pP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Risk Management</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Legal or Corporate</w:t>
            </w:r>
          </w:p>
        </w:tc>
        <w:tc>
          <w:tcPr>
            <w:tcW w:w="2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shd w:val="clear" w:color="auto" w:fill="EDEDED"/>
          </w:tcPr>
          <w:p>
            <w:pPr>
              <w:spacing w:after="0"/>
              <w:rPr>
                <w:sz w:val="17"/>
                <w:szCs w:val="17"/>
                <w:color w:val="auto"/>
              </w:rPr>
            </w:pPr>
          </w:p>
        </w:tc>
        <w:tc>
          <w:tcPr>
            <w:tcW w:w="880" w:type="dxa"/>
            <w:vAlign w:val="bottom"/>
            <w:tcBorders>
              <w:top w:val="single" w:sz="8" w:color="7F7F7F"/>
            </w:tcBorders>
            <w:shd w:val="clear" w:color="auto" w:fill="EDEDED"/>
          </w:tcPr>
          <w:p>
            <w:pPr>
              <w:spacing w:after="0"/>
              <w:rPr>
                <w:sz w:val="17"/>
                <w:szCs w:val="17"/>
                <w:color w:val="auto"/>
              </w:rPr>
            </w:pPr>
          </w:p>
        </w:tc>
        <w:tc>
          <w:tcPr>
            <w:tcW w:w="2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tcPr>
          <w:p>
            <w:pPr>
              <w:spacing w:after="0"/>
              <w:rPr>
                <w:sz w:val="17"/>
                <w:szCs w:val="17"/>
                <w:color w:val="auto"/>
              </w:rPr>
            </w:pPr>
          </w:p>
        </w:tc>
        <w:tc>
          <w:tcPr>
            <w:tcW w:w="220" w:type="dxa"/>
            <w:vAlign w:val="bottom"/>
            <w:tcBorders>
              <w:top w:val="single" w:sz="8" w:color="7F7F7F"/>
            </w:tcBorders>
            <w:shd w:val="clear" w:color="auto" w:fill="EDEDED"/>
          </w:tcPr>
          <w:p>
            <w:pPr>
              <w:spacing w:after="0"/>
              <w:rPr>
                <w:sz w:val="17"/>
                <w:szCs w:val="17"/>
                <w:color w:val="auto"/>
              </w:rPr>
            </w:pPr>
          </w:p>
        </w:tc>
        <w:tc>
          <w:tcPr>
            <w:tcW w:w="540" w:type="dxa"/>
            <w:vAlign w:val="bottom"/>
            <w:tcBorders>
              <w:top w:val="single" w:sz="8" w:color="7F7F7F"/>
            </w:tcBorders>
            <w:vMerge w:val="restart"/>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tcBorders>
            <w:shd w:val="clear" w:color="auto" w:fill="EDEDED"/>
          </w:tcPr>
          <w:p>
            <w:pPr>
              <w:spacing w:after="0"/>
              <w:rPr>
                <w:sz w:val="17"/>
                <w:szCs w:val="17"/>
                <w:color w:val="auto"/>
              </w:rPr>
            </w:pPr>
          </w:p>
        </w:tc>
        <w:tc>
          <w:tcPr>
            <w:tcW w:w="720" w:type="dxa"/>
            <w:vAlign w:val="bottom"/>
            <w:tcBorders>
              <w:top w:val="single" w:sz="8" w:color="7F7F7F"/>
            </w:tcBorders>
            <w:vMerge w:val="restart"/>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17"/>
                <w:szCs w:val="17"/>
                <w:color w:val="auto"/>
              </w:rPr>
            </w:pPr>
          </w:p>
        </w:tc>
        <w:tc>
          <w:tcPr>
            <w:tcW w:w="220" w:type="dxa"/>
            <w:vAlign w:val="bottom"/>
            <w:tcBorders>
              <w:top w:val="single" w:sz="8" w:color="7F7F7F"/>
            </w:tcBorders>
            <w:shd w:val="clear" w:color="auto" w:fill="EDEDED"/>
          </w:tcPr>
          <w:p>
            <w:pPr>
              <w:spacing w:after="0"/>
              <w:rPr>
                <w:sz w:val="17"/>
                <w:szCs w:val="17"/>
                <w:color w:val="auto"/>
              </w:rPr>
            </w:pPr>
          </w:p>
        </w:tc>
        <w:tc>
          <w:tcPr>
            <w:tcW w:w="620" w:type="dxa"/>
            <w:vAlign w:val="bottom"/>
            <w:tcBorders>
              <w:top w:val="single" w:sz="8" w:color="7F7F7F"/>
            </w:tcBorders>
            <w:vMerge w:val="restart"/>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17"/>
                <w:szCs w:val="17"/>
                <w:color w:val="auto"/>
              </w:rPr>
            </w:pPr>
          </w:p>
        </w:tc>
        <w:tc>
          <w:tcPr>
            <w:tcW w:w="4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vMerge w:val="restart"/>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tcBorders>
            <w:shd w:val="clear" w:color="auto" w:fill="EDEDED"/>
          </w:tcPr>
          <w:p>
            <w:pPr>
              <w:spacing w:after="0"/>
              <w:rPr>
                <w:sz w:val="17"/>
                <w:szCs w:val="17"/>
                <w:color w:val="auto"/>
              </w:rPr>
            </w:pPr>
          </w:p>
        </w:tc>
        <w:tc>
          <w:tcPr>
            <w:tcW w:w="52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vMerge w:val="restart"/>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tcBorders>
            <w:shd w:val="clear" w:color="auto" w:fill="EDEDED"/>
          </w:tcPr>
          <w:p>
            <w:pPr>
              <w:spacing w:after="0"/>
              <w:rPr>
                <w:sz w:val="17"/>
                <w:szCs w:val="17"/>
                <w:color w:val="auto"/>
              </w:rPr>
            </w:pPr>
          </w:p>
        </w:tc>
        <w:tc>
          <w:tcPr>
            <w:tcW w:w="240" w:type="dxa"/>
            <w:vAlign w:val="bottom"/>
            <w:tcBorders>
              <w:top w:val="single" w:sz="8" w:color="7F7F7F"/>
            </w:tcBorders>
          </w:tcPr>
          <w:p>
            <w:pPr>
              <w:spacing w:after="0"/>
              <w:rPr>
                <w:sz w:val="17"/>
                <w:szCs w:val="17"/>
                <w:color w:val="auto"/>
              </w:rPr>
            </w:pPr>
          </w:p>
        </w:tc>
        <w:tc>
          <w:tcPr>
            <w:tcW w:w="380" w:type="dxa"/>
            <w:vAlign w:val="bottom"/>
            <w:tcBorders>
              <w:top w:val="single" w:sz="8" w:color="7F7F7F"/>
            </w:tcBorders>
            <w:vMerge w:val="restart"/>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840" w:type="dxa"/>
            <w:vAlign w:val="bottom"/>
            <w:vMerge w:val="restart"/>
          </w:tcPr>
          <w:p>
            <w:pPr>
              <w:ind w:left="60"/>
              <w:spacing w:after="0"/>
              <w:rPr>
                <w:sz w:val="20"/>
                <w:szCs w:val="20"/>
                <w:color w:val="auto"/>
              </w:rPr>
            </w:pPr>
            <w:r>
              <w:rPr>
                <w:rFonts w:ascii="Arial" w:cs="Arial" w:eastAsia="Arial" w:hAnsi="Arial"/>
                <w:sz w:val="15"/>
                <w:szCs w:val="15"/>
                <w:color w:val="auto"/>
              </w:rPr>
              <w:t>Governance</w:t>
            </w:r>
          </w:p>
        </w:tc>
        <w:tc>
          <w:tcPr>
            <w:tcW w:w="20" w:type="dxa"/>
            <w:vAlign w:val="bottom"/>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540" w:type="dxa"/>
            <w:vAlign w:val="bottom"/>
            <w:vMerge w:val="continue"/>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7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620" w:type="dxa"/>
            <w:vAlign w:val="bottom"/>
            <w:vMerge w:val="continue"/>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shd w:val="clear" w:color="auto" w:fill="EDEDED"/>
          </w:tcPr>
          <w:p>
            <w:pPr>
              <w:spacing w:after="0"/>
              <w:rPr>
                <w:sz w:val="7"/>
                <w:szCs w:val="7"/>
                <w:color w:val="auto"/>
              </w:rPr>
            </w:pPr>
          </w:p>
        </w:tc>
        <w:tc>
          <w:tcPr>
            <w:tcW w:w="360" w:type="dxa"/>
            <w:vAlign w:val="bottom"/>
            <w:shd w:val="clear" w:color="auto" w:fill="EDEDED"/>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EDEDED"/>
            </w:tcBorders>
            <w:shd w:val="clear" w:color="auto" w:fill="EDEDED"/>
          </w:tcPr>
          <w:p>
            <w:pPr>
              <w:spacing w:after="0"/>
              <w:rPr>
                <w:sz w:val="14"/>
                <w:szCs w:val="14"/>
                <w:color w:val="auto"/>
              </w:rPr>
            </w:pPr>
          </w:p>
        </w:tc>
        <w:tc>
          <w:tcPr>
            <w:tcW w:w="88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540" w:type="dxa"/>
            <w:vAlign w:val="bottom"/>
            <w:tcBorders>
              <w:bottom w:val="single" w:sz="8" w:color="EDEDED"/>
            </w:tcBorders>
            <w:shd w:val="clear" w:color="auto" w:fill="EDEDED"/>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140" w:type="dxa"/>
            <w:vAlign w:val="bottom"/>
            <w:tcBorders>
              <w:bottom w:val="single" w:sz="8" w:color="EDEDED"/>
            </w:tcBorders>
            <w:shd w:val="clear" w:color="auto" w:fill="EDEDED"/>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EDEDED"/>
            </w:tcBorders>
            <w:shd w:val="clear" w:color="auto" w:fill="EDEDED"/>
          </w:tcPr>
          <w:p>
            <w:pPr>
              <w:spacing w:after="0"/>
              <w:rPr>
                <w:sz w:val="14"/>
                <w:szCs w:val="14"/>
                <w:color w:val="auto"/>
              </w:rPr>
            </w:pPr>
          </w:p>
        </w:tc>
        <w:tc>
          <w:tcPr>
            <w:tcW w:w="36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Sustainability &amp; ESG</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spacing w:after="0"/>
              <w:rPr>
                <w:sz w:val="24"/>
                <w:szCs w:val="24"/>
                <w:color w:val="auto"/>
              </w:rPr>
            </w:pP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spacing w:after="0"/>
              <w:rPr>
                <w:sz w:val="24"/>
                <w:szCs w:val="24"/>
                <w:color w:val="auto"/>
              </w:rPr>
            </w:pP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Mergers &amp; Acquisitions</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jc w:val="center"/>
              <w:ind w:right="256"/>
              <w:spacing w:after="0"/>
              <w:rPr>
                <w:sz w:val="20"/>
                <w:szCs w:val="20"/>
                <w:color w:val="auto"/>
              </w:rPr>
            </w:pPr>
            <w:r>
              <w:rPr>
                <w:rFonts w:ascii="Times New Roman" w:cs="Times New Roman" w:eastAsia="Times New Roman" w:hAnsi="Times New Roman"/>
                <w:sz w:val="12"/>
                <w:szCs w:val="12"/>
                <w:color w:val="00AE4F"/>
              </w:rPr>
              <w:t>●</w:t>
            </w: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jc w:val="center"/>
              <w:ind w:right="137"/>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300" w:type="dxa"/>
            <w:vAlign w:val="bottom"/>
            <w:tcBorders>
              <w:top w:val="single" w:sz="8" w:color="7F7F7F"/>
            </w:tcBorders>
            <w:gridSpan w:val="5"/>
          </w:tcPr>
          <w:p>
            <w:pPr>
              <w:ind w:left="60"/>
              <w:spacing w:after="0"/>
              <w:rPr>
                <w:sz w:val="20"/>
                <w:szCs w:val="20"/>
                <w:color w:val="auto"/>
              </w:rPr>
            </w:pPr>
            <w:r>
              <w:rPr>
                <w:rFonts w:ascii="Arial" w:cs="Arial" w:eastAsia="Arial" w:hAnsi="Arial"/>
                <w:sz w:val="17"/>
                <w:szCs w:val="17"/>
                <w:color w:val="00AE4F"/>
              </w:rPr>
              <w:t>Other Public Board Experience (other</w:t>
            </w:r>
          </w:p>
        </w:tc>
        <w:tc>
          <w:tcPr>
            <w:tcW w:w="620" w:type="dxa"/>
            <w:vAlign w:val="bottom"/>
            <w:tcBorders>
              <w:top w:val="single" w:sz="8" w:color="7F7F7F"/>
            </w:tcBorders>
          </w:tcPr>
          <w:p>
            <w:pPr>
              <w:spacing w:after="0"/>
              <w:rPr>
                <w:sz w:val="23"/>
                <w:szCs w:val="23"/>
                <w:color w:val="auto"/>
              </w:rPr>
            </w:pPr>
          </w:p>
        </w:tc>
        <w:tc>
          <w:tcPr>
            <w:tcW w:w="220" w:type="dxa"/>
            <w:vAlign w:val="bottom"/>
            <w:tcBorders>
              <w:top w:val="single" w:sz="8" w:color="7F7F7F"/>
            </w:tcBorders>
          </w:tcPr>
          <w:p>
            <w:pPr>
              <w:spacing w:after="0"/>
              <w:rPr>
                <w:sz w:val="23"/>
                <w:szCs w:val="23"/>
                <w:color w:val="auto"/>
              </w:rPr>
            </w:pPr>
          </w:p>
        </w:tc>
        <w:tc>
          <w:tcPr>
            <w:tcW w:w="540" w:type="dxa"/>
            <w:vAlign w:val="bottom"/>
            <w:tcBorders>
              <w:top w:val="single" w:sz="8" w:color="7F7F7F"/>
            </w:tcBorders>
          </w:tcPr>
          <w:p>
            <w:pPr>
              <w:spacing w:after="0"/>
              <w:rPr>
                <w:sz w:val="23"/>
                <w:szCs w:val="23"/>
                <w:color w:val="auto"/>
              </w:rPr>
            </w:pPr>
          </w:p>
        </w:tc>
        <w:tc>
          <w:tcPr>
            <w:tcW w:w="100" w:type="dxa"/>
            <w:vAlign w:val="bottom"/>
            <w:tcBorders>
              <w:top w:val="single" w:sz="8" w:color="7F7F7F"/>
            </w:tcBorders>
          </w:tcPr>
          <w:p>
            <w:pPr>
              <w:spacing w:after="0"/>
              <w:rPr>
                <w:sz w:val="23"/>
                <w:szCs w:val="23"/>
                <w:color w:val="auto"/>
              </w:rPr>
            </w:pPr>
          </w:p>
        </w:tc>
        <w:tc>
          <w:tcPr>
            <w:tcW w:w="720" w:type="dxa"/>
            <w:vAlign w:val="bottom"/>
            <w:tcBorders>
              <w:top w:val="single" w:sz="8" w:color="7F7F7F"/>
            </w:tcBorders>
          </w:tcPr>
          <w:p>
            <w:pPr>
              <w:spacing w:after="0"/>
              <w:rPr>
                <w:sz w:val="23"/>
                <w:szCs w:val="23"/>
                <w:color w:val="auto"/>
              </w:rPr>
            </w:pPr>
          </w:p>
        </w:tc>
        <w:tc>
          <w:tcPr>
            <w:tcW w:w="360" w:type="dxa"/>
            <w:vAlign w:val="bottom"/>
            <w:tcBorders>
              <w:top w:val="single" w:sz="8" w:color="7F7F7F"/>
            </w:tcBorders>
          </w:tcPr>
          <w:p>
            <w:pPr>
              <w:spacing w:after="0"/>
              <w:rPr>
                <w:sz w:val="23"/>
                <w:szCs w:val="23"/>
                <w:color w:val="auto"/>
              </w:rPr>
            </w:pPr>
          </w:p>
        </w:tc>
        <w:tc>
          <w:tcPr>
            <w:tcW w:w="220" w:type="dxa"/>
            <w:vAlign w:val="bottom"/>
            <w:tcBorders>
              <w:top w:val="single" w:sz="8" w:color="7F7F7F"/>
            </w:tcBorders>
          </w:tcPr>
          <w:p>
            <w:pPr>
              <w:spacing w:after="0"/>
              <w:rPr>
                <w:sz w:val="23"/>
                <w:szCs w:val="23"/>
                <w:color w:val="auto"/>
              </w:rPr>
            </w:pPr>
          </w:p>
        </w:tc>
        <w:tc>
          <w:tcPr>
            <w:tcW w:w="620" w:type="dxa"/>
            <w:vAlign w:val="bottom"/>
            <w:tcBorders>
              <w:top w:val="single" w:sz="8" w:color="7F7F7F"/>
            </w:tcBorders>
          </w:tcPr>
          <w:p>
            <w:pPr>
              <w:spacing w:after="0"/>
              <w:rPr>
                <w:sz w:val="23"/>
                <w:szCs w:val="23"/>
                <w:color w:val="auto"/>
              </w:rPr>
            </w:pPr>
          </w:p>
        </w:tc>
        <w:tc>
          <w:tcPr>
            <w:tcW w:w="220" w:type="dxa"/>
            <w:vAlign w:val="bottom"/>
            <w:tcBorders>
              <w:top w:val="single" w:sz="8" w:color="7F7F7F"/>
            </w:tcBorders>
          </w:tcPr>
          <w:p>
            <w:pPr>
              <w:spacing w:after="0"/>
              <w:rPr>
                <w:sz w:val="23"/>
                <w:szCs w:val="23"/>
                <w:color w:val="auto"/>
              </w:rPr>
            </w:pPr>
          </w:p>
        </w:tc>
        <w:tc>
          <w:tcPr>
            <w:tcW w:w="480" w:type="dxa"/>
            <w:vAlign w:val="bottom"/>
            <w:tcBorders>
              <w:top w:val="single" w:sz="8" w:color="7F7F7F"/>
            </w:tcBorders>
          </w:tcPr>
          <w:p>
            <w:pPr>
              <w:spacing w:after="0"/>
              <w:rPr>
                <w:sz w:val="23"/>
                <w:szCs w:val="23"/>
                <w:color w:val="auto"/>
              </w:rPr>
            </w:pPr>
          </w:p>
        </w:tc>
        <w:tc>
          <w:tcPr>
            <w:tcW w:w="120" w:type="dxa"/>
            <w:vAlign w:val="bottom"/>
            <w:tcBorders>
              <w:top w:val="single" w:sz="8" w:color="7F7F7F"/>
            </w:tcBorders>
          </w:tcPr>
          <w:p>
            <w:pPr>
              <w:spacing w:after="0"/>
              <w:rPr>
                <w:sz w:val="23"/>
                <w:szCs w:val="23"/>
                <w:color w:val="auto"/>
              </w:rPr>
            </w:pPr>
          </w:p>
        </w:tc>
        <w:tc>
          <w:tcPr>
            <w:tcW w:w="620" w:type="dxa"/>
            <w:vAlign w:val="bottom"/>
            <w:tcBorders>
              <w:top w:val="single" w:sz="8" w:color="7F7F7F"/>
            </w:tcBorders>
          </w:tcPr>
          <w:p>
            <w:pPr>
              <w:spacing w:after="0"/>
              <w:rPr>
                <w:sz w:val="23"/>
                <w:szCs w:val="23"/>
                <w:color w:val="auto"/>
              </w:rPr>
            </w:pPr>
          </w:p>
        </w:tc>
        <w:tc>
          <w:tcPr>
            <w:tcW w:w="140" w:type="dxa"/>
            <w:vAlign w:val="bottom"/>
            <w:tcBorders>
              <w:top w:val="single" w:sz="8" w:color="7F7F7F"/>
            </w:tcBorders>
          </w:tcPr>
          <w:p>
            <w:pPr>
              <w:spacing w:after="0"/>
              <w:rPr>
                <w:sz w:val="23"/>
                <w:szCs w:val="23"/>
                <w:color w:val="auto"/>
              </w:rPr>
            </w:pPr>
          </w:p>
        </w:tc>
        <w:tc>
          <w:tcPr>
            <w:tcW w:w="520" w:type="dxa"/>
            <w:vAlign w:val="bottom"/>
            <w:tcBorders>
              <w:top w:val="single" w:sz="8" w:color="7F7F7F"/>
            </w:tcBorders>
          </w:tcPr>
          <w:p>
            <w:pPr>
              <w:spacing w:after="0"/>
              <w:rPr>
                <w:sz w:val="23"/>
                <w:szCs w:val="23"/>
                <w:color w:val="auto"/>
              </w:rPr>
            </w:pPr>
          </w:p>
        </w:tc>
        <w:tc>
          <w:tcPr>
            <w:tcW w:w="120" w:type="dxa"/>
            <w:vAlign w:val="bottom"/>
            <w:tcBorders>
              <w:top w:val="single" w:sz="8" w:color="7F7F7F"/>
            </w:tcBorders>
          </w:tcPr>
          <w:p>
            <w:pPr>
              <w:spacing w:after="0"/>
              <w:rPr>
                <w:sz w:val="23"/>
                <w:szCs w:val="23"/>
                <w:color w:val="auto"/>
              </w:rPr>
            </w:pPr>
          </w:p>
        </w:tc>
        <w:tc>
          <w:tcPr>
            <w:tcW w:w="760" w:type="dxa"/>
            <w:vAlign w:val="bottom"/>
            <w:tcBorders>
              <w:top w:val="single" w:sz="8" w:color="7F7F7F"/>
            </w:tcBorders>
          </w:tcPr>
          <w:p>
            <w:pPr>
              <w:spacing w:after="0"/>
              <w:rPr>
                <w:sz w:val="23"/>
                <w:szCs w:val="23"/>
                <w:color w:val="auto"/>
              </w:rPr>
            </w:pPr>
          </w:p>
        </w:tc>
        <w:tc>
          <w:tcPr>
            <w:tcW w:w="360" w:type="dxa"/>
            <w:vAlign w:val="bottom"/>
            <w:tcBorders>
              <w:top w:val="single" w:sz="8" w:color="7F7F7F"/>
            </w:tcBorders>
          </w:tcPr>
          <w:p>
            <w:pPr>
              <w:spacing w:after="0"/>
              <w:rPr>
                <w:sz w:val="23"/>
                <w:szCs w:val="23"/>
                <w:color w:val="auto"/>
              </w:rPr>
            </w:pPr>
          </w:p>
        </w:tc>
        <w:tc>
          <w:tcPr>
            <w:tcW w:w="240" w:type="dxa"/>
            <w:vAlign w:val="bottom"/>
            <w:tcBorders>
              <w:top w:val="single" w:sz="8" w:color="7F7F7F"/>
            </w:tcBorders>
          </w:tcPr>
          <w:p>
            <w:pPr>
              <w:spacing w:after="0"/>
              <w:rPr>
                <w:sz w:val="23"/>
                <w:szCs w:val="23"/>
                <w:color w:val="auto"/>
              </w:rPr>
            </w:pPr>
          </w:p>
        </w:tc>
        <w:tc>
          <w:tcPr>
            <w:tcW w:w="380" w:type="dxa"/>
            <w:vAlign w:val="bottom"/>
            <w:tcBorders>
              <w:top w:val="single" w:sz="8" w:color="7F7F7F"/>
            </w:tcBorders>
          </w:tcPr>
          <w:p>
            <w:pPr>
              <w:spacing w:after="0"/>
              <w:rPr>
                <w:sz w:val="23"/>
                <w:szCs w:val="23"/>
                <w:color w:val="auto"/>
              </w:rPr>
            </w:pPr>
          </w:p>
        </w:tc>
        <w:tc>
          <w:tcPr>
            <w:tcW w:w="120" w:type="dxa"/>
            <w:vAlign w:val="bottom"/>
            <w:tcBorders>
              <w:top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840" w:type="dxa"/>
            <w:vAlign w:val="bottom"/>
          </w:tcPr>
          <w:p>
            <w:pPr>
              <w:ind w:left="60"/>
              <w:spacing w:after="0"/>
              <w:rPr>
                <w:sz w:val="20"/>
                <w:szCs w:val="20"/>
                <w:color w:val="auto"/>
              </w:rPr>
            </w:pPr>
            <w:r>
              <w:rPr>
                <w:rFonts w:ascii="Arial" w:cs="Arial" w:eastAsia="Arial" w:hAnsi="Arial"/>
                <w:sz w:val="17"/>
                <w:szCs w:val="17"/>
                <w:color w:val="00AE4F"/>
              </w:rPr>
              <w:t>than Kelly)</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18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840" w:type="dxa"/>
            <w:vAlign w:val="bottom"/>
          </w:tcPr>
          <w:p>
            <w:pPr>
              <w:ind w:left="60"/>
              <w:spacing w:after="0"/>
              <w:rPr>
                <w:sz w:val="20"/>
                <w:szCs w:val="20"/>
                <w:color w:val="auto"/>
              </w:rPr>
            </w:pPr>
            <w:r>
              <w:rPr>
                <w:rFonts w:ascii="Arial" w:cs="Arial" w:eastAsia="Arial" w:hAnsi="Arial"/>
                <w:sz w:val="15"/>
                <w:szCs w:val="15"/>
                <w:color w:val="auto"/>
              </w:rPr>
              <w:t>Audit Committee</w:t>
            </w:r>
          </w:p>
        </w:tc>
        <w:tc>
          <w:tcPr>
            <w:tcW w:w="20" w:type="dxa"/>
            <w:vAlign w:val="bottom"/>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EDEDED"/>
            </w:tcBorders>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540" w:type="dxa"/>
            <w:vAlign w:val="bottom"/>
            <w:tcBorders>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bottom w:val="single" w:sz="8" w:color="EDEDED"/>
            </w:tcBorders>
            <w:shd w:val="clear" w:color="auto" w:fill="EDEDED"/>
          </w:tcPr>
          <w:p>
            <w:pPr>
              <w:spacing w:after="0"/>
              <w:rPr>
                <w:sz w:val="24"/>
                <w:szCs w:val="24"/>
                <w:color w:val="auto"/>
              </w:rPr>
            </w:pPr>
          </w:p>
        </w:tc>
        <w:tc>
          <w:tcPr>
            <w:tcW w:w="72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140" w:type="dxa"/>
            <w:vAlign w:val="bottom"/>
            <w:tcBorders>
              <w:bottom w:val="single" w:sz="8" w:color="EDEDED"/>
            </w:tcBorders>
            <w:shd w:val="clear" w:color="auto" w:fill="EDEDED"/>
          </w:tcPr>
          <w:p>
            <w:pPr>
              <w:spacing w:after="0"/>
              <w:rPr>
                <w:sz w:val="24"/>
                <w:szCs w:val="24"/>
                <w:color w:val="auto"/>
              </w:rPr>
            </w:pPr>
          </w:p>
        </w:tc>
        <w:tc>
          <w:tcPr>
            <w:tcW w:w="520" w:type="dxa"/>
            <w:vAlign w:val="bottom"/>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Pr>
          <w:p>
            <w:pPr>
              <w:spacing w:after="0"/>
              <w:rPr>
                <w:sz w:val="24"/>
                <w:szCs w:val="24"/>
                <w:color w:val="auto"/>
              </w:rPr>
            </w:pPr>
          </w:p>
        </w:tc>
        <w:tc>
          <w:tcPr>
            <w:tcW w:w="760" w:type="dxa"/>
            <w:vAlign w:val="bottom"/>
            <w:tcBorders>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Compensation Committee</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spacing w:after="0"/>
              <w:rPr>
                <w:sz w:val="24"/>
                <w:szCs w:val="24"/>
                <w:color w:val="auto"/>
              </w:rPr>
            </w:pP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Governance &amp; Nominating</w:t>
            </w:r>
          </w:p>
        </w:tc>
        <w:tc>
          <w:tcPr>
            <w:tcW w:w="2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shd w:val="clear" w:color="auto" w:fill="EDEDED"/>
          </w:tcPr>
          <w:p>
            <w:pPr>
              <w:spacing w:after="0"/>
              <w:rPr>
                <w:sz w:val="17"/>
                <w:szCs w:val="17"/>
                <w:color w:val="auto"/>
              </w:rPr>
            </w:pPr>
          </w:p>
        </w:tc>
        <w:tc>
          <w:tcPr>
            <w:tcW w:w="880" w:type="dxa"/>
            <w:vAlign w:val="bottom"/>
            <w:tcBorders>
              <w:top w:val="single" w:sz="8" w:color="7F7F7F"/>
            </w:tcBorders>
            <w:shd w:val="clear" w:color="auto" w:fill="EDEDED"/>
          </w:tcPr>
          <w:p>
            <w:pPr>
              <w:spacing w:after="0"/>
              <w:rPr>
                <w:sz w:val="17"/>
                <w:szCs w:val="17"/>
                <w:color w:val="auto"/>
              </w:rPr>
            </w:pPr>
          </w:p>
        </w:tc>
        <w:tc>
          <w:tcPr>
            <w:tcW w:w="2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tcPr>
          <w:p>
            <w:pPr>
              <w:spacing w:after="0"/>
              <w:rPr>
                <w:sz w:val="17"/>
                <w:szCs w:val="17"/>
                <w:color w:val="auto"/>
              </w:rPr>
            </w:pPr>
          </w:p>
        </w:tc>
        <w:tc>
          <w:tcPr>
            <w:tcW w:w="220" w:type="dxa"/>
            <w:vAlign w:val="bottom"/>
            <w:tcBorders>
              <w:top w:val="single" w:sz="8" w:color="7F7F7F"/>
            </w:tcBorders>
            <w:shd w:val="clear" w:color="auto" w:fill="EDEDED"/>
          </w:tcPr>
          <w:p>
            <w:pPr>
              <w:spacing w:after="0"/>
              <w:rPr>
                <w:sz w:val="17"/>
                <w:szCs w:val="17"/>
                <w:color w:val="auto"/>
              </w:rPr>
            </w:pPr>
          </w:p>
        </w:tc>
        <w:tc>
          <w:tcPr>
            <w:tcW w:w="540" w:type="dxa"/>
            <w:vAlign w:val="bottom"/>
            <w:tcBorders>
              <w:top w:val="single" w:sz="8" w:color="7F7F7F"/>
            </w:tcBorders>
            <w:vMerge w:val="restart"/>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tcBorders>
            <w:shd w:val="clear" w:color="auto" w:fill="EDEDED"/>
          </w:tcPr>
          <w:p>
            <w:pPr>
              <w:spacing w:after="0"/>
              <w:rPr>
                <w:sz w:val="17"/>
                <w:szCs w:val="17"/>
                <w:color w:val="auto"/>
              </w:rPr>
            </w:pPr>
          </w:p>
        </w:tc>
        <w:tc>
          <w:tcPr>
            <w:tcW w:w="72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tcPr>
          <w:p>
            <w:pPr>
              <w:spacing w:after="0"/>
              <w:rPr>
                <w:sz w:val="17"/>
                <w:szCs w:val="17"/>
                <w:color w:val="auto"/>
              </w:rPr>
            </w:pPr>
          </w:p>
        </w:tc>
        <w:tc>
          <w:tcPr>
            <w:tcW w:w="220" w:type="dxa"/>
            <w:vAlign w:val="bottom"/>
            <w:tcBorders>
              <w:top w:val="single" w:sz="8" w:color="7F7F7F"/>
            </w:tcBorders>
            <w:shd w:val="clear" w:color="auto" w:fill="EDEDED"/>
          </w:tcPr>
          <w:p>
            <w:pPr>
              <w:spacing w:after="0"/>
              <w:rPr>
                <w:sz w:val="17"/>
                <w:szCs w:val="17"/>
                <w:color w:val="auto"/>
              </w:rPr>
            </w:pPr>
          </w:p>
        </w:tc>
        <w:tc>
          <w:tcPr>
            <w:tcW w:w="620" w:type="dxa"/>
            <w:vAlign w:val="bottom"/>
            <w:tcBorders>
              <w:top w:val="single" w:sz="8" w:color="7F7F7F"/>
            </w:tcBorders>
            <w:shd w:val="clear" w:color="auto" w:fill="EDEDED"/>
          </w:tcPr>
          <w:p>
            <w:pPr>
              <w:spacing w:after="0"/>
              <w:rPr>
                <w:sz w:val="17"/>
                <w:szCs w:val="17"/>
                <w:color w:val="auto"/>
              </w:rPr>
            </w:pPr>
          </w:p>
        </w:tc>
        <w:tc>
          <w:tcPr>
            <w:tcW w:w="220" w:type="dxa"/>
            <w:vAlign w:val="bottom"/>
            <w:tcBorders>
              <w:top w:val="single" w:sz="8" w:color="7F7F7F"/>
            </w:tcBorders>
          </w:tcPr>
          <w:p>
            <w:pPr>
              <w:spacing w:after="0"/>
              <w:rPr>
                <w:sz w:val="17"/>
                <w:szCs w:val="17"/>
                <w:color w:val="auto"/>
              </w:rPr>
            </w:pPr>
          </w:p>
        </w:tc>
        <w:tc>
          <w:tcPr>
            <w:tcW w:w="4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shd w:val="clear" w:color="auto" w:fill="EDEDED"/>
          </w:tcPr>
          <w:p>
            <w:pPr>
              <w:spacing w:after="0"/>
              <w:rPr>
                <w:sz w:val="17"/>
                <w:szCs w:val="17"/>
                <w:color w:val="auto"/>
              </w:rPr>
            </w:pPr>
          </w:p>
        </w:tc>
        <w:tc>
          <w:tcPr>
            <w:tcW w:w="140" w:type="dxa"/>
            <w:vAlign w:val="bottom"/>
            <w:tcBorders>
              <w:top w:val="single" w:sz="8" w:color="7F7F7F"/>
            </w:tcBorders>
            <w:shd w:val="clear" w:color="auto" w:fill="EDEDED"/>
          </w:tcPr>
          <w:p>
            <w:pPr>
              <w:spacing w:after="0"/>
              <w:rPr>
                <w:sz w:val="17"/>
                <w:szCs w:val="17"/>
                <w:color w:val="auto"/>
              </w:rPr>
            </w:pPr>
          </w:p>
        </w:tc>
        <w:tc>
          <w:tcPr>
            <w:tcW w:w="52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vMerge w:val="restart"/>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tcBorders>
            <w:shd w:val="clear" w:color="auto" w:fill="EDEDED"/>
          </w:tcPr>
          <w:p>
            <w:pPr>
              <w:spacing w:after="0"/>
              <w:rPr>
                <w:sz w:val="17"/>
                <w:szCs w:val="17"/>
                <w:color w:val="auto"/>
              </w:rPr>
            </w:pPr>
          </w:p>
        </w:tc>
        <w:tc>
          <w:tcPr>
            <w:tcW w:w="240" w:type="dxa"/>
            <w:vAlign w:val="bottom"/>
            <w:tcBorders>
              <w:top w:val="single" w:sz="8" w:color="7F7F7F"/>
            </w:tcBorders>
          </w:tcPr>
          <w:p>
            <w:pPr>
              <w:spacing w:after="0"/>
              <w:rPr>
                <w:sz w:val="17"/>
                <w:szCs w:val="17"/>
                <w:color w:val="auto"/>
              </w:rPr>
            </w:pPr>
          </w:p>
        </w:tc>
        <w:tc>
          <w:tcPr>
            <w:tcW w:w="380" w:type="dxa"/>
            <w:vAlign w:val="bottom"/>
            <w:tcBorders>
              <w:top w:val="single" w:sz="8" w:color="7F7F7F"/>
            </w:tcBorders>
            <w:vMerge w:val="restart"/>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840" w:type="dxa"/>
            <w:vAlign w:val="bottom"/>
            <w:vMerge w:val="restart"/>
          </w:tcPr>
          <w:p>
            <w:pPr>
              <w:ind w:left="60"/>
              <w:spacing w:after="0"/>
              <w:rPr>
                <w:sz w:val="20"/>
                <w:szCs w:val="20"/>
                <w:color w:val="auto"/>
              </w:rPr>
            </w:pPr>
            <w:r>
              <w:rPr>
                <w:rFonts w:ascii="Arial" w:cs="Arial" w:eastAsia="Arial" w:hAnsi="Arial"/>
                <w:sz w:val="15"/>
                <w:szCs w:val="15"/>
                <w:color w:val="auto"/>
              </w:rPr>
              <w:t>Committee</w:t>
            </w:r>
          </w:p>
        </w:tc>
        <w:tc>
          <w:tcPr>
            <w:tcW w:w="20" w:type="dxa"/>
            <w:vAlign w:val="bottom"/>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540" w:type="dxa"/>
            <w:vAlign w:val="bottom"/>
            <w:vMerge w:val="continue"/>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shd w:val="clear" w:color="auto" w:fill="EDEDED"/>
          </w:tcPr>
          <w:p>
            <w:pPr>
              <w:spacing w:after="0"/>
              <w:rPr>
                <w:sz w:val="7"/>
                <w:szCs w:val="7"/>
                <w:color w:val="auto"/>
              </w:rPr>
            </w:pPr>
          </w:p>
        </w:tc>
        <w:tc>
          <w:tcPr>
            <w:tcW w:w="360" w:type="dxa"/>
            <w:vAlign w:val="bottom"/>
            <w:shd w:val="clear" w:color="auto" w:fill="EDEDED"/>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EDEDED"/>
            </w:tcBorders>
            <w:shd w:val="clear" w:color="auto" w:fill="EDEDED"/>
          </w:tcPr>
          <w:p>
            <w:pPr>
              <w:spacing w:after="0"/>
              <w:rPr>
                <w:sz w:val="14"/>
                <w:szCs w:val="14"/>
                <w:color w:val="auto"/>
              </w:rPr>
            </w:pPr>
          </w:p>
        </w:tc>
        <w:tc>
          <w:tcPr>
            <w:tcW w:w="88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540" w:type="dxa"/>
            <w:vAlign w:val="bottom"/>
            <w:tcBorders>
              <w:bottom w:val="single" w:sz="8" w:color="EDEDED"/>
            </w:tcBorders>
            <w:shd w:val="clear" w:color="auto" w:fill="EDEDED"/>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EDEDED"/>
            </w:tcBorders>
            <w:shd w:val="clear" w:color="auto" w:fill="EDEDED"/>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EDEDED"/>
            </w:tcBorders>
            <w:shd w:val="clear" w:color="auto" w:fill="EDEDED"/>
          </w:tcPr>
          <w:p>
            <w:pPr>
              <w:spacing w:after="0"/>
              <w:rPr>
                <w:sz w:val="14"/>
                <w:szCs w:val="14"/>
                <w:color w:val="auto"/>
              </w:rPr>
            </w:pPr>
          </w:p>
        </w:tc>
        <w:tc>
          <w:tcPr>
            <w:tcW w:w="140" w:type="dxa"/>
            <w:vAlign w:val="bottom"/>
            <w:tcBorders>
              <w:bottom w:val="single" w:sz="8" w:color="EDEDED"/>
            </w:tcBorders>
            <w:shd w:val="clear" w:color="auto" w:fill="EDEDED"/>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EDEDED"/>
            </w:tcBorders>
            <w:shd w:val="clear" w:color="auto" w:fill="EDEDED"/>
          </w:tcPr>
          <w:p>
            <w:pPr>
              <w:spacing w:after="0"/>
              <w:rPr>
                <w:sz w:val="14"/>
                <w:szCs w:val="14"/>
                <w:color w:val="auto"/>
              </w:rPr>
            </w:pPr>
          </w:p>
        </w:tc>
        <w:tc>
          <w:tcPr>
            <w:tcW w:w="36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200" w:type="dxa"/>
            <w:vAlign w:val="bottom"/>
            <w:tcBorders>
              <w:top w:val="single" w:sz="8" w:color="7F7F7F"/>
            </w:tcBorders>
            <w:gridSpan w:val="3"/>
          </w:tcPr>
          <w:p>
            <w:pPr>
              <w:ind w:left="60"/>
              <w:spacing w:after="0"/>
              <w:rPr>
                <w:sz w:val="20"/>
                <w:szCs w:val="20"/>
                <w:color w:val="auto"/>
              </w:rPr>
            </w:pPr>
            <w:r>
              <w:rPr>
                <w:rFonts w:ascii="Arial" w:cs="Arial" w:eastAsia="Arial" w:hAnsi="Arial"/>
                <w:sz w:val="17"/>
                <w:szCs w:val="17"/>
                <w:color w:val="00AE4F"/>
              </w:rPr>
              <w:t>Tenure and Independence</w:t>
            </w:r>
          </w:p>
        </w:tc>
        <w:tc>
          <w:tcPr>
            <w:tcW w:w="88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540" w:type="dxa"/>
            <w:vAlign w:val="bottom"/>
            <w:tcBorders>
              <w:top w:val="single" w:sz="8" w:color="7F7F7F"/>
            </w:tcBorders>
          </w:tcPr>
          <w:p>
            <w:pPr>
              <w:spacing w:after="0"/>
              <w:rPr>
                <w:sz w:val="24"/>
                <w:szCs w:val="24"/>
                <w:color w:val="auto"/>
              </w:rPr>
            </w:pPr>
          </w:p>
        </w:tc>
        <w:tc>
          <w:tcPr>
            <w:tcW w:w="100" w:type="dxa"/>
            <w:vAlign w:val="bottom"/>
            <w:tcBorders>
              <w:top w:val="single" w:sz="8" w:color="7F7F7F"/>
            </w:tcBorders>
          </w:tcPr>
          <w:p>
            <w:pPr>
              <w:spacing w:after="0"/>
              <w:rPr>
                <w:sz w:val="24"/>
                <w:szCs w:val="24"/>
                <w:color w:val="auto"/>
              </w:rPr>
            </w:pPr>
          </w:p>
        </w:tc>
        <w:tc>
          <w:tcPr>
            <w:tcW w:w="720" w:type="dxa"/>
            <w:vAlign w:val="bottom"/>
            <w:tcBorders>
              <w:top w:val="single" w:sz="8" w:color="7F7F7F"/>
            </w:tcBorders>
          </w:tcPr>
          <w:p>
            <w:pPr>
              <w:spacing w:after="0"/>
              <w:rPr>
                <w:sz w:val="24"/>
                <w:szCs w:val="24"/>
                <w:color w:val="auto"/>
              </w:rPr>
            </w:pP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140" w:type="dxa"/>
            <w:vAlign w:val="bottom"/>
            <w:tcBorders>
              <w:top w:val="single" w:sz="8" w:color="7F7F7F"/>
            </w:tcBorders>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tcBorders>
          </w:tcPr>
          <w:p>
            <w:pPr>
              <w:spacing w:after="0"/>
              <w:rPr>
                <w:sz w:val="24"/>
                <w:szCs w:val="24"/>
                <w:color w:val="auto"/>
              </w:rPr>
            </w:pPr>
          </w:p>
        </w:tc>
        <w:tc>
          <w:tcPr>
            <w:tcW w:w="360" w:type="dxa"/>
            <w:vAlign w:val="bottom"/>
            <w:tcBorders>
              <w:top w:val="single" w:sz="8" w:color="7F7F7F"/>
            </w:tcBorders>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840" w:type="dxa"/>
            <w:vAlign w:val="bottom"/>
          </w:tcPr>
          <w:p>
            <w:pPr>
              <w:ind w:left="60"/>
              <w:spacing w:after="0"/>
              <w:rPr>
                <w:sz w:val="20"/>
                <w:szCs w:val="20"/>
                <w:color w:val="auto"/>
              </w:rPr>
            </w:pPr>
            <w:r>
              <w:rPr>
                <w:rFonts w:ascii="Arial" w:cs="Arial" w:eastAsia="Arial" w:hAnsi="Arial"/>
                <w:sz w:val="15"/>
                <w:szCs w:val="15"/>
                <w:color w:val="auto"/>
              </w:rPr>
              <w:t>Board Tenure (years)</w:t>
            </w:r>
          </w:p>
        </w:tc>
        <w:tc>
          <w:tcPr>
            <w:tcW w:w="20" w:type="dxa"/>
            <w:vAlign w:val="bottom"/>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EDEDED"/>
            </w:tcBorders>
            <w:shd w:val="clear" w:color="auto" w:fill="EDEDED"/>
          </w:tcPr>
          <w:p>
            <w:pPr>
              <w:jc w:val="center"/>
              <w:ind w:right="256"/>
              <w:spacing w:after="0"/>
              <w:rPr>
                <w:sz w:val="20"/>
                <w:szCs w:val="20"/>
                <w:color w:val="auto"/>
              </w:rPr>
            </w:pPr>
            <w:r>
              <w:rPr>
                <w:rFonts w:ascii="Arial" w:cs="Arial" w:eastAsia="Arial" w:hAnsi="Arial"/>
                <w:sz w:val="15"/>
                <w:szCs w:val="15"/>
                <w:b w:val="1"/>
                <w:bCs w:val="1"/>
                <w:color w:val="00AE4F"/>
                <w:w w:val="95"/>
              </w:rPr>
              <w:t>0</w:t>
            </w:r>
          </w:p>
        </w:tc>
        <w:tc>
          <w:tcPr>
            <w:tcW w:w="220" w:type="dxa"/>
            <w:vAlign w:val="bottom"/>
          </w:tcPr>
          <w:p>
            <w:pPr>
              <w:spacing w:after="0"/>
              <w:rPr>
                <w:sz w:val="24"/>
                <w:szCs w:val="24"/>
                <w:color w:val="auto"/>
              </w:rPr>
            </w:pPr>
          </w:p>
        </w:tc>
        <w:tc>
          <w:tcPr>
            <w:tcW w:w="620" w:type="dxa"/>
            <w:vAlign w:val="bottom"/>
          </w:tcPr>
          <w:p>
            <w:pPr>
              <w:jc w:val="center"/>
              <w:ind w:right="117"/>
              <w:spacing w:after="0"/>
              <w:rPr>
                <w:sz w:val="20"/>
                <w:szCs w:val="20"/>
                <w:color w:val="auto"/>
              </w:rPr>
            </w:pPr>
            <w:r>
              <w:rPr>
                <w:rFonts w:ascii="Arial" w:cs="Arial" w:eastAsia="Arial" w:hAnsi="Arial"/>
                <w:sz w:val="15"/>
                <w:szCs w:val="15"/>
                <w:b w:val="1"/>
                <w:bCs w:val="1"/>
                <w:color w:val="00AE4F"/>
                <w:w w:val="95"/>
              </w:rPr>
              <w:t>0</w:t>
            </w:r>
          </w:p>
        </w:tc>
        <w:tc>
          <w:tcPr>
            <w:tcW w:w="220" w:type="dxa"/>
            <w:vAlign w:val="bottom"/>
            <w:tcBorders>
              <w:bottom w:val="single" w:sz="8" w:color="EDEDED"/>
            </w:tcBorders>
            <w:shd w:val="clear" w:color="auto" w:fill="EDEDED"/>
          </w:tcPr>
          <w:p>
            <w:pPr>
              <w:spacing w:after="0"/>
              <w:rPr>
                <w:sz w:val="24"/>
                <w:szCs w:val="24"/>
                <w:color w:val="auto"/>
              </w:rPr>
            </w:pPr>
          </w:p>
        </w:tc>
        <w:tc>
          <w:tcPr>
            <w:tcW w:w="540" w:type="dxa"/>
            <w:vAlign w:val="bottom"/>
            <w:tcBorders>
              <w:bottom w:val="single" w:sz="8" w:color="EDEDED"/>
            </w:tcBorders>
            <w:shd w:val="clear" w:color="auto" w:fill="EDEDED"/>
          </w:tcPr>
          <w:p>
            <w:pPr>
              <w:jc w:val="center"/>
              <w:ind w:right="19"/>
              <w:spacing w:after="0"/>
              <w:rPr>
                <w:sz w:val="20"/>
                <w:szCs w:val="20"/>
                <w:color w:val="auto"/>
              </w:rPr>
            </w:pPr>
            <w:r>
              <w:rPr>
                <w:rFonts w:ascii="Arial" w:cs="Arial" w:eastAsia="Arial" w:hAnsi="Arial"/>
                <w:sz w:val="15"/>
                <w:szCs w:val="15"/>
                <w:b w:val="1"/>
                <w:bCs w:val="1"/>
                <w:color w:val="00AE4F"/>
              </w:rPr>
              <w:t>0</w:t>
            </w:r>
          </w:p>
        </w:tc>
        <w:tc>
          <w:tcPr>
            <w:tcW w:w="100" w:type="dxa"/>
            <w:vAlign w:val="bottom"/>
            <w:tcBorders>
              <w:bottom w:val="single" w:sz="8" w:color="EDEDED"/>
            </w:tcBorders>
            <w:shd w:val="clear" w:color="auto" w:fill="EDEDED"/>
          </w:tcPr>
          <w:p>
            <w:pPr>
              <w:spacing w:after="0"/>
              <w:rPr>
                <w:sz w:val="24"/>
                <w:szCs w:val="24"/>
                <w:color w:val="auto"/>
              </w:rPr>
            </w:pPr>
          </w:p>
        </w:tc>
        <w:tc>
          <w:tcPr>
            <w:tcW w:w="720" w:type="dxa"/>
            <w:vAlign w:val="bottom"/>
          </w:tcPr>
          <w:p>
            <w:pPr>
              <w:jc w:val="center"/>
              <w:ind w:left="340"/>
              <w:spacing w:after="0"/>
              <w:rPr>
                <w:sz w:val="20"/>
                <w:szCs w:val="20"/>
                <w:color w:val="auto"/>
              </w:rPr>
            </w:pPr>
            <w:r>
              <w:rPr>
                <w:rFonts w:ascii="Arial" w:cs="Arial" w:eastAsia="Arial" w:hAnsi="Arial"/>
                <w:sz w:val="15"/>
                <w:szCs w:val="15"/>
                <w:b w:val="1"/>
                <w:bCs w:val="1"/>
                <w:color w:val="00AE4F"/>
                <w:w w:val="95"/>
              </w:rPr>
              <w:t>11</w:t>
            </w:r>
          </w:p>
        </w:tc>
        <w:tc>
          <w:tcPr>
            <w:tcW w:w="360" w:type="dxa"/>
            <w:vAlign w:val="bottom"/>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jc w:val="center"/>
              <w:ind w:right="118"/>
              <w:spacing w:after="0"/>
              <w:rPr>
                <w:sz w:val="20"/>
                <w:szCs w:val="20"/>
                <w:color w:val="auto"/>
              </w:rPr>
            </w:pPr>
            <w:r>
              <w:rPr>
                <w:rFonts w:ascii="Arial" w:cs="Arial" w:eastAsia="Arial" w:hAnsi="Arial"/>
                <w:sz w:val="15"/>
                <w:szCs w:val="15"/>
                <w:b w:val="1"/>
                <w:bCs w:val="1"/>
                <w:color w:val="00AE4F"/>
                <w:w w:val="95"/>
              </w:rPr>
              <w:t>4</w:t>
            </w:r>
          </w:p>
        </w:tc>
        <w:tc>
          <w:tcPr>
            <w:tcW w:w="220" w:type="dxa"/>
            <w:vAlign w:val="bottom"/>
          </w:tcPr>
          <w:p>
            <w:pPr>
              <w:spacing w:after="0"/>
              <w:rPr>
                <w:sz w:val="24"/>
                <w:szCs w:val="24"/>
                <w:color w:val="auto"/>
              </w:rPr>
            </w:pPr>
          </w:p>
        </w:tc>
        <w:tc>
          <w:tcPr>
            <w:tcW w:w="480" w:type="dxa"/>
            <w:vAlign w:val="bottom"/>
          </w:tcPr>
          <w:p>
            <w:pPr>
              <w:jc w:val="center"/>
              <w:ind w:right="16"/>
              <w:spacing w:after="0"/>
              <w:rPr>
                <w:sz w:val="20"/>
                <w:szCs w:val="20"/>
                <w:color w:val="auto"/>
              </w:rPr>
            </w:pPr>
            <w:r>
              <w:rPr>
                <w:rFonts w:ascii="Arial" w:cs="Arial" w:eastAsia="Arial" w:hAnsi="Arial"/>
                <w:sz w:val="15"/>
                <w:szCs w:val="15"/>
                <w:b w:val="1"/>
                <w:bCs w:val="1"/>
                <w:color w:val="00AE4F"/>
                <w:w w:val="95"/>
              </w:rPr>
              <w:t>0</w:t>
            </w:r>
          </w:p>
        </w:tc>
        <w:tc>
          <w:tcPr>
            <w:tcW w:w="120" w:type="dxa"/>
            <w:vAlign w:val="bottom"/>
          </w:tcPr>
          <w:p>
            <w:pPr>
              <w:spacing w:after="0"/>
              <w:rPr>
                <w:sz w:val="24"/>
                <w:szCs w:val="24"/>
                <w:color w:val="auto"/>
              </w:rPr>
            </w:pPr>
          </w:p>
        </w:tc>
        <w:tc>
          <w:tcPr>
            <w:tcW w:w="620" w:type="dxa"/>
            <w:vAlign w:val="bottom"/>
            <w:tcBorders>
              <w:bottom w:val="single" w:sz="8" w:color="EDEDED"/>
            </w:tcBorders>
            <w:shd w:val="clear" w:color="auto" w:fill="EDEDED"/>
          </w:tcPr>
          <w:p>
            <w:pPr>
              <w:jc w:val="center"/>
              <w:ind w:left="139"/>
              <w:spacing w:after="0"/>
              <w:rPr>
                <w:sz w:val="20"/>
                <w:szCs w:val="20"/>
                <w:color w:val="auto"/>
              </w:rPr>
            </w:pPr>
            <w:r>
              <w:rPr>
                <w:rFonts w:ascii="Arial" w:cs="Arial" w:eastAsia="Arial" w:hAnsi="Arial"/>
                <w:sz w:val="15"/>
                <w:szCs w:val="15"/>
                <w:b w:val="1"/>
                <w:bCs w:val="1"/>
                <w:color w:val="00AE4F"/>
              </w:rPr>
              <w:t>0</w:t>
            </w:r>
          </w:p>
        </w:tc>
        <w:tc>
          <w:tcPr>
            <w:tcW w:w="140" w:type="dxa"/>
            <w:vAlign w:val="bottom"/>
            <w:tcBorders>
              <w:bottom w:val="single" w:sz="8" w:color="EDEDED"/>
            </w:tcBorders>
            <w:shd w:val="clear" w:color="auto" w:fill="EDEDED"/>
          </w:tcPr>
          <w:p>
            <w:pPr>
              <w:spacing w:after="0"/>
              <w:rPr>
                <w:sz w:val="24"/>
                <w:szCs w:val="24"/>
                <w:color w:val="auto"/>
              </w:rPr>
            </w:pPr>
          </w:p>
        </w:tc>
        <w:tc>
          <w:tcPr>
            <w:tcW w:w="520" w:type="dxa"/>
            <w:vAlign w:val="bottom"/>
          </w:tcPr>
          <w:p>
            <w:pPr>
              <w:jc w:val="center"/>
              <w:ind w:left="99"/>
              <w:spacing w:after="0"/>
              <w:rPr>
                <w:sz w:val="20"/>
                <w:szCs w:val="20"/>
                <w:color w:val="auto"/>
              </w:rPr>
            </w:pPr>
            <w:r>
              <w:rPr>
                <w:rFonts w:ascii="Arial" w:cs="Arial" w:eastAsia="Arial" w:hAnsi="Arial"/>
                <w:sz w:val="15"/>
                <w:szCs w:val="15"/>
                <w:b w:val="1"/>
                <w:bCs w:val="1"/>
                <w:color w:val="00AE4F"/>
                <w:w w:val="95"/>
              </w:rPr>
              <w:t>0</w:t>
            </w:r>
          </w:p>
        </w:tc>
        <w:tc>
          <w:tcPr>
            <w:tcW w:w="120" w:type="dxa"/>
            <w:vAlign w:val="bottom"/>
          </w:tcPr>
          <w:p>
            <w:pPr>
              <w:spacing w:after="0"/>
              <w:rPr>
                <w:sz w:val="24"/>
                <w:szCs w:val="24"/>
                <w:color w:val="auto"/>
              </w:rPr>
            </w:pPr>
          </w:p>
        </w:tc>
        <w:tc>
          <w:tcPr>
            <w:tcW w:w="760" w:type="dxa"/>
            <w:vAlign w:val="bottom"/>
            <w:tcBorders>
              <w:bottom w:val="single" w:sz="8" w:color="EDEDED"/>
            </w:tcBorders>
            <w:shd w:val="clear" w:color="auto" w:fill="EDEDED"/>
          </w:tcPr>
          <w:p>
            <w:pPr>
              <w:jc w:val="center"/>
              <w:ind w:left="320"/>
              <w:spacing w:after="0"/>
              <w:rPr>
                <w:sz w:val="20"/>
                <w:szCs w:val="20"/>
                <w:color w:val="auto"/>
              </w:rPr>
            </w:pPr>
            <w:r>
              <w:rPr>
                <w:rFonts w:ascii="Arial" w:cs="Arial" w:eastAsia="Arial" w:hAnsi="Arial"/>
                <w:sz w:val="15"/>
                <w:szCs w:val="15"/>
                <w:b w:val="1"/>
                <w:bCs w:val="1"/>
                <w:color w:val="00AE4F"/>
              </w:rPr>
              <w:t>18</w:t>
            </w:r>
          </w:p>
        </w:tc>
        <w:tc>
          <w:tcPr>
            <w:tcW w:w="36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center"/>
              <w:ind w:right="118"/>
              <w:spacing w:after="0"/>
              <w:rPr>
                <w:sz w:val="20"/>
                <w:szCs w:val="20"/>
                <w:color w:val="auto"/>
              </w:rPr>
            </w:pPr>
            <w:r>
              <w:rPr>
                <w:rFonts w:ascii="Arial" w:cs="Arial" w:eastAsia="Arial" w:hAnsi="Arial"/>
                <w:sz w:val="15"/>
                <w:szCs w:val="15"/>
                <w:b w:val="1"/>
                <w:bCs w:val="1"/>
                <w:color w:val="00AE4F"/>
                <w:w w:val="95"/>
              </w:rPr>
              <w:t>0</w:t>
            </w:r>
          </w:p>
        </w:tc>
        <w:tc>
          <w:tcPr>
            <w:tcW w:w="1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5"/>
                <w:szCs w:val="15"/>
                <w:color w:val="auto"/>
              </w:rPr>
              <w:t>Independence</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bottom w:val="single" w:sz="8" w:color="EDEDED"/>
            </w:tcBorders>
            <w:shd w:val="clear" w:color="auto" w:fill="EDEDED"/>
          </w:tcPr>
          <w:p>
            <w:pPr>
              <w:spacing w:after="0"/>
              <w:rPr>
                <w:sz w:val="24"/>
                <w:szCs w:val="24"/>
                <w:color w:val="auto"/>
              </w:rPr>
            </w:pPr>
          </w:p>
        </w:tc>
        <w:tc>
          <w:tcPr>
            <w:tcW w:w="880" w:type="dxa"/>
            <w:vAlign w:val="bottom"/>
            <w:tcBorders>
              <w:top w:val="single" w:sz="8" w:color="7F7F7F"/>
              <w:bottom w:val="single" w:sz="8" w:color="EDEDED"/>
            </w:tcBorders>
            <w:shd w:val="clear" w:color="auto" w:fill="EDEDED"/>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540" w:type="dxa"/>
            <w:vAlign w:val="bottom"/>
            <w:tcBorders>
              <w:top w:val="single" w:sz="8" w:color="7F7F7F"/>
              <w:bottom w:val="single" w:sz="8" w:color="EDEDED"/>
            </w:tcBorders>
            <w:shd w:val="clear" w:color="auto" w:fill="EDEDED"/>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Borders>
              <w:top w:val="single" w:sz="8" w:color="7F7F7F"/>
              <w:bottom w:val="single" w:sz="8" w:color="EDEDED"/>
            </w:tcBorders>
            <w:shd w:val="clear" w:color="auto" w:fill="EDEDED"/>
          </w:tcPr>
          <w:p>
            <w:pPr>
              <w:spacing w:after="0"/>
              <w:rPr>
                <w:sz w:val="24"/>
                <w:szCs w:val="24"/>
                <w:color w:val="auto"/>
              </w:rPr>
            </w:pPr>
          </w:p>
        </w:tc>
        <w:tc>
          <w:tcPr>
            <w:tcW w:w="720" w:type="dxa"/>
            <w:vAlign w:val="bottom"/>
            <w:tcBorders>
              <w:top w:val="single" w:sz="8" w:color="7F7F7F"/>
            </w:tcBorders>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bottom w:val="single" w:sz="8" w:color="EDEDED"/>
            </w:tcBorders>
            <w:shd w:val="clear" w:color="auto" w:fill="EDEDED"/>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bottom w:val="single" w:sz="8" w:color="EDEDED"/>
            </w:tcBorders>
            <w:shd w:val="clear" w:color="auto" w:fill="EDEDED"/>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Borders>
              <w:top w:val="single" w:sz="8" w:color="7F7F7F"/>
              <w:bottom w:val="single" w:sz="8" w:color="EDEDED"/>
            </w:tcBorders>
            <w:shd w:val="clear" w:color="auto" w:fill="EDEDED"/>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bottom w:val="single" w:sz="8" w:color="EDEDED"/>
            </w:tcBorders>
            <w:shd w:val="clear" w:color="auto" w:fill="EDEDED"/>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Borders>
              <w:top w:val="single" w:sz="8" w:color="7F7F7F"/>
              <w:bottom w:val="single" w:sz="8" w:color="EDEDED"/>
            </w:tcBorders>
            <w:shd w:val="clear" w:color="auto" w:fill="EDEDED"/>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jc w:val="center"/>
              <w:ind w:right="138"/>
              <w:spacing w:after="0"/>
              <w:rPr>
                <w:sz w:val="20"/>
                <w:szCs w:val="20"/>
                <w:color w:val="auto"/>
              </w:rPr>
            </w:pPr>
            <w:r>
              <w:rPr>
                <w:rFonts w:ascii="Times New Roman" w:cs="Times New Roman" w:eastAsia="Times New Roman" w:hAnsi="Times New Roman"/>
                <w:sz w:val="12"/>
                <w:szCs w:val="12"/>
                <w:color w:val="00AE4F"/>
                <w:w w:val="82"/>
              </w:rPr>
              <w:t>●</w:t>
            </w:r>
          </w:p>
        </w:tc>
        <w:tc>
          <w:tcPr>
            <w:tcW w:w="120" w:type="dxa"/>
            <w:vAlign w:val="bottom"/>
            <w:tcBorders>
              <w:top w:val="single" w:sz="8" w:color="7F7F7F"/>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840" w:type="dxa"/>
            <w:vAlign w:val="bottom"/>
            <w:tcBorders>
              <w:top w:val="single" w:sz="8" w:color="7F7F7F"/>
            </w:tcBorders>
          </w:tcPr>
          <w:p>
            <w:pPr>
              <w:ind w:left="60"/>
              <w:spacing w:after="0"/>
              <w:rPr>
                <w:sz w:val="20"/>
                <w:szCs w:val="20"/>
                <w:color w:val="auto"/>
              </w:rPr>
            </w:pPr>
            <w:r>
              <w:rPr>
                <w:rFonts w:ascii="Arial" w:cs="Arial" w:eastAsia="Arial" w:hAnsi="Arial"/>
                <w:sz w:val="17"/>
                <w:szCs w:val="17"/>
                <w:color w:val="00AE4F"/>
              </w:rPr>
              <w:t>Demographics</w:t>
            </w:r>
          </w:p>
        </w:tc>
        <w:tc>
          <w:tcPr>
            <w:tcW w:w="20" w:type="dxa"/>
            <w:vAlign w:val="bottom"/>
            <w:tcBorders>
              <w:top w:val="single" w:sz="8" w:color="7F7F7F"/>
            </w:tcBorders>
          </w:tcPr>
          <w:p>
            <w:pPr>
              <w:spacing w:after="0"/>
              <w:rPr>
                <w:sz w:val="24"/>
                <w:szCs w:val="24"/>
                <w:color w:val="auto"/>
              </w:rPr>
            </w:pPr>
          </w:p>
        </w:tc>
        <w:tc>
          <w:tcPr>
            <w:tcW w:w="340" w:type="dxa"/>
            <w:vAlign w:val="bottom"/>
            <w:tcBorders>
              <w:top w:val="single" w:sz="8" w:color="7F7F7F"/>
            </w:tcBorders>
          </w:tcPr>
          <w:p>
            <w:pPr>
              <w:spacing w:after="0"/>
              <w:rPr>
                <w:sz w:val="24"/>
                <w:szCs w:val="24"/>
                <w:color w:val="auto"/>
              </w:rPr>
            </w:pPr>
          </w:p>
        </w:tc>
        <w:tc>
          <w:tcPr>
            <w:tcW w:w="88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540" w:type="dxa"/>
            <w:vAlign w:val="bottom"/>
            <w:tcBorders>
              <w:top w:val="single" w:sz="8" w:color="7F7F7F"/>
            </w:tcBorders>
          </w:tcPr>
          <w:p>
            <w:pPr>
              <w:spacing w:after="0"/>
              <w:rPr>
                <w:sz w:val="24"/>
                <w:szCs w:val="24"/>
                <w:color w:val="auto"/>
              </w:rPr>
            </w:pPr>
          </w:p>
        </w:tc>
        <w:tc>
          <w:tcPr>
            <w:tcW w:w="100" w:type="dxa"/>
            <w:vAlign w:val="bottom"/>
            <w:tcBorders>
              <w:top w:val="single" w:sz="8" w:color="7F7F7F"/>
            </w:tcBorders>
          </w:tcPr>
          <w:p>
            <w:pPr>
              <w:spacing w:after="0"/>
              <w:rPr>
                <w:sz w:val="24"/>
                <w:szCs w:val="24"/>
                <w:color w:val="auto"/>
              </w:rPr>
            </w:pPr>
          </w:p>
        </w:tc>
        <w:tc>
          <w:tcPr>
            <w:tcW w:w="720" w:type="dxa"/>
            <w:vAlign w:val="bottom"/>
            <w:tcBorders>
              <w:top w:val="single" w:sz="8" w:color="7F7F7F"/>
            </w:tcBorders>
          </w:tcPr>
          <w:p>
            <w:pPr>
              <w:spacing w:after="0"/>
              <w:rPr>
                <w:sz w:val="24"/>
                <w:szCs w:val="24"/>
                <w:color w:val="auto"/>
              </w:rPr>
            </w:pPr>
          </w:p>
        </w:tc>
        <w:tc>
          <w:tcPr>
            <w:tcW w:w="36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4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620" w:type="dxa"/>
            <w:vAlign w:val="bottom"/>
            <w:tcBorders>
              <w:top w:val="single" w:sz="8" w:color="7F7F7F"/>
            </w:tcBorders>
          </w:tcPr>
          <w:p>
            <w:pPr>
              <w:spacing w:after="0"/>
              <w:rPr>
                <w:sz w:val="24"/>
                <w:szCs w:val="24"/>
                <w:color w:val="auto"/>
              </w:rPr>
            </w:pPr>
          </w:p>
        </w:tc>
        <w:tc>
          <w:tcPr>
            <w:tcW w:w="140" w:type="dxa"/>
            <w:vAlign w:val="bottom"/>
            <w:tcBorders>
              <w:top w:val="single" w:sz="8" w:color="7F7F7F"/>
            </w:tcBorders>
          </w:tcPr>
          <w:p>
            <w:pPr>
              <w:spacing w:after="0"/>
              <w:rPr>
                <w:sz w:val="24"/>
                <w:szCs w:val="24"/>
                <w:color w:val="auto"/>
              </w:rPr>
            </w:pPr>
          </w:p>
        </w:tc>
        <w:tc>
          <w:tcPr>
            <w:tcW w:w="5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760" w:type="dxa"/>
            <w:vAlign w:val="bottom"/>
            <w:tcBorders>
              <w:top w:val="single" w:sz="8" w:color="7F7F7F"/>
            </w:tcBorders>
          </w:tcPr>
          <w:p>
            <w:pPr>
              <w:spacing w:after="0"/>
              <w:rPr>
                <w:sz w:val="24"/>
                <w:szCs w:val="24"/>
                <w:color w:val="auto"/>
              </w:rPr>
            </w:pPr>
          </w:p>
        </w:tc>
        <w:tc>
          <w:tcPr>
            <w:tcW w:w="360" w:type="dxa"/>
            <w:vAlign w:val="bottom"/>
            <w:tcBorders>
              <w:top w:val="single" w:sz="8" w:color="7F7F7F"/>
            </w:tcBorders>
          </w:tcPr>
          <w:p>
            <w:pPr>
              <w:spacing w:after="0"/>
              <w:rPr>
                <w:sz w:val="24"/>
                <w:szCs w:val="24"/>
                <w:color w:val="auto"/>
              </w:rPr>
            </w:pPr>
          </w:p>
        </w:tc>
        <w:tc>
          <w:tcPr>
            <w:tcW w:w="240" w:type="dxa"/>
            <w:vAlign w:val="bottom"/>
            <w:tcBorders>
              <w:top w:val="single" w:sz="8" w:color="7F7F7F"/>
            </w:tcBorders>
          </w:tcPr>
          <w:p>
            <w:pPr>
              <w:spacing w:after="0"/>
              <w:rPr>
                <w:sz w:val="24"/>
                <w:szCs w:val="24"/>
                <w:color w:val="auto"/>
              </w:rPr>
            </w:pPr>
          </w:p>
        </w:tc>
        <w:tc>
          <w:tcPr>
            <w:tcW w:w="38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Age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center"/>
              <w:ind w:right="256"/>
              <w:spacing w:after="0"/>
              <w:rPr>
                <w:sz w:val="20"/>
                <w:szCs w:val="20"/>
                <w:color w:val="auto"/>
              </w:rPr>
            </w:pPr>
            <w:r>
              <w:rPr>
                <w:rFonts w:ascii="Arial" w:cs="Arial" w:eastAsia="Arial" w:hAnsi="Arial"/>
                <w:sz w:val="15"/>
                <w:szCs w:val="15"/>
                <w:color w:val="auto"/>
                <w:w w:val="95"/>
              </w:rPr>
              <w:t>55</w:t>
            </w:r>
          </w:p>
        </w:tc>
        <w:tc>
          <w:tcPr>
            <w:tcW w:w="220" w:type="dxa"/>
            <w:vAlign w:val="bottom"/>
          </w:tcPr>
          <w:p>
            <w:pPr>
              <w:spacing w:after="0"/>
              <w:rPr>
                <w:sz w:val="19"/>
                <w:szCs w:val="19"/>
                <w:color w:val="auto"/>
              </w:rPr>
            </w:pPr>
          </w:p>
        </w:tc>
        <w:tc>
          <w:tcPr>
            <w:tcW w:w="620" w:type="dxa"/>
            <w:vAlign w:val="bottom"/>
          </w:tcPr>
          <w:p>
            <w:pPr>
              <w:jc w:val="center"/>
              <w:ind w:right="117"/>
              <w:spacing w:after="0"/>
              <w:rPr>
                <w:sz w:val="20"/>
                <w:szCs w:val="20"/>
                <w:color w:val="auto"/>
              </w:rPr>
            </w:pPr>
            <w:r>
              <w:rPr>
                <w:rFonts w:ascii="Arial" w:cs="Arial" w:eastAsia="Arial" w:hAnsi="Arial"/>
                <w:sz w:val="15"/>
                <w:szCs w:val="15"/>
                <w:color w:val="auto"/>
                <w:w w:val="95"/>
              </w:rPr>
              <w:t>42</w:t>
            </w:r>
          </w:p>
        </w:tc>
        <w:tc>
          <w:tcPr>
            <w:tcW w:w="220" w:type="dxa"/>
            <w:vAlign w:val="bottom"/>
          </w:tcPr>
          <w:p>
            <w:pPr>
              <w:spacing w:after="0"/>
              <w:rPr>
                <w:sz w:val="19"/>
                <w:szCs w:val="19"/>
                <w:color w:val="auto"/>
              </w:rPr>
            </w:pPr>
          </w:p>
        </w:tc>
        <w:tc>
          <w:tcPr>
            <w:tcW w:w="540" w:type="dxa"/>
            <w:vAlign w:val="bottom"/>
          </w:tcPr>
          <w:p>
            <w:pPr>
              <w:jc w:val="center"/>
              <w:ind w:right="19"/>
              <w:spacing w:after="0"/>
              <w:rPr>
                <w:sz w:val="20"/>
                <w:szCs w:val="20"/>
                <w:color w:val="auto"/>
              </w:rPr>
            </w:pPr>
            <w:r>
              <w:rPr>
                <w:rFonts w:ascii="Arial" w:cs="Arial" w:eastAsia="Arial" w:hAnsi="Arial"/>
                <w:sz w:val="15"/>
                <w:szCs w:val="15"/>
                <w:color w:val="auto"/>
              </w:rPr>
              <w:t>66</w:t>
            </w:r>
          </w:p>
        </w:tc>
        <w:tc>
          <w:tcPr>
            <w:tcW w:w="820" w:type="dxa"/>
            <w:vAlign w:val="bottom"/>
            <w:gridSpan w:val="2"/>
          </w:tcPr>
          <w:p>
            <w:pPr>
              <w:jc w:val="center"/>
              <w:ind w:left="426"/>
              <w:spacing w:after="0"/>
              <w:rPr>
                <w:sz w:val="20"/>
                <w:szCs w:val="20"/>
                <w:color w:val="auto"/>
              </w:rPr>
            </w:pPr>
            <w:r>
              <w:rPr>
                <w:rFonts w:ascii="Arial" w:cs="Arial" w:eastAsia="Arial" w:hAnsi="Arial"/>
                <w:sz w:val="15"/>
                <w:szCs w:val="15"/>
                <w:color w:val="auto"/>
                <w:w w:val="95"/>
              </w:rPr>
              <w:t>68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center"/>
              <w:ind w:right="138"/>
              <w:spacing w:after="0"/>
              <w:rPr>
                <w:sz w:val="20"/>
                <w:szCs w:val="20"/>
                <w:color w:val="auto"/>
              </w:rPr>
            </w:pPr>
            <w:r>
              <w:rPr>
                <w:rFonts w:ascii="Arial" w:cs="Arial" w:eastAsia="Arial" w:hAnsi="Arial"/>
                <w:sz w:val="15"/>
                <w:szCs w:val="15"/>
                <w:color w:val="auto"/>
              </w:rPr>
              <w:t>51</w:t>
            </w:r>
          </w:p>
        </w:tc>
        <w:tc>
          <w:tcPr>
            <w:tcW w:w="220" w:type="dxa"/>
            <w:vAlign w:val="bottom"/>
          </w:tcPr>
          <w:p>
            <w:pPr>
              <w:spacing w:after="0"/>
              <w:rPr>
                <w:sz w:val="19"/>
                <w:szCs w:val="19"/>
                <w:color w:val="auto"/>
              </w:rPr>
            </w:pPr>
          </w:p>
        </w:tc>
        <w:tc>
          <w:tcPr>
            <w:tcW w:w="480" w:type="dxa"/>
            <w:vAlign w:val="bottom"/>
          </w:tcPr>
          <w:p>
            <w:pPr>
              <w:jc w:val="center"/>
              <w:ind w:right="16"/>
              <w:spacing w:after="0"/>
              <w:rPr>
                <w:sz w:val="20"/>
                <w:szCs w:val="20"/>
                <w:color w:val="auto"/>
              </w:rPr>
            </w:pPr>
            <w:r>
              <w:rPr>
                <w:rFonts w:ascii="Arial" w:cs="Arial" w:eastAsia="Arial" w:hAnsi="Arial"/>
                <w:sz w:val="15"/>
                <w:szCs w:val="15"/>
                <w:color w:val="auto"/>
                <w:w w:val="95"/>
              </w:rPr>
              <w:t>55</w:t>
            </w:r>
          </w:p>
        </w:tc>
        <w:tc>
          <w:tcPr>
            <w:tcW w:w="740" w:type="dxa"/>
            <w:vAlign w:val="bottom"/>
            <w:gridSpan w:val="2"/>
          </w:tcPr>
          <w:p>
            <w:pPr>
              <w:jc w:val="center"/>
              <w:ind w:left="246"/>
              <w:spacing w:after="0"/>
              <w:rPr>
                <w:sz w:val="20"/>
                <w:szCs w:val="20"/>
                <w:color w:val="auto"/>
              </w:rPr>
            </w:pPr>
            <w:r>
              <w:rPr>
                <w:rFonts w:ascii="Arial" w:cs="Arial" w:eastAsia="Arial" w:hAnsi="Arial"/>
                <w:sz w:val="15"/>
                <w:szCs w:val="15"/>
                <w:color w:val="auto"/>
              </w:rPr>
              <w:t>74</w:t>
            </w:r>
          </w:p>
        </w:tc>
        <w:tc>
          <w:tcPr>
            <w:tcW w:w="660" w:type="dxa"/>
            <w:vAlign w:val="bottom"/>
            <w:gridSpan w:val="2"/>
          </w:tcPr>
          <w:p>
            <w:pPr>
              <w:jc w:val="center"/>
              <w:ind w:left="226"/>
              <w:spacing w:after="0"/>
              <w:rPr>
                <w:sz w:val="20"/>
                <w:szCs w:val="20"/>
                <w:color w:val="auto"/>
              </w:rPr>
            </w:pPr>
            <w:r>
              <w:rPr>
                <w:rFonts w:ascii="Arial" w:cs="Arial" w:eastAsia="Arial" w:hAnsi="Arial"/>
                <w:sz w:val="15"/>
                <w:szCs w:val="15"/>
                <w:color w:val="auto"/>
                <w:w w:val="95"/>
              </w:rPr>
              <w:t>38</w:t>
            </w:r>
          </w:p>
        </w:tc>
        <w:tc>
          <w:tcPr>
            <w:tcW w:w="880" w:type="dxa"/>
            <w:vAlign w:val="bottom"/>
            <w:gridSpan w:val="2"/>
          </w:tcPr>
          <w:p>
            <w:pPr>
              <w:jc w:val="center"/>
              <w:ind w:left="426"/>
              <w:spacing w:after="0"/>
              <w:rPr>
                <w:sz w:val="20"/>
                <w:szCs w:val="20"/>
                <w:color w:val="auto"/>
              </w:rPr>
            </w:pPr>
            <w:r>
              <w:rPr>
                <w:rFonts w:ascii="Arial" w:cs="Arial" w:eastAsia="Arial" w:hAnsi="Arial"/>
                <w:sz w:val="15"/>
                <w:szCs w:val="15"/>
                <w:color w:val="auto"/>
              </w:rPr>
              <w:t>74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center"/>
              <w:ind w:right="138"/>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gridSpan w:val="2"/>
          </w:tcPr>
          <w:p>
            <w:pPr>
              <w:spacing w:after="0"/>
              <w:rPr>
                <w:sz w:val="4"/>
                <w:szCs w:val="4"/>
                <w:color w:val="auto"/>
              </w:rPr>
            </w:pPr>
          </w:p>
        </w:tc>
        <w:tc>
          <w:tcPr>
            <w:tcW w:w="840" w:type="dxa"/>
            <w:vAlign w:val="bottom"/>
            <w:tcBorders>
              <w:bottom w:val="single" w:sz="8" w:color="7F7F7F"/>
            </w:tcBorders>
            <w:gridSpan w:val="2"/>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gridSpan w:val="2"/>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Gender Identity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5"/>
                <w:szCs w:val="15"/>
                <w:color w:val="auto"/>
              </w:rPr>
              <w:t>M</w:t>
            </w:r>
          </w:p>
        </w:tc>
        <w:tc>
          <w:tcPr>
            <w:tcW w:w="840" w:type="dxa"/>
            <w:vAlign w:val="bottom"/>
            <w:gridSpan w:val="2"/>
          </w:tcPr>
          <w:p>
            <w:pPr>
              <w:ind w:left="160"/>
              <w:spacing w:after="0"/>
              <w:rPr>
                <w:sz w:val="20"/>
                <w:szCs w:val="20"/>
                <w:color w:val="auto"/>
              </w:rPr>
            </w:pPr>
            <w:r>
              <w:rPr>
                <w:rFonts w:ascii="Arial" w:cs="Arial" w:eastAsia="Arial" w:hAnsi="Arial"/>
                <w:sz w:val="15"/>
                <w:szCs w:val="15"/>
                <w:color w:val="auto"/>
              </w:rPr>
              <w:t>M</w:t>
            </w:r>
          </w:p>
        </w:tc>
        <w:tc>
          <w:tcPr>
            <w:tcW w:w="540" w:type="dxa"/>
            <w:vAlign w:val="bottom"/>
          </w:tcPr>
          <w:p>
            <w:pPr>
              <w:ind w:left="180"/>
              <w:spacing w:after="0"/>
              <w:rPr>
                <w:sz w:val="20"/>
                <w:szCs w:val="20"/>
                <w:color w:val="auto"/>
              </w:rPr>
            </w:pPr>
            <w:r>
              <w:rPr>
                <w:rFonts w:ascii="Arial" w:cs="Arial" w:eastAsia="Arial" w:hAnsi="Arial"/>
                <w:sz w:val="15"/>
                <w:szCs w:val="15"/>
                <w:color w:val="auto"/>
              </w:rPr>
              <w:t>F</w:t>
            </w:r>
          </w:p>
        </w:tc>
        <w:tc>
          <w:tcPr>
            <w:tcW w:w="10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5"/>
                <w:szCs w:val="15"/>
                <w:color w:val="auto"/>
              </w:rPr>
              <w:t>M</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5"/>
                <w:szCs w:val="15"/>
                <w:color w:val="auto"/>
              </w:rPr>
              <w:t>F</w:t>
            </w:r>
          </w:p>
        </w:tc>
        <w:tc>
          <w:tcPr>
            <w:tcW w:w="480" w:type="dxa"/>
            <w:vAlign w:val="bottom"/>
          </w:tcPr>
          <w:p>
            <w:pPr>
              <w:ind w:left="140"/>
              <w:spacing w:after="0"/>
              <w:rPr>
                <w:sz w:val="20"/>
                <w:szCs w:val="20"/>
                <w:color w:val="auto"/>
              </w:rPr>
            </w:pPr>
            <w:r>
              <w:rPr>
                <w:rFonts w:ascii="Arial" w:cs="Arial" w:eastAsia="Arial" w:hAnsi="Arial"/>
                <w:sz w:val="15"/>
                <w:szCs w:val="15"/>
                <w:color w:val="auto"/>
              </w:rPr>
              <w:t>M</w:t>
            </w:r>
          </w:p>
        </w:tc>
        <w:tc>
          <w:tcPr>
            <w:tcW w:w="12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5"/>
                <w:szCs w:val="15"/>
                <w:color w:val="auto"/>
              </w:rPr>
              <w:t>M</w:t>
            </w:r>
          </w:p>
        </w:tc>
        <w:tc>
          <w:tcPr>
            <w:tcW w:w="14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5"/>
                <w:szCs w:val="15"/>
                <w:color w:val="auto"/>
              </w:rPr>
              <w:t>M</w:t>
            </w:r>
          </w:p>
        </w:tc>
        <w:tc>
          <w:tcPr>
            <w:tcW w:w="12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F</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African American or Black</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00AE4F"/>
                <w:w w:val="82"/>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60"/>
              <w:spacing w:after="0"/>
              <w:rPr>
                <w:sz w:val="20"/>
                <w:szCs w:val="20"/>
                <w:color w:val="auto"/>
              </w:rPr>
            </w:pPr>
            <w:r>
              <w:rPr>
                <w:rFonts w:ascii="Arial" w:cs="Arial" w:eastAsia="Arial" w:hAnsi="Arial"/>
                <w:sz w:val="15"/>
                <w:szCs w:val="15"/>
                <w:color w:val="auto"/>
              </w:rPr>
              <w:t>Alaskan Native or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40" w:type="dxa"/>
            <w:vAlign w:val="bottom"/>
          </w:tcPr>
          <w:p>
            <w:pPr>
              <w:ind w:left="60"/>
              <w:spacing w:after="0"/>
              <w:rPr>
                <w:sz w:val="20"/>
                <w:szCs w:val="20"/>
                <w:color w:val="auto"/>
              </w:rPr>
            </w:pPr>
            <w:r>
              <w:rPr>
                <w:rFonts w:ascii="Arial" w:cs="Arial" w:eastAsia="Arial" w:hAnsi="Arial"/>
                <w:sz w:val="15"/>
                <w:szCs w:val="15"/>
                <w:color w:val="auto"/>
              </w:rPr>
              <w:t>American Indian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gridSpan w:val="2"/>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Asian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00AE4F"/>
                <w:w w:val="82"/>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Hispanic or Latinx</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60"/>
              <w:spacing w:after="0"/>
              <w:rPr>
                <w:sz w:val="20"/>
                <w:szCs w:val="20"/>
                <w:color w:val="auto"/>
              </w:rPr>
            </w:pPr>
            <w:r>
              <w:rPr>
                <w:rFonts w:ascii="Arial" w:cs="Arial" w:eastAsia="Arial" w:hAnsi="Arial"/>
                <w:sz w:val="15"/>
                <w:szCs w:val="15"/>
                <w:color w:val="auto"/>
              </w:rPr>
              <w:t>Native Hawaiian or Pacific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40" w:type="dxa"/>
            <w:vAlign w:val="bottom"/>
          </w:tcPr>
          <w:p>
            <w:pPr>
              <w:ind w:left="60"/>
              <w:spacing w:after="0"/>
              <w:rPr>
                <w:sz w:val="20"/>
                <w:szCs w:val="20"/>
                <w:color w:val="auto"/>
              </w:rPr>
            </w:pPr>
            <w:r>
              <w:rPr>
                <w:rFonts w:ascii="Arial" w:cs="Arial" w:eastAsia="Arial" w:hAnsi="Arial"/>
                <w:sz w:val="15"/>
                <w:szCs w:val="15"/>
                <w:color w:val="auto"/>
              </w:rPr>
              <w:t>Islander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gridSpan w:val="2"/>
          </w:tcPr>
          <w:p>
            <w:pPr>
              <w:spacing w:after="0"/>
              <w:rPr>
                <w:sz w:val="4"/>
                <w:szCs w:val="4"/>
                <w:color w:val="auto"/>
              </w:rPr>
            </w:pPr>
          </w:p>
        </w:tc>
        <w:tc>
          <w:tcPr>
            <w:tcW w:w="840" w:type="dxa"/>
            <w:vAlign w:val="bottom"/>
            <w:tcBorders>
              <w:bottom w:val="single" w:sz="8" w:color="7F7F7F"/>
            </w:tcBorders>
            <w:gridSpan w:val="2"/>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840" w:type="dxa"/>
            <w:vAlign w:val="bottom"/>
          </w:tcPr>
          <w:p>
            <w:pPr>
              <w:ind w:left="60"/>
              <w:spacing w:after="0"/>
              <w:rPr>
                <w:sz w:val="20"/>
                <w:szCs w:val="20"/>
                <w:color w:val="auto"/>
              </w:rPr>
            </w:pPr>
            <w:r>
              <w:rPr>
                <w:rFonts w:ascii="Arial" w:cs="Arial" w:eastAsia="Arial" w:hAnsi="Arial"/>
                <w:sz w:val="15"/>
                <w:szCs w:val="15"/>
                <w:color w:val="auto"/>
              </w:rPr>
              <w:t>White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00AE4F"/>
              </w:rPr>
              <w:t>●</w:t>
            </w: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00AE4F"/>
                <w:w w:val="82"/>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00AE4F"/>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left="139"/>
              <w:spacing w:after="0"/>
              <w:rPr>
                <w:sz w:val="20"/>
                <w:szCs w:val="20"/>
                <w:color w:val="auto"/>
              </w:rPr>
            </w:pPr>
            <w:r>
              <w:rPr>
                <w:rFonts w:ascii="Times New Roman" w:cs="Times New Roman" w:eastAsia="Times New Roman" w:hAnsi="Times New Roman"/>
                <w:sz w:val="12"/>
                <w:szCs w:val="12"/>
                <w:color w:val="00AE4F"/>
                <w:w w:val="82"/>
              </w:rPr>
              <w:t>●</w:t>
            </w:r>
          </w:p>
        </w:tc>
        <w:tc>
          <w:tcPr>
            <w:tcW w:w="140" w:type="dxa"/>
            <w:vAlign w:val="bottom"/>
          </w:tcPr>
          <w:p>
            <w:pPr>
              <w:spacing w:after="0"/>
              <w:rPr>
                <w:sz w:val="19"/>
                <w:szCs w:val="19"/>
                <w:color w:val="auto"/>
              </w:rPr>
            </w:pPr>
          </w:p>
        </w:tc>
        <w:tc>
          <w:tcPr>
            <w:tcW w:w="520" w:type="dxa"/>
            <w:vAlign w:val="bottom"/>
          </w:tcPr>
          <w:p>
            <w:pPr>
              <w:jc w:val="center"/>
              <w:ind w:left="99"/>
              <w:spacing w:after="0"/>
              <w:rPr>
                <w:sz w:val="20"/>
                <w:szCs w:val="20"/>
                <w:color w:val="auto"/>
              </w:rPr>
            </w:pPr>
            <w:r>
              <w:rPr>
                <w:rFonts w:ascii="Times New Roman" w:cs="Times New Roman" w:eastAsia="Times New Roman" w:hAnsi="Times New Roman"/>
                <w:sz w:val="12"/>
                <w:szCs w:val="12"/>
                <w:color w:val="00AE4F"/>
              </w:rPr>
              <w:t>●</w:t>
            </w:r>
          </w:p>
        </w:tc>
        <w:tc>
          <w:tcPr>
            <w:tcW w:w="120" w:type="dxa"/>
            <w:vAlign w:val="bottom"/>
          </w:tcPr>
          <w:p>
            <w:pPr>
              <w:spacing w:after="0"/>
              <w:rPr>
                <w:sz w:val="19"/>
                <w:szCs w:val="19"/>
                <w:color w:val="auto"/>
              </w:rPr>
            </w:pPr>
          </w:p>
        </w:tc>
        <w:tc>
          <w:tcPr>
            <w:tcW w:w="76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00AE4F"/>
                <w:w w:val="82"/>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00AE4F"/>
                <w:w w:val="82"/>
              </w:rPr>
              <w:t>●</w:t>
            </w:r>
          </w:p>
        </w:tc>
        <w:tc>
          <w:tcPr>
            <w:tcW w:w="0" w:type="dxa"/>
            <w:vAlign w:val="bottom"/>
          </w:tcPr>
          <w:p>
            <w:pPr>
              <w:spacing w:after="0"/>
              <w:rPr>
                <w:sz w:val="1"/>
                <w:szCs w:val="1"/>
                <w:color w:val="auto"/>
              </w:rPr>
            </w:pPr>
          </w:p>
        </w:tc>
      </w:tr>
      <w:tr>
        <w:trPr>
          <w:trHeight w:val="51"/>
        </w:trPr>
        <w:tc>
          <w:tcPr>
            <w:tcW w:w="184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60"/>
              <w:spacing w:after="0"/>
              <w:rPr>
                <w:sz w:val="20"/>
                <w:szCs w:val="20"/>
                <w:color w:val="auto"/>
              </w:rPr>
            </w:pPr>
            <w:r>
              <w:rPr>
                <w:rFonts w:ascii="Arial" w:cs="Arial" w:eastAsia="Arial" w:hAnsi="Arial"/>
                <w:sz w:val="15"/>
                <w:szCs w:val="15"/>
                <w:color w:val="auto"/>
              </w:rPr>
              <w:t>Two or More Races or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40" w:type="dxa"/>
            <w:vAlign w:val="bottom"/>
          </w:tcPr>
          <w:p>
            <w:pPr>
              <w:ind w:left="60"/>
              <w:spacing w:after="0"/>
              <w:rPr>
                <w:sz w:val="20"/>
                <w:szCs w:val="20"/>
                <w:color w:val="auto"/>
              </w:rPr>
            </w:pPr>
            <w:r>
              <w:rPr>
                <w:rFonts w:ascii="Arial" w:cs="Arial" w:eastAsia="Arial" w:hAnsi="Arial"/>
                <w:sz w:val="15"/>
                <w:szCs w:val="15"/>
                <w:color w:val="auto"/>
              </w:rPr>
              <w:t>Ethnicities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-1998980</wp:posOffset>
            </wp:positionV>
            <wp:extent cx="6838950" cy="2520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8950" cy="252031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-6826885</wp:posOffset>
            </wp:positionV>
            <wp:extent cx="5528945" cy="590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8945" cy="590550"/>
                    </a:xfrm>
                    <a:prstGeom prst="rect">
                      <a:avLst/>
                    </a:prstGeom>
                    <a:noFill/>
                  </pic:spPr>
                </pic:pic>
              </a:graphicData>
            </a:graphic>
          </wp:anchor>
        </w:drawing>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LGBTQ+</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Did Not Disclose</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Demographic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38735</wp:posOffset>
            </wp:positionV>
            <wp:extent cx="68389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8950" cy="7620"/>
                    </a:xfrm>
                    <a:prstGeom prst="rect">
                      <a:avLst/>
                    </a:prstGeom>
                    <a:noFill/>
                  </pic:spPr>
                </pic:pic>
              </a:graphicData>
            </a:graphic>
          </wp:anchor>
        </w:drawing>
      </w:r>
    </w:p>
    <w:p>
      <w:pPr>
        <w:sectPr>
          <w:pgSz w:w="11900" w:h="16838" w:orient="portrait"/>
          <w:cols w:equalWidth="0" w:num="1">
            <w:col w:w="11340"/>
          </w:cols>
          <w:pgMar w:left="320" w:top="454" w:right="239" w:bottom="1440" w:gutter="0" w:footer="0" w:header="0"/>
        </w:sectPr>
      </w:pPr>
    </w:p>
    <w:p>
      <w:pPr>
        <w:spacing w:after="0" w:line="184"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1340"/>
          </w:cols>
          <w:pgMar w:left="320" w:top="454"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Proposal 1: Election of Directors</w:t>
      </w:r>
    </w:p>
    <w:p>
      <w:pPr>
        <w:spacing w:after="0" w:line="200" w:lineRule="exact"/>
        <w:rPr>
          <w:sz w:val="20"/>
          <w:szCs w:val="20"/>
          <w:color w:val="auto"/>
        </w:rPr>
      </w:pPr>
    </w:p>
    <w:p>
      <w:pPr>
        <w:spacing w:after="0" w:line="38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the Company continues to drive profitable growth in its areas of specialization, the Committee considers the following experiences and skills: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-128905</wp:posOffset>
            </wp:positionV>
            <wp:extent cx="2772410" cy="1504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72410" cy="1504315"/>
                    </a:xfrm>
                    <a:prstGeom prst="rect">
                      <a:avLst/>
                    </a:prstGeom>
                    <a:noFill/>
                  </pic:spPr>
                </pic:pic>
              </a:graphicData>
            </a:graphic>
          </wp:anchor>
        </w:drawing>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Out of 11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40640</wp:posOffset>
            </wp:positionV>
            <wp:extent cx="30797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00AE4F"/>
        </w:rPr>
        <w:t xml:space="preserve">Executive Leadership </w:t>
      </w:r>
      <w:r>
        <w:rPr>
          <w:rFonts w:ascii="Arial" w:cs="Arial" w:eastAsia="Arial" w:hAnsi="Arial"/>
          <w:sz w:val="13"/>
          <w:szCs w:val="13"/>
          <w:color w:val="000000"/>
        </w:rPr>
        <w:t>experience as a Chairman of the Board,</w:t>
      </w:r>
    </w:p>
    <w:p>
      <w:pPr>
        <w:ind w:left="1500" w:right="4879" w:hanging="731"/>
        <w:spacing w:after="0" w:line="198" w:lineRule="auto"/>
        <w:rPr>
          <w:sz w:val="20"/>
          <w:szCs w:val="20"/>
          <w:color w:val="auto"/>
        </w:rPr>
      </w:pPr>
      <w:r>
        <w:rPr>
          <w:rFonts w:ascii="Arial" w:cs="Arial" w:eastAsia="Arial" w:hAnsi="Arial"/>
          <w:sz w:val="34"/>
          <w:szCs w:val="34"/>
          <w:b w:val="1"/>
          <w:bCs w:val="1"/>
          <w:color w:val="00AE4F"/>
        </w:rPr>
        <w:t xml:space="preserve">11 </w:t>
      </w:r>
      <w:r>
        <w:rPr>
          <w:rFonts w:ascii="Arial" w:cs="Arial" w:eastAsia="Arial" w:hAnsi="Arial"/>
          <w:sz w:val="11"/>
          <w:szCs w:val="11"/>
          <w:color w:val="000000"/>
        </w:rPr>
        <w:t>Chief Executive Officer, Chief Operating Officer, or substantially</w:t>
      </w:r>
      <w:r>
        <w:rPr>
          <w:rFonts w:ascii="Arial" w:cs="Arial" w:eastAsia="Arial" w:hAnsi="Arial"/>
          <w:sz w:val="34"/>
          <w:szCs w:val="34"/>
          <w:b w:val="1"/>
          <w:bCs w:val="1"/>
          <w:color w:val="00AE4F"/>
        </w:rPr>
        <w:t xml:space="preserve"> </w:t>
      </w:r>
      <w:r>
        <w:rPr>
          <w:rFonts w:ascii="Arial" w:cs="Arial" w:eastAsia="Arial" w:hAnsi="Arial"/>
          <w:sz w:val="11"/>
          <w:szCs w:val="11"/>
          <w:color w:val="000000"/>
        </w:rPr>
        <w:t>equivalent level executive officer of a complex organization such as a corporation, university, or major unit of government or a professional who regularly advises such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21590</wp:posOffset>
            </wp:positionV>
            <wp:extent cx="30797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88" w:lineRule="exact"/>
        <w:rPr>
          <w:sz w:val="20"/>
          <w:szCs w:val="20"/>
          <w:color w:val="auto"/>
        </w:rPr>
      </w:pPr>
    </w:p>
    <w:p>
      <w:pPr>
        <w:jc w:val="center"/>
        <w:ind w:right="3979"/>
        <w:spacing w:after="0"/>
        <w:rPr>
          <w:sz w:val="20"/>
          <w:szCs w:val="20"/>
          <w:color w:val="auto"/>
        </w:rPr>
      </w:pPr>
      <w:r>
        <w:rPr>
          <w:rFonts w:ascii="Arial" w:cs="Arial" w:eastAsia="Arial" w:hAnsi="Arial"/>
          <w:sz w:val="13"/>
          <w:szCs w:val="13"/>
          <w:b w:val="1"/>
          <w:bCs w:val="1"/>
          <w:color w:val="00AE4F"/>
        </w:rPr>
        <w:t xml:space="preserve">Transformations </w:t>
      </w:r>
      <w:r>
        <w:rPr>
          <w:rFonts w:ascii="Arial" w:cs="Arial" w:eastAsia="Arial" w:hAnsi="Arial"/>
          <w:sz w:val="13"/>
          <w:szCs w:val="13"/>
          <w:color w:val="000000"/>
        </w:rPr>
        <w:t>successful leadership of large-scale</w:t>
      </w:r>
    </w:p>
    <w:p>
      <w:pPr>
        <w:jc w:val="both"/>
        <w:ind w:left="1500" w:right="4939" w:hanging="731"/>
        <w:spacing w:after="0" w:line="226" w:lineRule="auto"/>
        <w:rPr>
          <w:sz w:val="20"/>
          <w:szCs w:val="20"/>
          <w:color w:val="auto"/>
        </w:rPr>
      </w:pPr>
      <w:r>
        <w:rPr>
          <w:rFonts w:ascii="Arial" w:cs="Arial" w:eastAsia="Arial" w:hAnsi="Arial"/>
          <w:sz w:val="34"/>
          <w:szCs w:val="34"/>
          <w:b w:val="1"/>
          <w:bCs w:val="1"/>
          <w:color w:val="00AE4F"/>
        </w:rPr>
        <w:t xml:space="preserve">11 </w:t>
      </w:r>
      <w:r>
        <w:rPr>
          <w:rFonts w:ascii="Arial" w:cs="Arial" w:eastAsia="Arial" w:hAnsi="Arial"/>
          <w:sz w:val="11"/>
          <w:szCs w:val="11"/>
          <w:color w:val="000000"/>
        </w:rPr>
        <w:t>transformations, including cultural evolutions, restructuring, and</w:t>
      </w:r>
      <w:r>
        <w:rPr>
          <w:rFonts w:ascii="Arial" w:cs="Arial" w:eastAsia="Arial" w:hAnsi="Arial"/>
          <w:sz w:val="34"/>
          <w:szCs w:val="34"/>
          <w:b w:val="1"/>
          <w:bCs w:val="1"/>
          <w:color w:val="00AE4F"/>
        </w:rPr>
        <w:t xml:space="preserve"> </w:t>
      </w:r>
      <w:r>
        <w:rPr>
          <w:rFonts w:ascii="Arial" w:cs="Arial" w:eastAsia="Arial" w:hAnsi="Arial"/>
          <w:sz w:val="11"/>
          <w:szCs w:val="11"/>
          <w:color w:val="000000"/>
        </w:rPr>
        <w:t>enhancing organizational design to improve effectiveness, and drive profitable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21590</wp:posOffset>
            </wp:positionV>
            <wp:extent cx="30797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229" w:lineRule="exact"/>
        <w:rPr>
          <w:sz w:val="20"/>
          <w:szCs w:val="20"/>
          <w:color w:val="auto"/>
        </w:rPr>
      </w:pPr>
    </w:p>
    <w:p>
      <w:pPr>
        <w:ind w:left="1500" w:right="4739" w:hanging="734"/>
        <w:spacing w:after="0" w:line="181" w:lineRule="auto"/>
        <w:tabs>
          <w:tab w:leader="none" w:pos="1500" w:val="left"/>
        </w:tabs>
        <w:numPr>
          <w:ilvl w:val="0"/>
          <w:numId w:val="18"/>
        </w:numPr>
        <w:rPr>
          <w:rFonts w:ascii="Arial" w:cs="Arial" w:eastAsia="Arial" w:hAnsi="Arial"/>
          <w:sz w:val="26"/>
          <w:szCs w:val="26"/>
          <w:b w:val="1"/>
          <w:bCs w:val="1"/>
          <w:color w:val="00AE4F"/>
        </w:rPr>
      </w:pPr>
      <w:r>
        <w:rPr>
          <w:rFonts w:ascii="Arial" w:cs="Arial" w:eastAsia="Arial" w:hAnsi="Arial"/>
          <w:sz w:val="11"/>
          <w:szCs w:val="11"/>
          <w:b w:val="1"/>
          <w:bCs w:val="1"/>
          <w:color w:val="00AE4F"/>
        </w:rPr>
        <w:t xml:space="preserve">Innovation </w:t>
      </w:r>
      <w:r>
        <w:rPr>
          <w:rFonts w:ascii="Arial" w:cs="Arial" w:eastAsia="Arial" w:hAnsi="Arial"/>
          <w:sz w:val="11"/>
          <w:szCs w:val="11"/>
          <w:color w:val="000000"/>
        </w:rPr>
        <w:t>proven experience turning new ideas and technologies</w:t>
      </w:r>
      <w:r>
        <w:rPr>
          <w:rFonts w:ascii="Arial" w:cs="Arial" w:eastAsia="Arial" w:hAnsi="Arial"/>
          <w:sz w:val="11"/>
          <w:szCs w:val="11"/>
          <w:b w:val="1"/>
          <w:bCs w:val="1"/>
          <w:color w:val="00AE4F"/>
        </w:rPr>
        <w:t xml:space="preserve"> </w:t>
      </w:r>
      <w:r>
        <w:rPr>
          <w:rFonts w:ascii="Arial" w:cs="Arial" w:eastAsia="Arial" w:hAnsi="Arial"/>
          <w:sz w:val="11"/>
          <w:szCs w:val="11"/>
          <w:color w:val="000000"/>
        </w:rPr>
        <w:t>into assets that transform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107950</wp:posOffset>
            </wp:positionV>
            <wp:extent cx="30797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00AE4F"/>
        </w:rPr>
        <w:t xml:space="preserve">Industry </w:t>
      </w:r>
      <w:r>
        <w:rPr>
          <w:rFonts w:ascii="Arial" w:cs="Arial" w:eastAsia="Arial" w:hAnsi="Arial"/>
          <w:sz w:val="13"/>
          <w:szCs w:val="13"/>
          <w:color w:val="000000"/>
        </w:rPr>
        <w:t>including experience in the staffing or business services</w:t>
      </w:r>
    </w:p>
    <w:p>
      <w:pPr>
        <w:spacing w:after="0" w:line="57" w:lineRule="exact"/>
        <w:rPr>
          <w:sz w:val="20"/>
          <w:szCs w:val="20"/>
          <w:color w:val="auto"/>
        </w:rPr>
      </w:pPr>
    </w:p>
    <w:p>
      <w:pPr>
        <w:ind w:left="1500" w:right="4879" w:hanging="734"/>
        <w:spacing w:after="0" w:line="196" w:lineRule="auto"/>
        <w:tabs>
          <w:tab w:leader="none" w:pos="1500" w:val="left"/>
        </w:tabs>
        <w:numPr>
          <w:ilvl w:val="0"/>
          <w:numId w:val="19"/>
        </w:numPr>
        <w:rPr>
          <w:rFonts w:ascii="Arial" w:cs="Arial" w:eastAsia="Arial" w:hAnsi="Arial"/>
          <w:sz w:val="42"/>
          <w:szCs w:val="42"/>
          <w:b w:val="1"/>
          <w:bCs w:val="1"/>
          <w:color w:val="00AE4F"/>
        </w:rPr>
      </w:pPr>
      <w:r>
        <w:rPr>
          <w:rFonts w:ascii="Arial" w:cs="Arial" w:eastAsia="Arial" w:hAnsi="Arial"/>
          <w:sz w:val="12"/>
          <w:szCs w:val="12"/>
          <w:color w:val="auto"/>
        </w:rPr>
        <w:t>industry, the Company’s specialty businesses, or experience in human capital management including talent/workforce solutions; organizational behavior and development;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-254000</wp:posOffset>
            </wp:positionV>
            <wp:extent cx="6127750" cy="130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27750" cy="1307465"/>
                    </a:xfrm>
                    <a:prstGeom prst="rect">
                      <a:avLst/>
                    </a:prstGeom>
                    <a:noFill/>
                  </pic:spPr>
                </pic:pic>
              </a:graphicData>
            </a:graphic>
          </wp:anchor>
        </w:drawing>
      </w:r>
    </w:p>
    <w:p>
      <w:pPr>
        <w:spacing w:after="0" w:line="253" w:lineRule="exact"/>
        <w:rPr>
          <w:sz w:val="20"/>
          <w:szCs w:val="20"/>
          <w:color w:val="auto"/>
        </w:rPr>
      </w:pPr>
    </w:p>
    <w:p>
      <w:pPr>
        <w:ind w:left="1500" w:right="4759" w:hanging="734"/>
        <w:spacing w:after="0" w:line="182" w:lineRule="auto"/>
        <w:tabs>
          <w:tab w:leader="none" w:pos="1500" w:val="left"/>
        </w:tabs>
        <w:numPr>
          <w:ilvl w:val="0"/>
          <w:numId w:val="20"/>
        </w:numPr>
        <w:rPr>
          <w:rFonts w:ascii="Arial" w:cs="Arial" w:eastAsia="Arial" w:hAnsi="Arial"/>
          <w:sz w:val="24"/>
          <w:szCs w:val="24"/>
          <w:b w:val="1"/>
          <w:bCs w:val="1"/>
          <w:color w:val="00AE4F"/>
        </w:rPr>
      </w:pPr>
      <w:r>
        <w:rPr>
          <w:rFonts w:ascii="Arial" w:cs="Arial" w:eastAsia="Arial" w:hAnsi="Arial"/>
          <w:sz w:val="11"/>
          <w:szCs w:val="11"/>
          <w:color w:val="auto"/>
        </w:rPr>
        <w:t xml:space="preserve">high-level planning and execution of business initiatives through the use of technology and digitization to build business efficiencies </w:t>
      </w:r>
      <w:r>
        <w:rPr>
          <w:rFonts w:ascii="Arial" w:cs="Arial" w:eastAsia="Arial" w:hAnsi="Arial"/>
          <w:sz w:val="15"/>
          <w:szCs w:val="15"/>
          <w:color w:val="000000"/>
          <w:vertAlign w:val="subscript"/>
        </w:rPr>
        <w:t>and competitive advantage</w:t>
      </w:r>
      <w:r>
        <w:rPr>
          <w:rFonts w:ascii="Arial" w:cs="Arial" w:eastAsia="Arial" w:hAnsi="Arial"/>
          <w:sz w:val="11"/>
          <w:szCs w:val="11"/>
          <w:b w:val="1"/>
          <w:bCs w:val="1"/>
          <w:color w:val="00AE4F"/>
        </w:rPr>
        <w:t xml:space="preserve">Technology,Digitization,and Cybersecurity </w:t>
      </w:r>
      <w:r>
        <w:rPr>
          <w:rFonts w:ascii="Arial" w:cs="Arial" w:eastAsia="Arial" w:hAnsi="Arial"/>
          <w:sz w:val="11"/>
          <w:szCs w:val="11"/>
          <w:color w:val="000000"/>
        </w:rPr>
        <w:t>experience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20955</wp:posOffset>
            </wp:positionV>
            <wp:extent cx="30797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73"/>
        </w:trPr>
        <w:tc>
          <w:tcPr>
            <w:tcW w:w="640" w:type="dxa"/>
            <w:vAlign w:val="bottom"/>
          </w:tcPr>
          <w:p>
            <w:pPr>
              <w:jc w:val="right"/>
              <w:spacing w:after="0" w:line="256" w:lineRule="exact"/>
              <w:rPr>
                <w:sz w:val="20"/>
                <w:szCs w:val="20"/>
                <w:color w:val="auto"/>
              </w:rPr>
            </w:pPr>
            <w:r>
              <w:rPr>
                <w:rFonts w:ascii="Arial" w:cs="Arial" w:eastAsia="Arial" w:hAnsi="Arial"/>
                <w:sz w:val="29"/>
                <w:szCs w:val="29"/>
                <w:b w:val="1"/>
                <w:bCs w:val="1"/>
                <w:color w:val="00AE4F"/>
              </w:rPr>
              <w:t>11</w:t>
            </w:r>
          </w:p>
        </w:tc>
        <w:tc>
          <w:tcPr>
            <w:tcW w:w="4000" w:type="dxa"/>
            <w:vAlign w:val="bottom"/>
          </w:tcPr>
          <w:p>
            <w:pPr>
              <w:ind w:left="100"/>
              <w:spacing w:after="0"/>
              <w:rPr>
                <w:sz w:val="20"/>
                <w:szCs w:val="20"/>
                <w:color w:val="auto"/>
              </w:rPr>
            </w:pPr>
            <w:r>
              <w:rPr>
                <w:rFonts w:ascii="Arial" w:cs="Arial" w:eastAsia="Arial" w:hAnsi="Arial"/>
                <w:sz w:val="13"/>
                <w:szCs w:val="13"/>
                <w:b w:val="1"/>
                <w:bCs w:val="1"/>
                <w:color w:val="00AE4F"/>
              </w:rPr>
              <w:t xml:space="preserve">Financial Acumen </w:t>
            </w:r>
            <w:r>
              <w:rPr>
                <w:rFonts w:ascii="Arial" w:cs="Arial" w:eastAsia="Arial" w:hAnsi="Arial"/>
                <w:sz w:val="13"/>
                <w:szCs w:val="13"/>
                <w:color w:val="000000"/>
              </w:rPr>
              <w:t>the ability to read and understand fundamental</w:t>
            </w:r>
          </w:p>
        </w:tc>
      </w:tr>
      <w:tr>
        <w:trPr>
          <w:trHeight w:val="149"/>
        </w:trPr>
        <w:tc>
          <w:tcPr>
            <w:tcW w:w="640" w:type="dxa"/>
            <w:vAlign w:val="bottom"/>
          </w:tcPr>
          <w:p>
            <w:pPr>
              <w:spacing w:after="0"/>
              <w:rPr>
                <w:sz w:val="12"/>
                <w:szCs w:val="12"/>
                <w:color w:val="auto"/>
              </w:rPr>
            </w:pPr>
          </w:p>
        </w:tc>
        <w:tc>
          <w:tcPr>
            <w:tcW w:w="4000" w:type="dxa"/>
            <w:vAlign w:val="bottom"/>
          </w:tcPr>
          <w:p>
            <w:pPr>
              <w:ind w:left="100"/>
              <w:spacing w:after="0"/>
              <w:rPr>
                <w:sz w:val="20"/>
                <w:szCs w:val="20"/>
                <w:color w:val="auto"/>
              </w:rPr>
            </w:pPr>
            <w:r>
              <w:rPr>
                <w:rFonts w:ascii="Arial" w:cs="Arial" w:eastAsia="Arial" w:hAnsi="Arial"/>
                <w:sz w:val="13"/>
                <w:szCs w:val="13"/>
                <w:color w:val="auto"/>
              </w:rPr>
              <w:t>financial statements, including a company’s balance sheet, income</w:t>
            </w:r>
          </w:p>
        </w:tc>
      </w:tr>
      <w:tr>
        <w:trPr>
          <w:trHeight w:val="174"/>
        </w:trPr>
        <w:tc>
          <w:tcPr>
            <w:tcW w:w="640" w:type="dxa"/>
            <w:vAlign w:val="bottom"/>
          </w:tcPr>
          <w:p>
            <w:pPr>
              <w:spacing w:after="0"/>
              <w:rPr>
                <w:sz w:val="15"/>
                <w:szCs w:val="15"/>
                <w:color w:val="auto"/>
              </w:rPr>
            </w:pPr>
          </w:p>
        </w:tc>
        <w:tc>
          <w:tcPr>
            <w:tcW w:w="4000" w:type="dxa"/>
            <w:vAlign w:val="bottom"/>
          </w:tcPr>
          <w:p>
            <w:pPr>
              <w:ind w:left="100"/>
              <w:spacing w:after="0"/>
              <w:rPr>
                <w:sz w:val="20"/>
                <w:szCs w:val="20"/>
                <w:color w:val="auto"/>
              </w:rPr>
            </w:pPr>
            <w:r>
              <w:rPr>
                <w:rFonts w:ascii="Arial" w:cs="Arial" w:eastAsia="Arial" w:hAnsi="Arial"/>
                <w:sz w:val="13"/>
                <w:szCs w:val="13"/>
                <w:color w:val="auto"/>
              </w:rPr>
              <w:t>statement, and cash flow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91440</wp:posOffset>
            </wp:positionV>
            <wp:extent cx="30797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00AE4F"/>
        </w:rPr>
        <w:t xml:space="preserve">Financial Expert </w:t>
      </w:r>
      <w:r>
        <w:rPr>
          <w:rFonts w:ascii="Arial" w:cs="Arial" w:eastAsia="Arial" w:hAnsi="Arial"/>
          <w:sz w:val="13"/>
          <w:szCs w:val="13"/>
          <w:color w:val="000000"/>
        </w:rPr>
        <w:t>including financial and/or accounting expertise,</w:t>
      </w:r>
    </w:p>
    <w:p>
      <w:pPr>
        <w:spacing w:after="0" w:line="148" w:lineRule="exact"/>
        <w:rPr>
          <w:sz w:val="20"/>
          <w:szCs w:val="20"/>
          <w:color w:val="auto"/>
        </w:rPr>
      </w:pPr>
    </w:p>
    <w:p>
      <w:pPr>
        <w:ind w:left="1500" w:right="4779" w:hanging="734"/>
        <w:spacing w:after="0" w:line="182" w:lineRule="auto"/>
        <w:tabs>
          <w:tab w:leader="none" w:pos="1500" w:val="left"/>
        </w:tabs>
        <w:numPr>
          <w:ilvl w:val="0"/>
          <w:numId w:val="21"/>
        </w:numPr>
        <w:rPr>
          <w:rFonts w:ascii="Arial" w:cs="Arial" w:eastAsia="Arial" w:hAnsi="Arial"/>
          <w:sz w:val="31"/>
          <w:szCs w:val="31"/>
          <w:b w:val="1"/>
          <w:bCs w:val="1"/>
          <w:color w:val="00AE4F"/>
        </w:rPr>
      </w:pPr>
      <w:r>
        <w:rPr>
          <w:rFonts w:ascii="Arial" w:cs="Arial" w:eastAsia="Arial" w:hAnsi="Arial"/>
          <w:sz w:val="11"/>
          <w:szCs w:val="11"/>
          <w:color w:val="auto"/>
        </w:rPr>
        <w:t xml:space="preserve">NASDAQ and the Securities and Exchange Commission (education and experience as CFO, finance/accounting executive, public accountant or auditor, or person performing similar </w:t>
      </w:r>
      <w:r>
        <w:rPr>
          <w:rFonts w:ascii="Arial" w:cs="Arial" w:eastAsia="Arial" w:hAnsi="Arial"/>
          <w:sz w:val="18"/>
          <w:szCs w:val="18"/>
          <w:color w:val="auto"/>
          <w:vertAlign w:val="subscript"/>
        </w:rPr>
        <w:t>functions)</w:t>
      </w:r>
      <w:r>
        <w:rPr>
          <w:rFonts w:ascii="Arial" w:cs="Arial" w:eastAsia="Arial" w:hAnsi="Arial"/>
          <w:sz w:val="11"/>
          <w:szCs w:val="11"/>
          <w:color w:val="auto"/>
        </w:rPr>
        <w:t>generally, and as necessary to fulfill the financial requirements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-96520</wp:posOffset>
            </wp:positionV>
            <wp:extent cx="2543810" cy="835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3810" cy="835025"/>
                    </a:xfrm>
                    <a:prstGeom prst="rect">
                      <a:avLst/>
                    </a:prstGeom>
                    <a:noFill/>
                  </pic:spPr>
                </pic:pic>
              </a:graphicData>
            </a:graphic>
          </wp:anchor>
        </w:drawing>
      </w:r>
    </w:p>
    <w:p>
      <w:pPr>
        <w:spacing w:after="0" w:line="105" w:lineRule="exact"/>
        <w:rPr>
          <w:sz w:val="20"/>
          <w:szCs w:val="20"/>
          <w:color w:val="auto"/>
        </w:rPr>
      </w:pPr>
    </w:p>
    <w:p>
      <w:pPr>
        <w:ind w:left="1500" w:right="4899" w:hanging="734"/>
        <w:spacing w:after="0" w:line="182" w:lineRule="auto"/>
        <w:tabs>
          <w:tab w:leader="none" w:pos="1500" w:val="left"/>
        </w:tabs>
        <w:numPr>
          <w:ilvl w:val="0"/>
          <w:numId w:val="22"/>
        </w:numPr>
        <w:rPr>
          <w:rFonts w:ascii="Arial" w:cs="Arial" w:eastAsia="Arial" w:hAnsi="Arial"/>
          <w:sz w:val="43"/>
          <w:szCs w:val="43"/>
          <w:b w:val="1"/>
          <w:bCs w:val="1"/>
          <w:color w:val="00AE4F"/>
          <w:vertAlign w:val="subscript"/>
        </w:rPr>
      </w:pPr>
      <w:r>
        <w:rPr>
          <w:rFonts w:ascii="Arial" w:cs="Arial" w:eastAsia="Arial" w:hAnsi="Arial"/>
          <w:sz w:val="11"/>
          <w:szCs w:val="11"/>
          <w:b w:val="1"/>
          <w:bCs w:val="1"/>
          <w:color w:val="00AE4F"/>
        </w:rPr>
        <w:t xml:space="preserve">Risk Management </w:t>
      </w:r>
      <w:r>
        <w:rPr>
          <w:rFonts w:ascii="Arial" w:cs="Arial" w:eastAsia="Arial" w:hAnsi="Arial"/>
          <w:sz w:val="11"/>
          <w:szCs w:val="11"/>
          <w:color w:val="000000"/>
        </w:rPr>
        <w:t>experience identifying, evaluating, and</w:t>
      </w:r>
      <w:r>
        <w:rPr>
          <w:rFonts w:ascii="Arial" w:cs="Arial" w:eastAsia="Arial" w:hAnsi="Arial"/>
          <w:sz w:val="11"/>
          <w:szCs w:val="11"/>
          <w:b w:val="1"/>
          <w:bCs w:val="1"/>
          <w:color w:val="00AE4F"/>
        </w:rPr>
        <w:t xml:space="preserve"> </w:t>
      </w:r>
      <w:r>
        <w:rPr>
          <w:rFonts w:ascii="Arial" w:cs="Arial" w:eastAsia="Arial" w:hAnsi="Arial"/>
          <w:sz w:val="11"/>
          <w:szCs w:val="11"/>
          <w:color w:val="000000"/>
        </w:rPr>
        <w:t>managing corporate risk, ability to address and mitigate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91440</wp:posOffset>
            </wp:positionV>
            <wp:extent cx="30797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79750"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-356235</wp:posOffset>
            </wp:positionV>
            <wp:extent cx="30797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00AE4F"/>
        </w:rPr>
        <w:t xml:space="preserve">Legal or Corporate Governance </w:t>
      </w:r>
      <w:r>
        <w:rPr>
          <w:rFonts w:ascii="Arial" w:cs="Arial" w:eastAsia="Arial" w:hAnsi="Arial"/>
          <w:sz w:val="13"/>
          <w:szCs w:val="13"/>
          <w:color w:val="000000"/>
        </w:rPr>
        <w:t>experience with legal issues</w:t>
      </w:r>
    </w:p>
    <w:p>
      <w:pPr>
        <w:spacing w:after="0" w:line="57" w:lineRule="exact"/>
        <w:rPr>
          <w:sz w:val="20"/>
          <w:szCs w:val="20"/>
          <w:color w:val="auto"/>
        </w:rPr>
      </w:pPr>
    </w:p>
    <w:p>
      <w:pPr>
        <w:ind w:left="1500" w:right="4819" w:hanging="734"/>
        <w:spacing w:after="0" w:line="182" w:lineRule="auto"/>
        <w:tabs>
          <w:tab w:leader="none" w:pos="1500" w:val="left"/>
        </w:tabs>
        <w:numPr>
          <w:ilvl w:val="0"/>
          <w:numId w:val="23"/>
        </w:numPr>
        <w:rPr>
          <w:rFonts w:ascii="Arial" w:cs="Arial" w:eastAsia="Arial" w:hAnsi="Arial"/>
          <w:sz w:val="35"/>
          <w:szCs w:val="35"/>
          <w:b w:val="1"/>
          <w:bCs w:val="1"/>
          <w:color w:val="00AE4F"/>
        </w:rPr>
      </w:pPr>
      <w:r>
        <w:rPr>
          <w:rFonts w:ascii="Arial" w:cs="Arial" w:eastAsia="Arial" w:hAnsi="Arial"/>
          <w:sz w:val="12"/>
          <w:szCs w:val="12"/>
          <w:color w:val="auto"/>
        </w:rPr>
        <w:t>impacting large organizations and governance and fiduciary matters that impact boards, such as service on public boards and board committees, or as legal or governance executives of other large public companies</w:t>
      </w:r>
    </w:p>
    <w:p>
      <w:pPr>
        <w:spacing w:after="0" w:line="125" w:lineRule="exact"/>
        <w:rPr>
          <w:sz w:val="20"/>
          <w:szCs w:val="20"/>
          <w:color w:val="auto"/>
        </w:rPr>
      </w:pPr>
    </w:p>
    <w:p>
      <w:pPr>
        <w:ind w:left="1500" w:right="4799" w:hanging="734"/>
        <w:spacing w:after="0" w:line="182" w:lineRule="auto"/>
        <w:tabs>
          <w:tab w:leader="none" w:pos="1500" w:val="left"/>
        </w:tabs>
        <w:numPr>
          <w:ilvl w:val="0"/>
          <w:numId w:val="24"/>
        </w:numPr>
        <w:rPr>
          <w:rFonts w:ascii="Arial" w:cs="Arial" w:eastAsia="Arial" w:hAnsi="Arial"/>
          <w:sz w:val="32"/>
          <w:szCs w:val="32"/>
          <w:b w:val="1"/>
          <w:bCs w:val="1"/>
          <w:color w:val="00AE4F"/>
          <w:vertAlign w:val="subscript"/>
        </w:rPr>
      </w:pPr>
      <w:r>
        <w:rPr>
          <w:rFonts w:ascii="Arial" w:cs="Arial" w:eastAsia="Arial" w:hAnsi="Arial"/>
          <w:sz w:val="11"/>
          <w:szCs w:val="11"/>
          <w:b w:val="1"/>
          <w:bCs w:val="1"/>
          <w:color w:val="00AE4F"/>
        </w:rPr>
        <w:t xml:space="preserve">Sustainability &amp; ESG </w:t>
      </w:r>
      <w:r>
        <w:rPr>
          <w:rFonts w:ascii="Arial" w:cs="Arial" w:eastAsia="Arial" w:hAnsi="Arial"/>
          <w:sz w:val="11"/>
          <w:szCs w:val="11"/>
          <w:color w:val="000000"/>
        </w:rPr>
        <w:t>experience with the development and</w:t>
      </w:r>
      <w:r>
        <w:rPr>
          <w:rFonts w:ascii="Arial" w:cs="Arial" w:eastAsia="Arial" w:hAnsi="Arial"/>
          <w:sz w:val="11"/>
          <w:szCs w:val="11"/>
          <w:b w:val="1"/>
          <w:bCs w:val="1"/>
          <w:color w:val="00AE4F"/>
        </w:rPr>
        <w:t xml:space="preserve"> </w:t>
      </w:r>
      <w:r>
        <w:rPr>
          <w:rFonts w:ascii="Arial" w:cs="Arial" w:eastAsia="Arial" w:hAnsi="Arial"/>
          <w:sz w:val="11"/>
          <w:szCs w:val="11"/>
          <w:color w:val="000000"/>
        </w:rPr>
        <w:t>oversight of an effective corporate responsibility strategy and practices that include social, climate, and environmental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91440</wp:posOffset>
            </wp:positionV>
            <wp:extent cx="30797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79750"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-356235</wp:posOffset>
            </wp:positionV>
            <wp:extent cx="30797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00AE4F"/>
        </w:rPr>
        <w:t xml:space="preserve">Mergers &amp; Acquisitions </w:t>
      </w:r>
      <w:r>
        <w:rPr>
          <w:rFonts w:ascii="Arial" w:cs="Arial" w:eastAsia="Arial" w:hAnsi="Arial"/>
          <w:sz w:val="13"/>
          <w:szCs w:val="13"/>
          <w:color w:val="000000"/>
        </w:rPr>
        <w:t>experience implementing organic and</w:t>
      </w:r>
    </w:p>
    <w:p>
      <w:pPr>
        <w:ind w:left="760"/>
        <w:spacing w:after="0" w:line="185" w:lineRule="auto"/>
        <w:rPr>
          <w:sz w:val="20"/>
          <w:szCs w:val="20"/>
          <w:color w:val="auto"/>
        </w:rPr>
      </w:pPr>
      <w:r>
        <w:rPr>
          <w:rFonts w:ascii="Arial" w:cs="Arial" w:eastAsia="Arial" w:hAnsi="Arial"/>
          <w:sz w:val="20"/>
          <w:szCs w:val="20"/>
          <w:b w:val="1"/>
          <w:bCs w:val="1"/>
          <w:color w:val="00AE4F"/>
        </w:rPr>
        <w:t xml:space="preserve">11 </w:t>
      </w:r>
      <w:r>
        <w:rPr>
          <w:rFonts w:ascii="Arial" w:cs="Arial" w:eastAsia="Arial" w:hAnsi="Arial"/>
          <w:sz w:val="10"/>
          <w:szCs w:val="10"/>
          <w:color w:val="000000"/>
        </w:rPr>
        <w:t>inorganic strategies to promote growth, identifying acquisition and</w:t>
      </w:r>
    </w:p>
    <w:p>
      <w:pPr>
        <w:ind w:left="1500"/>
        <w:spacing w:after="0"/>
        <w:rPr>
          <w:sz w:val="20"/>
          <w:szCs w:val="20"/>
          <w:color w:val="auto"/>
        </w:rPr>
      </w:pPr>
      <w:r>
        <w:rPr>
          <w:rFonts w:ascii="Arial" w:cs="Arial" w:eastAsia="Arial" w:hAnsi="Arial"/>
          <w:sz w:val="13"/>
          <w:szCs w:val="13"/>
          <w:color w:val="auto"/>
        </w:rPr>
        <w:t>business combination targets, analyzing cultural and strategic fit,</w:t>
      </w:r>
    </w:p>
    <w:p>
      <w:pPr>
        <w:ind w:left="1500"/>
        <w:spacing w:after="0"/>
        <w:rPr>
          <w:sz w:val="20"/>
          <w:szCs w:val="20"/>
          <w:color w:val="auto"/>
        </w:rPr>
      </w:pPr>
      <w:r>
        <w:rPr>
          <w:rFonts w:ascii="Arial" w:cs="Arial" w:eastAsia="Arial" w:hAnsi="Arial"/>
          <w:sz w:val="13"/>
          <w:szCs w:val="13"/>
          <w:color w:val="auto"/>
        </w:rPr>
        <w:t>and oversight of successful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28575</wp:posOffset>
            </wp:positionV>
            <wp:extent cx="6457950" cy="19691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57950" cy="196913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9"/>
          <w:szCs w:val="19"/>
          <w:color w:val="auto"/>
          <w:vertAlign w:val="superscript"/>
        </w:rPr>
        <w:t>16 </w:t>
      </w:r>
      <w:r>
        <w:rPr>
          <w:sz w:val="20"/>
          <w:szCs w:val="20"/>
          <w:color w:val="auto"/>
        </w:rPr>
        <w:tab/>
      </w:r>
      <w:r>
        <w:rPr>
          <w:rFonts w:ascii="Arial" w:cs="Arial" w:eastAsia="Arial" w:hAnsi="Arial"/>
          <w:sz w:val="12"/>
          <w:szCs w:val="12"/>
          <w:color w:val="auto"/>
        </w:rPr>
        <w:t xml:space="preserve">    </w:t>
      </w:r>
      <w:r>
        <w:rPr>
          <w:sz w:val="1"/>
          <w:szCs w:val="1"/>
          <w:color w:val="auto"/>
        </w:rPr>
        <w:drawing>
          <wp:inline distT="0" distB="0" distL="0" distR="0">
            <wp:extent cx="377825" cy="1809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-189865</wp:posOffset>
            </wp:positionV>
            <wp:extent cx="7620" cy="212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Proposal 1: Election of Directors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Biographical Information About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224790</wp:posOffset>
            </wp:positionV>
            <wp:extent cx="6379210" cy="15119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79210" cy="151193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-148590</wp:posOffset>
            </wp:positionV>
            <wp:extent cx="1520190" cy="905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20190" cy="905510"/>
                    </a:xfrm>
                    <a:prstGeom prst="rect">
                      <a:avLst/>
                    </a:prstGeom>
                    <a:noFill/>
                  </pic:spPr>
                </pic:pic>
              </a:graphicData>
            </a:graphic>
          </wp:anchor>
        </w:drawing>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Acumen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25"/>
        </w:numPr>
        <w:rPr>
          <w:rFonts w:ascii="Times New Roman" w:cs="Times New Roman" w:eastAsia="Times New Roman" w:hAnsi="Times New Roman"/>
          <w:sz w:val="12"/>
          <w:szCs w:val="12"/>
          <w:color w:val="00AE4F"/>
        </w:rPr>
      </w:pPr>
      <w:r>
        <w:rPr>
          <w:rFonts w:ascii="Arial" w:cs="Arial" w:eastAsia="Arial" w:hAnsi="Arial"/>
          <w:sz w:val="15"/>
          <w:szCs w:val="15"/>
          <w:color w:val="auto"/>
        </w:rPr>
        <w:t>Corporate Governance and Nominating (Chair)</w:t>
      </w:r>
    </w:p>
    <w:p>
      <w:pPr>
        <w:spacing w:after="0" w:line="15"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5"/>
        </w:numPr>
        <w:rPr>
          <w:rFonts w:ascii="Times New Roman" w:cs="Times New Roman" w:eastAsia="Times New Roman" w:hAnsi="Times New Roman"/>
          <w:sz w:val="12"/>
          <w:szCs w:val="12"/>
          <w:color w:val="00AE4F"/>
        </w:rPr>
      </w:pPr>
      <w:r>
        <w:rPr>
          <w:rFonts w:ascii="Arial" w:cs="Arial" w:eastAsia="Arial" w:hAnsi="Arial"/>
          <w:sz w:val="15"/>
          <w:szCs w:val="15"/>
          <w:color w:val="auto"/>
        </w:rPr>
        <w:t>Compensation and Talent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63"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Chief Executive Officer, Hunt Companies, Inc. (2015 – present)</w:t>
      </w:r>
    </w:p>
    <w:p>
      <w:pPr>
        <w:spacing w:after="0" w:line="15"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Chief Operating Officer, Hunt Companies (2013 – 2015)</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Executive, Hunt Development Group (1993 – 2013)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Hunt Companies (2001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Amber Infrastructure Group (2015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Envolve (formerly LEDIC Realty Company) (2015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Lument Finance Trust (2018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Moss &amp; Associates (2014 – present)</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63" w:lineRule="exact"/>
        <w:rPr>
          <w:sz w:val="20"/>
          <w:szCs w:val="20"/>
          <w:color w:val="auto"/>
        </w:rPr>
      </w:pPr>
    </w:p>
    <w:p>
      <w:pPr>
        <w:ind w:left="180" w:hanging="174"/>
        <w:spacing w:after="0"/>
        <w:tabs>
          <w:tab w:leader="none" w:pos="180" w:val="left"/>
        </w:tabs>
        <w:numPr>
          <w:ilvl w:val="0"/>
          <w:numId w:val="27"/>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Texas at Austin, BS in economics</w:t>
      </w:r>
    </w:p>
    <w:p>
      <w:pPr>
        <w:spacing w:after="0" w:line="15"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7"/>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Texas at Austin, MBA in Finance</w:t>
      </w:r>
    </w:p>
    <w:p>
      <w:pPr>
        <w:spacing w:after="0" w:line="62"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On January 30, 2026, Mr. Hunt was appointed Chairman of the Board at Kelly Services, Inc. He has served as Chief Executive Officer of Hunt Companies, Inc. since 2015 and is an active member of its Board of Directors and a member of the firm’s executive investment committees. In addition to his role at Hunt Companies, Mr. Hunt serves on the boards of several affiliated entities, including Amber Infrastructure Group, Envolve (formerly LEDIC Realty Company), Hunt Companies Finance Trust (formerly Five Oaks), and Moss &amp; Associates. Mr. Hunt began his career at Hunt Companies in 1993 and has held a variety of leadership positions throughout his tenure. Before he was appointed CEO, he served successively as President, Chief Operating Officer, and then CEO of Hunt Development Group. His executive leadership and business perspective further strengthen the Kelly board.</w:t>
      </w:r>
    </w:p>
    <w:p>
      <w:pPr>
        <w:spacing w:after="0" w:line="1697" w:lineRule="exact"/>
        <w:rPr>
          <w:sz w:val="20"/>
          <w:szCs w:val="20"/>
          <w:color w:val="auto"/>
        </w:rPr>
      </w:pPr>
    </w:p>
    <w:p>
      <w:pPr>
        <w:sectPr>
          <w:pgSz w:w="11900" w:h="16838" w:orient="portrait"/>
          <w:cols w:equalWidth="0" w:num="2">
            <w:col w:w="2860" w:space="240"/>
            <w:col w:w="7580"/>
          </w:cols>
          <w:pgMar w:left="320" w:top="454" w:right="899" w:bottom="1440" w:gutter="0" w:footer="0" w:header="0"/>
          <w:type w:val="continuous"/>
        </w:sect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73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6" w:lineRule="exact"/>
        <w:rPr>
          <w:sz w:val="20"/>
          <w:szCs w:val="20"/>
          <w:color w:val="auto"/>
        </w:rPr>
      </w:pPr>
    </w:p>
    <w:p>
      <w:pPr>
        <w:jc w:val="center"/>
        <w:ind w:left="20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93345</wp:posOffset>
            </wp:positionV>
            <wp:extent cx="1511935" cy="15119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12363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20190" cy="123634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Industry</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Technology/Digitization/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Cybersecurity</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Acumen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Sustainability/ESG</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150495</wp:posOffset>
            </wp:positionV>
            <wp:extent cx="1520190" cy="2867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2019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Technology/Digitization/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Cybersecurity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 Governance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Sustainability &amp; ESG</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0"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18 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-203835</wp:posOffset>
            </wp:positionV>
            <wp:extent cx="7620" cy="212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-1495425</wp:posOffset>
            </wp:positionV>
            <wp:extent cx="7184390" cy="520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-802005</wp:posOffset>
            </wp:positionV>
            <wp:extent cx="4765040" cy="661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43" w:lineRule="exact"/>
        <w:rPr>
          <w:sz w:val="20"/>
          <w:szCs w:val="20"/>
          <w:color w:val="auto"/>
        </w:rPr>
      </w:pPr>
    </w:p>
    <w:p>
      <w:pPr>
        <w:ind w:left="180" w:hanging="174"/>
        <w:spacing w:after="0"/>
        <w:tabs>
          <w:tab w:leader="none" w:pos="180" w:val="left"/>
        </w:tabs>
        <w:numPr>
          <w:ilvl w:val="0"/>
          <w:numId w:val="28"/>
        </w:numPr>
        <w:rPr>
          <w:rFonts w:ascii="Times New Roman" w:cs="Times New Roman" w:eastAsia="Times New Roman" w:hAnsi="Times New Roman"/>
          <w:sz w:val="12"/>
          <w:szCs w:val="12"/>
          <w:color w:val="00AE4F"/>
        </w:rPr>
      </w:pPr>
      <w:r>
        <w:rPr>
          <w:rFonts w:ascii="Arial" w:cs="Arial" w:eastAsia="Arial" w:hAnsi="Arial"/>
          <w:sz w:val="15"/>
          <w:szCs w:val="15"/>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29"/>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and Chief Executive Officer, Kelly Services, Inc. (2025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9"/>
        </w:numPr>
        <w:rPr>
          <w:rFonts w:ascii="Times New Roman" w:cs="Times New Roman" w:eastAsia="Times New Roman" w:hAnsi="Times New Roman"/>
          <w:sz w:val="12"/>
          <w:szCs w:val="12"/>
          <w:color w:val="00AE4F"/>
        </w:rPr>
      </w:pPr>
      <w:r>
        <w:rPr>
          <w:rFonts w:ascii="Arial" w:cs="Arial" w:eastAsia="Arial" w:hAnsi="Arial"/>
          <w:sz w:val="15"/>
          <w:szCs w:val="15"/>
          <w:color w:val="auto"/>
        </w:rPr>
        <w:t>Chief Operating Officer, Prolink (2023 – 2025)</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29"/>
        </w:numPr>
        <w:rPr>
          <w:rFonts w:ascii="Times New Roman" w:cs="Times New Roman" w:eastAsia="Times New Roman" w:hAnsi="Times New Roman"/>
          <w:sz w:val="12"/>
          <w:szCs w:val="12"/>
          <w:color w:val="00AE4F"/>
        </w:rPr>
      </w:pPr>
      <w:r>
        <w:rPr>
          <w:rFonts w:ascii="Arial" w:cs="Arial" w:eastAsia="Arial" w:hAnsi="Arial"/>
          <w:sz w:val="15"/>
          <w:szCs w:val="15"/>
          <w:color w:val="auto"/>
        </w:rPr>
        <w:t>Vice President, General Manager, Global Industry Leader ManpowerGroup (2004 – 2023)</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30"/>
        </w:numPr>
        <w:rPr>
          <w:rFonts w:ascii="Times New Roman" w:cs="Times New Roman" w:eastAsia="Times New Roman" w:hAnsi="Times New Roman"/>
          <w:sz w:val="12"/>
          <w:szCs w:val="12"/>
          <w:color w:val="00AE4F"/>
        </w:rPr>
      </w:pPr>
      <w:r>
        <w:rPr>
          <w:rFonts w:ascii="Arial" w:cs="Arial" w:eastAsia="Arial" w:hAnsi="Arial"/>
          <w:sz w:val="15"/>
          <w:szCs w:val="15"/>
          <w:color w:val="auto"/>
        </w:rPr>
        <w:t>Boston College, BA, Philosophy</w:t>
      </w:r>
    </w:p>
    <w:p>
      <w:pPr>
        <w:spacing w:after="0" w:line="62" w:lineRule="exact"/>
        <w:rPr>
          <w:sz w:val="20"/>
          <w:szCs w:val="20"/>
          <w:color w:val="auto"/>
        </w:rPr>
      </w:pPr>
    </w:p>
    <w:p>
      <w:pPr>
        <w:ind w:right="60"/>
        <w:spacing w:after="0" w:line="245" w:lineRule="auto"/>
        <w:rPr>
          <w:sz w:val="20"/>
          <w:szCs w:val="20"/>
          <w:color w:val="auto"/>
        </w:rPr>
      </w:pPr>
      <w:r>
        <w:rPr>
          <w:rFonts w:ascii="Arial" w:cs="Arial" w:eastAsia="Arial" w:hAnsi="Arial"/>
          <w:sz w:val="15"/>
          <w:szCs w:val="15"/>
          <w:color w:val="auto"/>
        </w:rPr>
        <w:t>Mr. Layden was appointed President and Chief Executive Officer of Kelly Services, Inc. in September 2025. A dynamic leader with over 20 years of industry experience, he has a proven record of transforming businesses and driving profitable growth through effective go-to-market strategies. Prior to Kelly, Mr. Layden served as COO at Prolink, a workforce solutions provider specializing in healthcare, technology, and skilled labor. He also spent nearly two decades at ManpowerGroup in various senior leadership roles encompassing general management, regional leadership, corporate strategy, and sales. Mr. Layden is a member of The Aspen Institute’s 2026 Class of Henry Crown Fellows and serves on the Board of Directors for the American Staffing Association, Business Leaders for Michigan, and the Detroit Economic Club. He brings proven leadership, industry expertise, and business acumen to the Kelly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308610</wp:posOffset>
            </wp:positionV>
            <wp:extent cx="4765040" cy="661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31"/>
        </w:numPr>
        <w:rPr>
          <w:rFonts w:ascii="Times New Roman" w:cs="Times New Roman" w:eastAsia="Times New Roman" w:hAnsi="Times New Roman"/>
          <w:sz w:val="12"/>
          <w:szCs w:val="12"/>
          <w:color w:val="00AE4F"/>
        </w:rPr>
      </w:pPr>
      <w:r>
        <w:rPr>
          <w:rFonts w:ascii="Arial" w:cs="Arial" w:eastAsia="Arial" w:hAnsi="Arial"/>
          <w:sz w:val="15"/>
          <w:szCs w:val="15"/>
          <w:color w:val="auto"/>
        </w:rPr>
        <w:t>Corporate Governance and Nominating</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External Board Member, Hunt Companies, Inc. (2019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Bowhead Specialty Holdings Inc. and predecessor (2020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Founder &amp; CEO, B.O.A.R.D.S. (board governance consultancy) (2013 – 2023)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Trustee, Guggenheim Funds Trusts (2016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Trustee, Mutual Fund Directors Forum (2022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Chair, Global X Venture Fund (2025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2"/>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Infinity Property &amp; Casualty (2014 –2018)</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California, Los Angeles, JD/MBA</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3"/>
        </w:numPr>
        <w:rPr>
          <w:rFonts w:ascii="Times New Roman" w:cs="Times New Roman" w:eastAsia="Times New Roman" w:hAnsi="Times New Roman"/>
          <w:sz w:val="12"/>
          <w:szCs w:val="12"/>
          <w:color w:val="00AE4F"/>
        </w:rPr>
      </w:pPr>
      <w:r>
        <w:rPr>
          <w:rFonts w:ascii="Arial" w:cs="Arial" w:eastAsia="Arial" w:hAnsi="Arial"/>
          <w:sz w:val="15"/>
          <w:szCs w:val="15"/>
          <w:color w:val="auto"/>
        </w:rPr>
        <w:t>California State University, East Bay, BS, Finance and Marketing</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3"/>
        </w:numPr>
        <w:rPr>
          <w:rFonts w:ascii="Times New Roman" w:cs="Times New Roman" w:eastAsia="Times New Roman" w:hAnsi="Times New Roman"/>
          <w:sz w:val="12"/>
          <w:szCs w:val="12"/>
          <w:color w:val="00AE4F"/>
        </w:rPr>
      </w:pPr>
      <w:r>
        <w:rPr>
          <w:rFonts w:ascii="Arial" w:cs="Arial" w:eastAsia="Arial" w:hAnsi="Arial"/>
          <w:sz w:val="15"/>
          <w:szCs w:val="15"/>
          <w:color w:val="auto"/>
        </w:rPr>
        <w:t>NACD Certified Director</w:t>
      </w:r>
    </w:p>
    <w:p>
      <w:pPr>
        <w:spacing w:after="0" w:line="6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Ms. Brock-Kyle joined the Board in January 2026. She is an accomplished independent director and trustee, holding the CFE credential with more than 35 years of corporate experience and governance expertise on diverse boards and committees. Her specialties encompass financial statement analysis, strategic planning, due diligence, enterprise risk management, brand management, and portfolio management. Her leadership and contributions to governance have earned her recognition as a “Director to Watch” and inclusion in the NACD Directorship 100 as an influential director. Ms. Brock-Kyle currently serves on the Boards of Hunt Companies Inc., Guggenheim Funds, Bowhead Specialty Holdings Inc. (BOW), the Global X Venture Fund, and the MFDF (formerly Mutual Fund Directors Forum). She is passionate about elevating board performance, promoting best practices, and fostering collaboration among stakeholders, consistently driving positive outcomes in the organizations she serves.</w:t>
      </w:r>
    </w:p>
    <w:p>
      <w:pPr>
        <w:sectPr>
          <w:pgSz w:w="11900" w:h="16838" w:orient="portrait"/>
          <w:cols w:equalWidth="0" w:num="2">
            <w:col w:w="2860" w:space="240"/>
            <w:col w:w="7540"/>
          </w:cols>
          <w:pgMar w:left="320" w:top="454"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369570</wp:posOffset>
            </wp:positionV>
            <wp:extent cx="1511935" cy="1511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10871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20190" cy="108712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Industry</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 Governance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212090</wp:posOffset>
            </wp:positionV>
            <wp:extent cx="1511935" cy="15119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1417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20190" cy="1417955"/>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Industry</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Technology/Digitization /</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Cybersecurity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Acumen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 Governance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Sustainability/ESG</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-598805</wp:posOffset>
            </wp:positionV>
            <wp:extent cx="7184390" cy="52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93980</wp:posOffset>
            </wp:positionV>
            <wp:extent cx="4765040" cy="661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34"/>
        </w:numPr>
        <w:rPr>
          <w:rFonts w:ascii="Times New Roman" w:cs="Times New Roman" w:eastAsia="Times New Roman" w:hAnsi="Times New Roman"/>
          <w:sz w:val="12"/>
          <w:szCs w:val="12"/>
          <w:color w:val="00AE4F"/>
        </w:rPr>
      </w:pPr>
      <w:r>
        <w:rPr>
          <w:rFonts w:ascii="Arial" w:cs="Arial" w:eastAsia="Arial" w:hAnsi="Arial"/>
          <w:sz w:val="15"/>
          <w:szCs w:val="15"/>
          <w:color w:val="auto"/>
        </w:rPr>
        <w:t>Audit</w:t>
      </w:r>
    </w:p>
    <w:p>
      <w:pPr>
        <w:spacing w:after="0" w:line="15"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4"/>
        </w:numPr>
        <w:rPr>
          <w:rFonts w:ascii="Times New Roman" w:cs="Times New Roman" w:eastAsia="Times New Roman" w:hAnsi="Times New Roman"/>
          <w:sz w:val="12"/>
          <w:szCs w:val="12"/>
          <w:color w:val="00AE4F"/>
        </w:rPr>
      </w:pPr>
      <w:r>
        <w:rPr>
          <w:rFonts w:ascii="Arial" w:cs="Arial" w:eastAsia="Arial" w:hAnsi="Arial"/>
          <w:sz w:val="15"/>
          <w:szCs w:val="15"/>
          <w:color w:val="auto"/>
        </w:rPr>
        <w:t>Compensation and Talent Management (Chair)</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35"/>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Huntington Bancshares Incorporated (2017 – 2023)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5"/>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First Merit Corporation (2013 – 2017)</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5"/>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Citizens Republic Bancorp (2008 – 2013)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5"/>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President and Chief Executive Officer, Meadowbrook Insurance Group, Inc. (2002 – 2016)</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36"/>
        </w:numPr>
        <w:rPr>
          <w:rFonts w:ascii="Times New Roman" w:cs="Times New Roman" w:eastAsia="Times New Roman" w:hAnsi="Times New Roman"/>
          <w:sz w:val="12"/>
          <w:szCs w:val="12"/>
          <w:color w:val="00AE4F"/>
        </w:rPr>
      </w:pPr>
      <w:r>
        <w:rPr>
          <w:rFonts w:ascii="Arial" w:cs="Arial" w:eastAsia="Arial" w:hAnsi="Arial"/>
          <w:sz w:val="15"/>
          <w:szCs w:val="15"/>
          <w:color w:val="auto"/>
        </w:rPr>
        <w:t>Detroit College of Law, JD</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6"/>
        </w:numPr>
        <w:rPr>
          <w:rFonts w:ascii="Times New Roman" w:cs="Times New Roman" w:eastAsia="Times New Roman" w:hAnsi="Times New Roman"/>
          <w:sz w:val="12"/>
          <w:szCs w:val="12"/>
          <w:color w:val="00AE4F"/>
        </w:rPr>
      </w:pPr>
      <w:r>
        <w:rPr>
          <w:rFonts w:ascii="Arial" w:cs="Arial" w:eastAsia="Arial" w:hAnsi="Arial"/>
          <w:sz w:val="15"/>
          <w:szCs w:val="15"/>
          <w:color w:val="auto"/>
        </w:rPr>
        <w:t>Wayne State University, BA, Psychology</w:t>
      </w:r>
    </w:p>
    <w:p>
      <w:pPr>
        <w:spacing w:after="0" w:line="62"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Mr. Cubbin is an attorney with 31 years of experience in insurance law. In 2016, he retired as President and Chief Executive Officer following a 30-year career with Meadowbrook Insurance Group. He previously served on the board of directors of three large publicly held companies. Mr. Cubbin is an experienced director with broad-ranging experience in legal, insurance, enterprise risk management, accounting, actuarial, investment, underwriting, reinsurance, and claims. The Board determined that Mr. Cubbin qualifies as an “audit committee financial expert” within the meaning of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447040</wp:posOffset>
            </wp:positionV>
            <wp:extent cx="4765040" cy="661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37"/>
        </w:numPr>
        <w:rPr>
          <w:rFonts w:ascii="Times New Roman" w:cs="Times New Roman" w:eastAsia="Times New Roman" w:hAnsi="Times New Roman"/>
          <w:sz w:val="12"/>
          <w:szCs w:val="12"/>
          <w:color w:val="00AE4F"/>
        </w:rPr>
      </w:pPr>
      <w:r>
        <w:rPr>
          <w:rFonts w:ascii="Arial" w:cs="Arial" w:eastAsia="Arial" w:hAnsi="Arial"/>
          <w:sz w:val="15"/>
          <w:szCs w:val="15"/>
          <w:color w:val="auto"/>
        </w:rPr>
        <w:t>Audit</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38"/>
        </w:numPr>
        <w:rPr>
          <w:rFonts w:ascii="Times New Roman" w:cs="Times New Roman" w:eastAsia="Times New Roman" w:hAnsi="Times New Roman"/>
          <w:sz w:val="12"/>
          <w:szCs w:val="12"/>
          <w:color w:val="00AE4F"/>
        </w:rPr>
      </w:pPr>
      <w:r>
        <w:rPr>
          <w:rFonts w:ascii="Arial" w:cs="Arial" w:eastAsia="Arial" w:hAnsi="Arial"/>
          <w:sz w:val="15"/>
          <w:szCs w:val="15"/>
          <w:color w:val="auto"/>
        </w:rPr>
        <w:t>Chief Digital Officer and Chief Technology Officer, Delta Air ines (2026 – present)</w:t>
      </w:r>
    </w:p>
    <w:p>
      <w:pPr>
        <w:spacing w:after="0" w:line="1" w:lineRule="exact"/>
        <w:rPr>
          <w:rFonts w:ascii="Times New Roman" w:cs="Times New Roman" w:eastAsia="Times New Roman" w:hAnsi="Times New Roman"/>
          <w:sz w:val="12"/>
          <w:szCs w:val="12"/>
          <w:color w:val="00AE4F"/>
        </w:rPr>
      </w:pPr>
    </w:p>
    <w:p>
      <w:pPr>
        <w:ind w:left="180" w:hanging="174"/>
        <w:spacing w:after="0" w:line="241" w:lineRule="auto"/>
        <w:tabs>
          <w:tab w:leader="none" w:pos="180" w:val="left"/>
        </w:tabs>
        <w:numPr>
          <w:ilvl w:val="0"/>
          <w:numId w:val="38"/>
        </w:numPr>
        <w:rPr>
          <w:rFonts w:ascii="Times New Roman" w:cs="Times New Roman" w:eastAsia="Times New Roman" w:hAnsi="Times New Roman"/>
          <w:sz w:val="12"/>
          <w:szCs w:val="12"/>
          <w:color w:val="00AE4F"/>
        </w:rPr>
      </w:pPr>
      <w:r>
        <w:rPr>
          <w:rFonts w:ascii="Arial" w:cs="Arial" w:eastAsia="Arial" w:hAnsi="Arial"/>
          <w:sz w:val="15"/>
          <w:szCs w:val="15"/>
          <w:color w:val="auto"/>
        </w:rPr>
        <w:t>Executive Vice President and Chief Information Officer, United Services Automobile Association (USAA) (2022 – 2026)</w:t>
      </w:r>
    </w:p>
    <w:p>
      <w:pPr>
        <w:ind w:left="180" w:hanging="174"/>
        <w:spacing w:after="0"/>
        <w:tabs>
          <w:tab w:leader="none" w:pos="180" w:val="left"/>
        </w:tabs>
        <w:numPr>
          <w:ilvl w:val="0"/>
          <w:numId w:val="38"/>
        </w:numPr>
        <w:rPr>
          <w:rFonts w:ascii="Times New Roman" w:cs="Times New Roman" w:eastAsia="Times New Roman" w:hAnsi="Times New Roman"/>
          <w:sz w:val="11"/>
          <w:szCs w:val="11"/>
          <w:color w:val="00AE4F"/>
        </w:rPr>
      </w:pPr>
      <w:r>
        <w:rPr>
          <w:rFonts w:ascii="Arial" w:cs="Arial" w:eastAsia="Arial" w:hAnsi="Arial"/>
          <w:sz w:val="14"/>
          <w:szCs w:val="14"/>
          <w:color w:val="auto"/>
        </w:rPr>
        <w:t>Senior Executive Vice President, Chief Operations and Technology Officer, Regions Financial Corporation (2017</w:t>
      </w:r>
    </w:p>
    <w:p>
      <w:pPr>
        <w:spacing w:after="0" w:line="12" w:lineRule="exact"/>
        <w:rPr>
          <w:rFonts w:ascii="Times New Roman" w:cs="Times New Roman" w:eastAsia="Times New Roman" w:hAnsi="Times New Roman"/>
          <w:sz w:val="11"/>
          <w:szCs w:val="11"/>
          <w:color w:val="00AE4F"/>
        </w:rPr>
      </w:pPr>
    </w:p>
    <w:p>
      <w:pPr>
        <w:ind w:left="180"/>
        <w:spacing w:after="0"/>
        <w:rPr>
          <w:rFonts w:ascii="Times New Roman" w:cs="Times New Roman" w:eastAsia="Times New Roman" w:hAnsi="Times New Roman"/>
          <w:sz w:val="11"/>
          <w:szCs w:val="11"/>
          <w:color w:val="00AE4F"/>
        </w:rPr>
      </w:pPr>
      <w:r>
        <w:rPr>
          <w:rFonts w:ascii="Arial" w:cs="Arial" w:eastAsia="Arial" w:hAnsi="Arial"/>
          <w:sz w:val="15"/>
          <w:szCs w:val="15"/>
          <w:color w:val="auto"/>
        </w:rPr>
        <w:t>– 2021)</w:t>
      </w:r>
    </w:p>
    <w:p>
      <w:pPr>
        <w:spacing w:after="0" w:line="1" w:lineRule="exact"/>
        <w:rPr>
          <w:rFonts w:ascii="Times New Roman" w:cs="Times New Roman" w:eastAsia="Times New Roman" w:hAnsi="Times New Roman"/>
          <w:sz w:val="11"/>
          <w:szCs w:val="11"/>
          <w:color w:val="00AE4F"/>
        </w:rPr>
      </w:pPr>
    </w:p>
    <w:p>
      <w:pPr>
        <w:ind w:left="180" w:hanging="174"/>
        <w:spacing w:after="0"/>
        <w:tabs>
          <w:tab w:leader="none" w:pos="180" w:val="left"/>
        </w:tabs>
        <w:numPr>
          <w:ilvl w:val="0"/>
          <w:numId w:val="38"/>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Innovation Depot (2021)</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8"/>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Techbridge, Inc. (2016 - 2020)</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39"/>
        </w:numPr>
        <w:rPr>
          <w:rFonts w:ascii="Times New Roman" w:cs="Times New Roman" w:eastAsia="Times New Roman" w:hAnsi="Times New Roman"/>
          <w:sz w:val="12"/>
          <w:szCs w:val="12"/>
          <w:color w:val="00AE4F"/>
        </w:rPr>
      </w:pPr>
      <w:r>
        <w:rPr>
          <w:rFonts w:ascii="Arial" w:cs="Arial" w:eastAsia="Arial" w:hAnsi="Arial"/>
          <w:sz w:val="15"/>
          <w:szCs w:val="15"/>
          <w:color w:val="auto"/>
        </w:rPr>
        <w:t>Columbia University, MS, Technology Management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9"/>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Nebraska at Omaha, MBA, International Business</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39"/>
        </w:numPr>
        <w:rPr>
          <w:rFonts w:ascii="Times New Roman" w:cs="Times New Roman" w:eastAsia="Times New Roman" w:hAnsi="Times New Roman"/>
          <w:sz w:val="12"/>
          <w:szCs w:val="12"/>
          <w:color w:val="00AE4F"/>
        </w:rPr>
      </w:pPr>
      <w:r>
        <w:rPr>
          <w:rFonts w:ascii="Arial" w:cs="Arial" w:eastAsia="Arial" w:hAnsi="Arial"/>
          <w:sz w:val="15"/>
          <w:szCs w:val="15"/>
          <w:color w:val="auto"/>
        </w:rPr>
        <w:t>Osmania University, BS, Electronics and Communications Engineering</w:t>
      </w:r>
    </w:p>
    <w:p>
      <w:pPr>
        <w:spacing w:after="0" w:line="6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Ms. Duggirala joined our Board in January 2022 with more than 25 years of experience in the telecommunications, payments, and banking industries. She is a renowned digital transformation and technology strategist with skills in large-scale strategic product delivery, technical innovation, and complex financial management. She brings to the Board a wealth of knowledge in integrations, strategic planning, product development, operations, engineering, data management, and cybersecurity. Ms. Duggirala has significant cybersecurity experience from working in a variety of information technology and data analytics roles, including Chief Operations and Technology Officer at Regions Bank and Chief Technology Officer at other large fintech firms. In 2021, Ms. Duggirala was named one of the top 50 CIOs by Forbes and received the distinguished Outstanding 50 Asian Americans in Business Award in 2022. She was also recognized as one of the most influential women in payments in Alabama in previous years.</w:t>
      </w:r>
    </w:p>
    <w:p>
      <w:pPr>
        <w:spacing w:after="0" w:line="200" w:lineRule="exact"/>
        <w:rPr>
          <w:sz w:val="20"/>
          <w:szCs w:val="20"/>
          <w:color w:val="auto"/>
        </w:rPr>
      </w:pPr>
    </w:p>
    <w:p>
      <w:pPr>
        <w:sectPr>
          <w:pgSz w:w="11900" w:h="16838" w:orient="portrait"/>
          <w:cols w:equalWidth="0" w:num="2">
            <w:col w:w="2860" w:space="240"/>
            <w:col w:w="7580"/>
          </w:cols>
          <w:pgMar w:left="320" w:top="454" w:right="899" w:bottom="1440" w:gutter="0" w:footer="0" w:header="0"/>
        </w:sectPr>
      </w:pPr>
    </w:p>
    <w:p>
      <w:pPr>
        <w:spacing w:after="0" w:line="357"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73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6" w:lineRule="exact"/>
        <w:rPr>
          <w:sz w:val="20"/>
          <w:szCs w:val="20"/>
          <w:color w:val="auto"/>
        </w:rPr>
      </w:pPr>
    </w:p>
    <w:p>
      <w:pPr>
        <w:jc w:val="center"/>
        <w:ind w:left="20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93345</wp:posOffset>
            </wp:positionV>
            <wp:extent cx="1511935" cy="1511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13970</wp:posOffset>
            </wp:positionV>
            <wp:extent cx="1520190" cy="6457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20190" cy="645795"/>
                    </a:xfrm>
                    <a:prstGeom prst="rect">
                      <a:avLst/>
                    </a:prstGeom>
                    <a:noFill/>
                  </pic:spPr>
                </pic:pic>
              </a:graphicData>
            </a:graphic>
          </wp:anchor>
        </w:drawing>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4"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20 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-211455</wp:posOffset>
            </wp:positionV>
            <wp:extent cx="7620" cy="212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-1495425</wp:posOffset>
            </wp:positionV>
            <wp:extent cx="7184390" cy="520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-802005</wp:posOffset>
            </wp:positionV>
            <wp:extent cx="4765040" cy="661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38" w:lineRule="exact"/>
        <w:rPr>
          <w:sz w:val="20"/>
          <w:szCs w:val="20"/>
          <w:color w:val="auto"/>
        </w:rPr>
      </w:pPr>
    </w:p>
    <w:p>
      <w:pPr>
        <w:ind w:left="180" w:hanging="174"/>
        <w:spacing w:after="0"/>
        <w:tabs>
          <w:tab w:leader="none" w:pos="180" w:val="left"/>
        </w:tabs>
        <w:numPr>
          <w:ilvl w:val="0"/>
          <w:numId w:val="40"/>
        </w:numPr>
        <w:rPr>
          <w:rFonts w:ascii="Times New Roman" w:cs="Times New Roman" w:eastAsia="Times New Roman" w:hAnsi="Times New Roman"/>
          <w:sz w:val="12"/>
          <w:szCs w:val="12"/>
          <w:color w:val="00AE4F"/>
        </w:rPr>
      </w:pPr>
      <w:r>
        <w:rPr>
          <w:rFonts w:ascii="Arial" w:cs="Arial" w:eastAsia="Arial" w:hAnsi="Arial"/>
          <w:sz w:val="14"/>
          <w:szCs w:val="14"/>
          <w:color w:val="auto"/>
        </w:rPr>
        <w:t>Compensation and Talent Management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ind w:left="180" w:hanging="174"/>
        <w:spacing w:after="0" w:line="237"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President and CEO, High Desert Capital (2010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Chairman, El Paso Electric Company (2013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External Board Member, Hunt Companies, Inc. (2020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Vice Chairman, WestStar Bank (2014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Executive Vice President &amp; Chief Financial Officer, C&amp;R Distributing (2008 – 2013)</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Secretary &amp; Chief Financial Officer, Petro Stopping Centers, L.P. (2002 – 2007)</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Advisory Board Member, Transtelco, Inc. (2021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Director, Medical Center of the Americas Foundation (2006 – present)</w:t>
      </w:r>
    </w:p>
    <w:p>
      <w:pPr>
        <w:ind w:left="180" w:hanging="174"/>
        <w:spacing w:after="0" w:line="221"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Executive Committee Member, Texas Business Leadership Council (2016 – present)</w:t>
      </w:r>
    </w:p>
    <w:p>
      <w:pPr>
        <w:ind w:left="180" w:right="2860" w:hanging="174"/>
        <w:spacing w:after="0" w:line="238" w:lineRule="auto"/>
        <w:tabs>
          <w:tab w:leader="none" w:pos="180" w:val="left"/>
        </w:tabs>
        <w:numPr>
          <w:ilvl w:val="0"/>
          <w:numId w:val="41"/>
        </w:numPr>
        <w:rPr>
          <w:rFonts w:ascii="Times New Roman" w:cs="Times New Roman" w:eastAsia="Times New Roman" w:hAnsi="Times New Roman"/>
          <w:sz w:val="12"/>
          <w:szCs w:val="12"/>
          <w:color w:val="00AE4F"/>
        </w:rPr>
      </w:pPr>
      <w:r>
        <w:rPr>
          <w:rFonts w:ascii="Arial" w:cs="Arial" w:eastAsia="Arial" w:hAnsi="Arial"/>
          <w:sz w:val="14"/>
          <w:szCs w:val="14"/>
          <w:color w:val="auto"/>
        </w:rPr>
        <w:t>Member, University of Texas Chancellor’s Council Executive Committee (2022 – present)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 w:lineRule="exact"/>
        <w:rPr>
          <w:sz w:val="20"/>
          <w:szCs w:val="20"/>
          <w:color w:val="auto"/>
        </w:rPr>
      </w:pPr>
    </w:p>
    <w:p>
      <w:pPr>
        <w:ind w:left="180" w:hanging="174"/>
        <w:spacing w:after="0"/>
        <w:tabs>
          <w:tab w:leader="none" w:pos="180" w:val="left"/>
        </w:tabs>
        <w:numPr>
          <w:ilvl w:val="0"/>
          <w:numId w:val="42"/>
        </w:numPr>
        <w:rPr>
          <w:rFonts w:ascii="Times New Roman" w:cs="Times New Roman" w:eastAsia="Times New Roman" w:hAnsi="Times New Roman"/>
          <w:sz w:val="12"/>
          <w:szCs w:val="12"/>
          <w:color w:val="00AE4F"/>
        </w:rPr>
      </w:pPr>
      <w:r>
        <w:rPr>
          <w:rFonts w:ascii="Arial" w:cs="Arial" w:eastAsia="Arial" w:hAnsi="Arial"/>
          <w:sz w:val="14"/>
          <w:szCs w:val="14"/>
          <w:color w:val="auto"/>
        </w:rPr>
        <w:t>University of Texas at El Paso, BBA, Accounting</w:t>
      </w:r>
    </w:p>
    <w:p>
      <w:pPr>
        <w:spacing w:after="0" w:line="48" w:lineRule="exact"/>
        <w:rPr>
          <w:sz w:val="20"/>
          <w:szCs w:val="20"/>
          <w:color w:val="auto"/>
        </w:rPr>
      </w:pPr>
    </w:p>
    <w:p>
      <w:pPr>
        <w:ind w:left="80"/>
        <w:spacing w:after="0" w:line="227" w:lineRule="auto"/>
        <w:rPr>
          <w:sz w:val="20"/>
          <w:szCs w:val="20"/>
          <w:color w:val="auto"/>
        </w:rPr>
      </w:pPr>
      <w:r>
        <w:rPr>
          <w:rFonts w:ascii="Arial" w:cs="Arial" w:eastAsia="Arial" w:hAnsi="Arial"/>
          <w:sz w:val="14"/>
          <w:szCs w:val="14"/>
          <w:color w:val="auto"/>
        </w:rPr>
        <w:t>Mr. Escudero joined the Board in January 2026. He is the President and CEO of High Desert Capital, an El Paso-based small business financing company, and Vice Chairman of WestStar Bank. He previously served as Executive Vice President and CFO of C&amp;R Distributing and as Secretary and CFO of Petro Stopping Centers, L.P. Mr. Escudero is Chairman of the El Paso Electric Company and serves on the boards of Flo Networks, the Medical Center of the Americas Foundation, the Hospitals of Providence Memorial &amp; Sierra Campuses, Paso del Norte Community Foundation, and a range of other civic and business organizations. Mr. Escudero has received several awards that recognize his achievements and philanthropic efforts, including the UTEP Distinguished Alumni in 2023, Lucy G. Acosta Humanitarian Award in 2020, the Community Spirit Award in 2015, El Paso Business Hall of Fame Award in 2014, the Hispanos Triunfadores Award in 2013, and the UTEP Gold Nugget Award in 2012.</w:t>
      </w:r>
    </w:p>
    <w:p>
      <w:pPr>
        <w:sectPr>
          <w:pgSz w:w="11900" w:h="16838" w:orient="portrait"/>
          <w:cols w:equalWidth="0" w:num="2">
            <w:col w:w="2860" w:space="240"/>
            <w:col w:w="7500"/>
          </w:cols>
          <w:pgMar w:left="320" w:top="454"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369570</wp:posOffset>
            </wp:positionV>
            <wp:extent cx="1511935" cy="1511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8661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20190" cy="86614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 Governance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-598805</wp:posOffset>
            </wp:positionV>
            <wp:extent cx="7184390" cy="52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93345</wp:posOffset>
            </wp:positionV>
            <wp:extent cx="4765040" cy="661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43"/>
        </w:numPr>
        <w:rPr>
          <w:rFonts w:ascii="Times New Roman" w:cs="Times New Roman" w:eastAsia="Times New Roman" w:hAnsi="Times New Roman"/>
          <w:sz w:val="12"/>
          <w:szCs w:val="12"/>
          <w:color w:val="00AE4F"/>
        </w:rPr>
      </w:pPr>
      <w:r>
        <w:rPr>
          <w:rFonts w:ascii="Arial" w:cs="Arial" w:eastAsia="Arial" w:hAnsi="Arial"/>
          <w:sz w:val="15"/>
          <w:szCs w:val="15"/>
          <w:color w:val="auto"/>
        </w:rPr>
        <w:t>Lead Director</w:t>
      </w:r>
    </w:p>
    <w:p>
      <w:pPr>
        <w:spacing w:after="0" w:line="15"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3"/>
        </w:numPr>
        <w:rPr>
          <w:rFonts w:ascii="Times New Roman" w:cs="Times New Roman" w:eastAsia="Times New Roman" w:hAnsi="Times New Roman"/>
          <w:sz w:val="12"/>
          <w:szCs w:val="12"/>
          <w:color w:val="00AE4F"/>
        </w:rPr>
      </w:pPr>
      <w:r>
        <w:rPr>
          <w:rFonts w:ascii="Arial" w:cs="Arial" w:eastAsia="Arial" w:hAnsi="Arial"/>
          <w:sz w:val="15"/>
          <w:szCs w:val="15"/>
          <w:color w:val="auto"/>
        </w:rPr>
        <w:t>Corporate Governance and Nominating</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Non-Executive Chairman, Hunt Companies, Inc. (2015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and Chairman of Investment Committee, Aspida Holdings (2013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Cartiga LLC (2022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Vice Chairman and Trustee, St. John’s Health, Jackson, WY (2023—present)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PennyMac Financial Services, Inc. (2013 – 2024) (Lead Director 2013 – 2022)</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Ares Dynamic Credit Allocation Fund Inc. (NYSE: ARDC) (2017 -2023)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CION Ares Diversified Credit Fund (2017 – 2023)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Founder, CEO, and Chief Investment Officer, THL Credit, Inc. and THL Credit Advisors (2007 – 2015)</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4"/>
        </w:numPr>
        <w:rPr>
          <w:rFonts w:ascii="Times New Roman" w:cs="Times New Roman" w:eastAsia="Times New Roman" w:hAnsi="Times New Roman"/>
          <w:sz w:val="12"/>
          <w:szCs w:val="12"/>
          <w:color w:val="00AE4F"/>
        </w:rPr>
      </w:pPr>
      <w:r>
        <w:rPr>
          <w:rFonts w:ascii="Arial" w:cs="Arial" w:eastAsia="Arial" w:hAnsi="Arial"/>
          <w:sz w:val="15"/>
          <w:szCs w:val="15"/>
          <w:color w:val="auto"/>
        </w:rPr>
        <w:t>Co-Founder, CEO and Managing Partner, Bison Capital Asset Management (2001—2007)</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45"/>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Texas at El Paso, BBA, Accounting and Economics</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5"/>
        </w:numPr>
        <w:rPr>
          <w:rFonts w:ascii="Times New Roman" w:cs="Times New Roman" w:eastAsia="Times New Roman" w:hAnsi="Times New Roman"/>
          <w:sz w:val="12"/>
          <w:szCs w:val="12"/>
          <w:color w:val="00AE4F"/>
        </w:rPr>
      </w:pPr>
      <w:r>
        <w:rPr>
          <w:rFonts w:ascii="Arial" w:cs="Arial" w:eastAsia="Arial" w:hAnsi="Arial"/>
          <w:sz w:val="15"/>
          <w:szCs w:val="15"/>
          <w:color w:val="auto"/>
        </w:rPr>
        <w:t>Wharton School at the University of Pennsylvania, MBA</w:t>
      </w:r>
    </w:p>
    <w:p>
      <w:pPr>
        <w:spacing w:after="0" w:line="6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On January 30, 2026, Mr. Hunt was named Lead Director of the Board at Kelly. He currently serves as the principal of Tournament Capital Advisors LLC, where he specializes in consulting and investing across private equity and credit markets. Previously, Mr. Hunt was Managing Partner and CEO of Middle Market Credit at Kayne Anderson Capital Advisors. He also served as Non-Executive Chairman of THL Credit, Inc., where he was a founder, Chief Executive Officer, and Chief Investment Officer of both THL Credit, Inc. and THL Credit Advisors. Earlier in his career, he held senior leadership positions at Bison Capital Asset Management and SunAmerica Investments.</w:t>
      </w:r>
    </w:p>
    <w:p>
      <w:pPr>
        <w:spacing w:after="0" w:line="1" w:lineRule="exact"/>
        <w:rPr>
          <w:sz w:val="20"/>
          <w:szCs w:val="20"/>
          <w:color w:val="auto"/>
        </w:rPr>
      </w:pPr>
    </w:p>
    <w:p>
      <w:pPr>
        <w:ind w:right="460"/>
        <w:spacing w:after="0" w:line="255" w:lineRule="auto"/>
        <w:rPr>
          <w:sz w:val="20"/>
          <w:szCs w:val="20"/>
          <w:color w:val="auto"/>
        </w:rPr>
      </w:pPr>
      <w:r>
        <w:rPr>
          <w:rFonts w:ascii="Arial" w:cs="Arial" w:eastAsia="Arial" w:hAnsi="Arial"/>
          <w:sz w:val="15"/>
          <w:szCs w:val="15"/>
          <w:color w:val="auto"/>
        </w:rPr>
        <w:t>Mr. Hunt began his professional journey at Citibank/Citicorp, ultimately becoming the Far West Area Head of Leveraged Capital.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9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-212090</wp:posOffset>
            </wp:positionV>
            <wp:extent cx="377825" cy="173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2">
            <w:col w:w="2860" w:space="240"/>
            <w:col w:w="7580"/>
          </w:cols>
          <w:pgMar w:left="320" w:top="454" w:right="8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6" w:lineRule="exact"/>
        <w:rPr>
          <w:sz w:val="20"/>
          <w:szCs w:val="20"/>
          <w:color w:val="auto"/>
        </w:rPr>
      </w:pPr>
    </w:p>
    <w:p>
      <w:pPr>
        <w:jc w:val="center"/>
        <w:ind w:left="20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93345</wp:posOffset>
            </wp:positionV>
            <wp:extent cx="1511935" cy="1511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976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20190" cy="97663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Innovation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Technology/Digitization/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Cybersecurity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Acumen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212090</wp:posOffset>
            </wp:positionV>
            <wp:extent cx="1511935" cy="15119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1196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20190" cy="1196975"/>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Industry</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Technology/Digitization/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Cybersecurity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 Governance</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0"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22 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-211455</wp:posOffset>
            </wp:positionV>
            <wp:extent cx="7620" cy="212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-1487170</wp:posOffset>
            </wp:positionV>
            <wp:extent cx="7184390" cy="52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-794385</wp:posOffset>
            </wp:positionV>
            <wp:extent cx="4765040" cy="653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5040" cy="653415"/>
                    </a:xfrm>
                    <a:prstGeom prst="rect">
                      <a:avLst/>
                    </a:prstGeom>
                    <a:noFill/>
                  </pic:spPr>
                </pic:pic>
              </a:graphicData>
            </a:graphic>
          </wp:anchor>
        </w:drawing>
      </w:r>
    </w:p>
    <w:p>
      <w:pPr>
        <w:spacing w:after="0" w:line="43" w:lineRule="exact"/>
        <w:rPr>
          <w:sz w:val="20"/>
          <w:szCs w:val="20"/>
          <w:color w:val="auto"/>
        </w:rPr>
      </w:pPr>
    </w:p>
    <w:p>
      <w:pPr>
        <w:ind w:left="180" w:hanging="174"/>
        <w:spacing w:after="0"/>
        <w:tabs>
          <w:tab w:leader="none" w:pos="180" w:val="left"/>
        </w:tabs>
        <w:numPr>
          <w:ilvl w:val="0"/>
          <w:numId w:val="46"/>
        </w:numPr>
        <w:rPr>
          <w:rFonts w:ascii="Times New Roman" w:cs="Times New Roman" w:eastAsia="Times New Roman" w:hAnsi="Times New Roman"/>
          <w:sz w:val="12"/>
          <w:szCs w:val="12"/>
          <w:color w:val="00AE4F"/>
        </w:rPr>
      </w:pPr>
      <w:r>
        <w:rPr>
          <w:rFonts w:ascii="Arial" w:cs="Arial" w:eastAsia="Arial" w:hAnsi="Arial"/>
          <w:sz w:val="15"/>
          <w:szCs w:val="15"/>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47"/>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Hunt Companies, Inc. (2025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7"/>
        </w:numPr>
        <w:rPr>
          <w:rFonts w:ascii="Times New Roman" w:cs="Times New Roman" w:eastAsia="Times New Roman" w:hAnsi="Times New Roman"/>
          <w:sz w:val="12"/>
          <w:szCs w:val="12"/>
          <w:color w:val="00AE4F"/>
        </w:rPr>
      </w:pPr>
      <w:r>
        <w:rPr>
          <w:rFonts w:ascii="Arial" w:cs="Arial" w:eastAsia="Arial" w:hAnsi="Arial"/>
          <w:sz w:val="15"/>
          <w:szCs w:val="15"/>
          <w:color w:val="auto"/>
        </w:rPr>
        <w:t>Executive Vice President, Hunt Companies, Inc. (2019 – 2025)</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47"/>
        </w:numPr>
        <w:rPr>
          <w:rFonts w:ascii="Times New Roman" w:cs="Times New Roman" w:eastAsia="Times New Roman" w:hAnsi="Times New Roman"/>
          <w:sz w:val="12"/>
          <w:szCs w:val="12"/>
          <w:color w:val="00AE4F"/>
        </w:rPr>
      </w:pPr>
      <w:r>
        <w:rPr>
          <w:rFonts w:ascii="Arial" w:cs="Arial" w:eastAsia="Arial" w:hAnsi="Arial"/>
          <w:sz w:val="15"/>
          <w:szCs w:val="15"/>
          <w:color w:val="auto"/>
        </w:rPr>
        <w:t>Senior Vice President, Hunt Companies, Inc. (2017 – 2019)</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48"/>
        </w:numPr>
        <w:rPr>
          <w:rFonts w:ascii="Times New Roman" w:cs="Times New Roman" w:eastAsia="Times New Roman" w:hAnsi="Times New Roman"/>
          <w:sz w:val="12"/>
          <w:szCs w:val="12"/>
          <w:color w:val="00AE4F"/>
        </w:rPr>
      </w:pPr>
      <w:r>
        <w:rPr>
          <w:rFonts w:ascii="Arial" w:cs="Arial" w:eastAsia="Arial" w:hAnsi="Arial"/>
          <w:sz w:val="15"/>
          <w:szCs w:val="15"/>
          <w:color w:val="auto"/>
        </w:rPr>
        <w:t>Texas Christian University, BA, Finance and Accounting</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Mr. McCrory is the President of Hunt Companies, Inc. He joined Hunt in 2017 as Senior Vice President, was promoted to Executive Vice President in 2019, and became President in 2025. In addition to his leadership role, Mr. McCrory serves on Hunt’s Executive Committee, Investment Committee, and Finance Committee. He is also a member of the Board of Directors for several Hunt Companies affiliates, including Boyd Watterson, Carter USA, City Light &amp; Power, Inman Solar, Moss Construction, Monarch Private Capital, and View Homes, where he plays a pivotal role in optimizing governance and shaping each business’s strategic direction. Mr. McCrory also serves on the Board of Directors for Las Palmas Del Sol Medical Center. He brings a wealth of leadership experience and corporate know-how to the Kelly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803275</wp:posOffset>
            </wp:positionV>
            <wp:extent cx="4765040" cy="6616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2"/>
          <w:szCs w:val="12"/>
          <w:color w:val="00AE4F"/>
        </w:rPr>
      </w:pPr>
      <w:r>
        <w:rPr>
          <w:rFonts w:ascii="Arial" w:cs="Arial" w:eastAsia="Arial" w:hAnsi="Arial"/>
          <w:sz w:val="15"/>
          <w:szCs w:val="15"/>
          <w:color w:val="auto"/>
        </w:rPr>
        <w:t>Audit (Chair)</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50"/>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and CEO, Murphy Consulting, Inc. (2008—present)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0"/>
        </w:numPr>
        <w:rPr>
          <w:rFonts w:ascii="Times New Roman" w:cs="Times New Roman" w:eastAsia="Times New Roman" w:hAnsi="Times New Roman"/>
          <w:sz w:val="12"/>
          <w:szCs w:val="12"/>
          <w:color w:val="00AE4F"/>
        </w:rPr>
      </w:pPr>
      <w:r>
        <w:rPr>
          <w:rFonts w:ascii="Arial" w:cs="Arial" w:eastAsia="Arial" w:hAnsi="Arial"/>
          <w:sz w:val="15"/>
          <w:szCs w:val="15"/>
          <w:color w:val="auto"/>
        </w:rPr>
        <w:t>Certified Public Accountant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0"/>
        </w:numPr>
        <w:rPr>
          <w:rFonts w:ascii="Times New Roman" w:cs="Times New Roman" w:eastAsia="Times New Roman" w:hAnsi="Times New Roman"/>
          <w:sz w:val="12"/>
          <w:szCs w:val="12"/>
          <w:color w:val="00AE4F"/>
        </w:rPr>
      </w:pPr>
      <w:r>
        <w:rPr>
          <w:rFonts w:ascii="Arial" w:cs="Arial" w:eastAsia="Arial" w:hAnsi="Arial"/>
          <w:sz w:val="15"/>
          <w:szCs w:val="15"/>
          <w:color w:val="auto"/>
        </w:rPr>
        <w:t>Member of AICPA’s Governing Council (2000—present)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0"/>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Detroit Legal News Company (2012—present)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51"/>
        </w:numPr>
        <w:rPr>
          <w:rFonts w:ascii="Times New Roman" w:cs="Times New Roman" w:eastAsia="Times New Roman" w:hAnsi="Times New Roman"/>
          <w:sz w:val="12"/>
          <w:szCs w:val="12"/>
          <w:color w:val="00AE4F"/>
        </w:rPr>
      </w:pPr>
      <w:r>
        <w:rPr>
          <w:rFonts w:ascii="Arial" w:cs="Arial" w:eastAsia="Arial" w:hAnsi="Arial"/>
          <w:sz w:val="15"/>
          <w:szCs w:val="15"/>
          <w:color w:val="auto"/>
        </w:rPr>
        <w:t>University of Michigan, BBA, Accounting</w:t>
      </w:r>
    </w:p>
    <w:p>
      <w:pPr>
        <w:spacing w:after="0" w:line="62"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Ms. Murphy is a certified public accountant, former chair of the American Institute of Certified Public Accountants, and former Group Managing Partner of Plante &amp; Moran, LLP, a registered national accounting firm. She brings to the Board analytical capability, understanding of economics and strategic elements of business, and expertise in enterprise risk management and cybersecurity. Dedicated to the highest standards of director education and ongoing learning, Ms. Murphy earned the NACD Directorship Certification and the American Institute of Certified Public Accountants’ (AICPA) Cybersecurity Fundamentals for Finance and Accounting Professionals certification. The Board determined that Ms. Murphy qualifies as an “audit committee financial expert” within the meaning of applicable SEC regulations and has the leadership skills to chair the Audit Committee.</w:t>
      </w:r>
    </w:p>
    <w:p>
      <w:pPr>
        <w:sectPr>
          <w:pgSz w:w="11900" w:h="16838" w:orient="portrait"/>
          <w:cols w:equalWidth="0" w:num="2">
            <w:col w:w="2860" w:space="240"/>
            <w:col w:w="7500"/>
          </w:cols>
          <w:pgMar w:left="320" w:top="454"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369570</wp:posOffset>
            </wp:positionV>
            <wp:extent cx="1511935" cy="15119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10871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20190" cy="108712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Acumen</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Governance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Sustainability &amp; ESG</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220980</wp:posOffset>
            </wp:positionV>
            <wp:extent cx="1511935" cy="1511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6350</wp:posOffset>
            </wp:positionV>
            <wp:extent cx="1520190" cy="9925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20190" cy="992505"/>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Specific Experience and Skills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Executive Leadership</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Transformations</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Financial Expert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Risk Management</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Legal/Corporate</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Governance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00AE4F"/>
        </w:rPr>
        <w:t>●</w:t>
      </w:r>
      <w:r>
        <w:rPr>
          <w:rFonts w:ascii="Arial" w:cs="Arial" w:eastAsia="Arial" w:hAnsi="Arial"/>
          <w:sz w:val="14"/>
          <w:szCs w:val="14"/>
          <w:color w:val="000000"/>
        </w:rPr>
        <w:t xml:space="preserve">  Mergers &amp; Acquisitions</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-598805</wp:posOffset>
            </wp:positionV>
            <wp:extent cx="7184390" cy="520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4390" cy="52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109220</wp:posOffset>
            </wp:positionV>
            <wp:extent cx="4765040" cy="661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52"/>
        </w:numPr>
        <w:rPr>
          <w:rFonts w:ascii="Times New Roman" w:cs="Times New Roman" w:eastAsia="Times New Roman" w:hAnsi="Times New Roman"/>
          <w:sz w:val="12"/>
          <w:szCs w:val="12"/>
          <w:color w:val="00AE4F"/>
        </w:rPr>
      </w:pPr>
      <w:r>
        <w:rPr>
          <w:rFonts w:ascii="Arial" w:cs="Arial" w:eastAsia="Arial" w:hAnsi="Arial"/>
          <w:sz w:val="15"/>
          <w:szCs w:val="15"/>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53"/>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Bluerose Associates LLC (2023 – present)</w:t>
      </w:r>
    </w:p>
    <w:p>
      <w:pPr>
        <w:spacing w:after="0" w:line="1" w:lineRule="exact"/>
        <w:rPr>
          <w:rFonts w:ascii="Times New Roman" w:cs="Times New Roman" w:eastAsia="Times New Roman" w:hAnsi="Times New Roman"/>
          <w:sz w:val="12"/>
          <w:szCs w:val="12"/>
          <w:color w:val="00AE4F"/>
        </w:rPr>
      </w:pPr>
    </w:p>
    <w:p>
      <w:pPr>
        <w:ind w:left="180" w:right="2580" w:hanging="174"/>
        <w:spacing w:after="0" w:line="241" w:lineRule="auto"/>
        <w:tabs>
          <w:tab w:leader="none" w:pos="180" w:val="left"/>
        </w:tabs>
        <w:numPr>
          <w:ilvl w:val="0"/>
          <w:numId w:val="53"/>
        </w:numPr>
        <w:rPr>
          <w:rFonts w:ascii="Times New Roman" w:cs="Times New Roman" w:eastAsia="Times New Roman" w:hAnsi="Times New Roman"/>
          <w:sz w:val="12"/>
          <w:szCs w:val="12"/>
          <w:color w:val="00AE4F"/>
        </w:rPr>
      </w:pPr>
      <w:r>
        <w:rPr>
          <w:rFonts w:ascii="Arial" w:cs="Arial" w:eastAsia="Arial" w:hAnsi="Arial"/>
          <w:sz w:val="15"/>
          <w:szCs w:val="15"/>
          <w:color w:val="auto"/>
        </w:rPr>
        <w:t>Co-Founder and Chief Investment Officer, Venor Capital Management LP (2005 – 2023)</w:t>
      </w:r>
    </w:p>
    <w:p>
      <w:pPr>
        <w:ind w:left="180" w:hanging="174"/>
        <w:spacing w:after="0"/>
        <w:tabs>
          <w:tab w:leader="none" w:pos="180" w:val="left"/>
        </w:tabs>
        <w:numPr>
          <w:ilvl w:val="0"/>
          <w:numId w:val="53"/>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Aeromexico, (2026 – present)</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3"/>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Nu Ride Inc. (2024 – present)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54"/>
        </w:numPr>
        <w:rPr>
          <w:rFonts w:ascii="Times New Roman" w:cs="Times New Roman" w:eastAsia="Times New Roman" w:hAnsi="Times New Roman"/>
          <w:sz w:val="12"/>
          <w:szCs w:val="12"/>
          <w:color w:val="00AE4F"/>
        </w:rPr>
      </w:pPr>
      <w:r>
        <w:rPr>
          <w:rFonts w:ascii="Arial" w:cs="Arial" w:eastAsia="Arial" w:hAnsi="Arial"/>
          <w:sz w:val="15"/>
          <w:szCs w:val="15"/>
          <w:color w:val="auto"/>
        </w:rPr>
        <w:t>Wharton School at the University of Pennsylvania, BS, Finance and Accounting</w:t>
      </w:r>
    </w:p>
    <w:p>
      <w:pPr>
        <w:spacing w:after="0" w:line="62"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Mr. Wartell has served as President of Bluerose Associates LLC since October 2023 and as Co-Founder and Co-Chief Investment Officer of Venor Capital Management LP, a private investment management firm, since 2005. With over 35 years of experience in opportunistic credit and special situations investing, he brings expertise in strategic decision-making, risk governance, capital allocation, and stakeholder alignment. Mr. Wartell has served on the boards of several private and public companies, including Rotech Healthcare, Inc. (since 2014), Nu Ride Inc., and Aeromexico. His deep expertise in corporate finance, accounting, and financial reporting will support and enhance his contributions to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210820</wp:posOffset>
            </wp:positionV>
            <wp:extent cx="4765040" cy="661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50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63" w:lineRule="exact"/>
        <w:rPr>
          <w:sz w:val="20"/>
          <w:szCs w:val="20"/>
          <w:color w:val="auto"/>
        </w:rPr>
      </w:pPr>
    </w:p>
    <w:p>
      <w:pPr>
        <w:ind w:left="180" w:hanging="174"/>
        <w:spacing w:after="0"/>
        <w:tabs>
          <w:tab w:leader="none" w:pos="180" w:val="left"/>
        </w:tabs>
        <w:numPr>
          <w:ilvl w:val="0"/>
          <w:numId w:val="55"/>
        </w:numPr>
        <w:rPr>
          <w:rFonts w:ascii="Times New Roman" w:cs="Times New Roman" w:eastAsia="Times New Roman" w:hAnsi="Times New Roman"/>
          <w:sz w:val="12"/>
          <w:szCs w:val="12"/>
          <w:color w:val="00AE4F"/>
        </w:rPr>
      </w:pPr>
      <w:r>
        <w:rPr>
          <w:rFonts w:ascii="Arial" w:cs="Arial" w:eastAsia="Arial" w:hAnsi="Arial"/>
          <w:sz w:val="15"/>
          <w:szCs w:val="15"/>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Occupation and Directorships</w:t>
      </w:r>
    </w:p>
    <w:p>
      <w:pPr>
        <w:spacing w:after="0" w:line="15" w:lineRule="exact"/>
        <w:rPr>
          <w:sz w:val="20"/>
          <w:szCs w:val="20"/>
          <w:color w:val="auto"/>
        </w:rPr>
      </w:pP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Frontier Communications (2024 – 2026)</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Director, Wolfspeed (2025)</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President and Board Member, Solidigm (2022 – 2023)</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Partner, Chairman of M&amp;A, Perella Weinberg Partners LLC (2016 – 2022)</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Vice Chairman, U.S. Investment Banking, Lazard Ltd. (2009 – 2015)</w:t>
      </w:r>
    </w:p>
    <w:p>
      <w:pPr>
        <w:spacing w:after="0" w:line="1" w:lineRule="exact"/>
        <w:rPr>
          <w:rFonts w:ascii="Times New Roman" w:cs="Times New Roman" w:eastAsia="Times New Roman" w:hAnsi="Times New Roman"/>
          <w:sz w:val="12"/>
          <w:szCs w:val="12"/>
          <w:color w:val="00AE4F"/>
        </w:rPr>
      </w:pPr>
    </w:p>
    <w:p>
      <w:pPr>
        <w:ind w:left="180" w:right="3160" w:hanging="174"/>
        <w:spacing w:after="0" w:line="241" w:lineRule="auto"/>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Led the Global Technology, Media &amp; Telecommunications Group Merrill Lynch &amp; Co., Inc. (2008 – 2009)</w:t>
      </w:r>
    </w:p>
    <w:p>
      <w:pPr>
        <w:ind w:left="180" w:hanging="174"/>
        <w:spacing w:after="0"/>
        <w:tabs>
          <w:tab w:leader="none" w:pos="180" w:val="left"/>
        </w:tabs>
        <w:numPr>
          <w:ilvl w:val="0"/>
          <w:numId w:val="56"/>
        </w:numPr>
        <w:rPr>
          <w:rFonts w:ascii="Times New Roman" w:cs="Times New Roman" w:eastAsia="Times New Roman" w:hAnsi="Times New Roman"/>
          <w:sz w:val="12"/>
          <w:szCs w:val="12"/>
          <w:color w:val="00AE4F"/>
        </w:rPr>
      </w:pPr>
      <w:r>
        <w:rPr>
          <w:rFonts w:ascii="Arial" w:cs="Arial" w:eastAsia="Arial" w:hAnsi="Arial"/>
          <w:sz w:val="15"/>
          <w:szCs w:val="15"/>
          <w:color w:val="auto"/>
        </w:rPr>
        <w:t>Managing Director, Head of Global Communications, Lehman Brothers Holdings, Inc. (1993 – 2007)</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5" w:lineRule="exact"/>
        <w:rPr>
          <w:sz w:val="20"/>
          <w:szCs w:val="20"/>
          <w:color w:val="auto"/>
        </w:rPr>
      </w:pPr>
    </w:p>
    <w:p>
      <w:pPr>
        <w:ind w:left="180" w:hanging="174"/>
        <w:spacing w:after="0"/>
        <w:tabs>
          <w:tab w:leader="none" w:pos="180" w:val="left"/>
        </w:tabs>
        <w:numPr>
          <w:ilvl w:val="0"/>
          <w:numId w:val="57"/>
        </w:numPr>
        <w:rPr>
          <w:rFonts w:ascii="Times New Roman" w:cs="Times New Roman" w:eastAsia="Times New Roman" w:hAnsi="Times New Roman"/>
          <w:sz w:val="12"/>
          <w:szCs w:val="12"/>
          <w:color w:val="00AE4F"/>
        </w:rPr>
      </w:pPr>
      <w:r>
        <w:rPr>
          <w:rFonts w:ascii="Arial" w:cs="Arial" w:eastAsia="Arial" w:hAnsi="Arial"/>
          <w:sz w:val="15"/>
          <w:szCs w:val="15"/>
          <w:color w:val="auto"/>
        </w:rPr>
        <w:t>Brown University, BA, International Relations</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7"/>
        </w:numPr>
        <w:rPr>
          <w:rFonts w:ascii="Times New Roman" w:cs="Times New Roman" w:eastAsia="Times New Roman" w:hAnsi="Times New Roman"/>
          <w:sz w:val="12"/>
          <w:szCs w:val="12"/>
          <w:color w:val="00AE4F"/>
        </w:rPr>
      </w:pPr>
      <w:r>
        <w:rPr>
          <w:rFonts w:ascii="Arial" w:cs="Arial" w:eastAsia="Arial" w:hAnsi="Arial"/>
          <w:sz w:val="15"/>
          <w:szCs w:val="15"/>
          <w:color w:val="auto"/>
        </w:rPr>
        <w:t>Cambridge University, MA, International Relations</w:t>
      </w:r>
    </w:p>
    <w:p>
      <w:pPr>
        <w:spacing w:after="0" w:line="1" w:lineRule="exact"/>
        <w:rPr>
          <w:rFonts w:ascii="Times New Roman" w:cs="Times New Roman" w:eastAsia="Times New Roman" w:hAnsi="Times New Roman"/>
          <w:sz w:val="12"/>
          <w:szCs w:val="12"/>
          <w:color w:val="00AE4F"/>
        </w:rPr>
      </w:pPr>
    </w:p>
    <w:p>
      <w:pPr>
        <w:ind w:left="180" w:hanging="174"/>
        <w:spacing w:after="0"/>
        <w:tabs>
          <w:tab w:leader="none" w:pos="180" w:val="left"/>
        </w:tabs>
        <w:numPr>
          <w:ilvl w:val="0"/>
          <w:numId w:val="57"/>
        </w:numPr>
        <w:rPr>
          <w:rFonts w:ascii="Times New Roman" w:cs="Times New Roman" w:eastAsia="Times New Roman" w:hAnsi="Times New Roman"/>
          <w:sz w:val="12"/>
          <w:szCs w:val="12"/>
          <w:color w:val="00AE4F"/>
        </w:rPr>
      </w:pPr>
      <w:r>
        <w:rPr>
          <w:rFonts w:ascii="Arial" w:cs="Arial" w:eastAsia="Arial" w:hAnsi="Arial"/>
          <w:sz w:val="15"/>
          <w:szCs w:val="15"/>
          <w:color w:val="auto"/>
        </w:rPr>
        <w:t>Yale School of Management, MPA, Public and Private Management</w:t>
      </w:r>
    </w:p>
    <w:p>
      <w:pPr>
        <w:spacing w:after="0" w:line="62"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Mr. Young has over 35 years of experience as an investment banker in the telecommunications and media industries, including leadership roles at several global investment banks. He served as Co-Head of the Global Telecommunications, Media &amp; Technology Group at Lazard before leading telecom and media at Perella Weinberg Partners, where he also served as the firm’s Chairman of Mergers and Acquisitions. He most recently served as President of Solidigm, where he directed finance, strategy, corporate development, human resources, legal, and IT functions. Mr. Young also served as a White House Fellow and Special Assistant to the Deputy Secretary of the U.S. Treasury, and is a member of the Council on Foreign Relations, formerly on its Term Membership Committee. Mr. Young’s extensive experience, exceptional financial acumen, and proven leadership abilities make him a valuable addition to Kelly’s board of directors.</w:t>
      </w:r>
    </w:p>
    <w:p>
      <w:pPr>
        <w:spacing w:after="0" w:line="113" w:lineRule="exact"/>
        <w:rPr>
          <w:sz w:val="20"/>
          <w:szCs w:val="20"/>
          <w:color w:val="auto"/>
        </w:rPr>
      </w:pPr>
    </w:p>
    <w:p>
      <w:pPr>
        <w:ind w:left="6020"/>
        <w:spacing w:after="0"/>
        <w:tabs>
          <w:tab w:leader="none" w:pos="72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-194945</wp:posOffset>
            </wp:positionV>
            <wp:extent cx="7620" cy="212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2">
            <w:col w:w="2860" w:space="240"/>
            <w:col w:w="7580"/>
          </w:cols>
          <w:pgMar w:left="320" w:top="454" w:right="8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Corporate Governance</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Controlled Company Exemption</w:t>
      </w:r>
    </w:p>
    <w:p>
      <w:pPr>
        <w:spacing w:after="0" w:line="69" w:lineRule="exact"/>
        <w:rPr>
          <w:sz w:val="20"/>
          <w:szCs w:val="20"/>
          <w:color w:val="auto"/>
        </w:rPr>
      </w:pPr>
    </w:p>
    <w:p>
      <w:pPr>
        <w:ind w:left="560" w:right="120"/>
        <w:spacing w:after="0" w:line="252" w:lineRule="auto"/>
        <w:rPr>
          <w:sz w:val="20"/>
          <w:szCs w:val="20"/>
          <w:color w:val="auto"/>
        </w:rPr>
      </w:pPr>
      <w:r>
        <w:rPr>
          <w:rFonts w:ascii="Arial" w:cs="Arial" w:eastAsia="Arial" w:hAnsi="Arial"/>
          <w:sz w:val="15"/>
          <w:szCs w:val="15"/>
          <w:color w:val="auto"/>
        </w:rPr>
        <w:t>Nasdaq, where the Company’s common stock is listed, established exemptions from its governance requirements for “controlled companies,” defined as companies in which a single person, entity, or group holds more than 50% of the voting power for the election of its directors. The Company is a “controlled company” because Hunt, discussed below, has the power to vote more than 90% of the Company’s outstanding shares of Class B Common Stock.</w:t>
      </w:r>
    </w:p>
    <w:p>
      <w:pPr>
        <w:spacing w:after="0" w:line="32" w:lineRule="exact"/>
        <w:rPr>
          <w:sz w:val="20"/>
          <w:szCs w:val="20"/>
          <w:color w:val="auto"/>
        </w:rPr>
      </w:pPr>
    </w:p>
    <w:p>
      <w:pPr>
        <w:ind w:left="560"/>
        <w:spacing w:after="0" w:line="265" w:lineRule="auto"/>
        <w:rPr>
          <w:sz w:val="20"/>
          <w:szCs w:val="20"/>
          <w:color w:val="auto"/>
        </w:rPr>
      </w:pPr>
      <w:r>
        <w:rPr>
          <w:rFonts w:ascii="Arial" w:cs="Arial" w:eastAsia="Arial" w:hAnsi="Arial"/>
          <w:sz w:val="14"/>
          <w:szCs w:val="14"/>
          <w:color w:val="auto"/>
        </w:rPr>
        <w:t>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Select Market listing standards require a controlled company to certify the adoption of a formal written charter or board resolution, as applicable, addressing the nominations process. A controlled company is also exempt from the Nasdaq Global Select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Select Market. The Nasdaq Global Select Market further requires that all members of the audit committee have the ability to read and understand fundamental financial statements and that at least one member of the audit committee possesses financial sophistication. The independent directors must also meet at least twice a year in meetings at which only they are present.</w:t>
      </w:r>
    </w:p>
    <w:p>
      <w:pPr>
        <w:spacing w:after="0" w:line="37" w:lineRule="exact"/>
        <w:rPr>
          <w:sz w:val="20"/>
          <w:szCs w:val="20"/>
          <w:color w:val="auto"/>
        </w:rPr>
      </w:pPr>
    </w:p>
    <w:p>
      <w:pPr>
        <w:ind w:left="560" w:right="140"/>
        <w:spacing w:after="0" w:line="267" w:lineRule="auto"/>
        <w:rPr>
          <w:sz w:val="20"/>
          <w:szCs w:val="20"/>
          <w:color w:val="auto"/>
        </w:rPr>
      </w:pPr>
      <w:r>
        <w:rPr>
          <w:rFonts w:ascii="Arial" w:cs="Arial" w:eastAsia="Arial" w:hAnsi="Arial"/>
          <w:sz w:val="14"/>
          <w:szCs w:val="14"/>
          <w:color w:val="auto"/>
        </w:rPr>
        <w:t>As a “controlled company” under Nasdaq Global Select Market listing standards, we have elected to rely on the controlled company exemptions from certain corporate governance requirements. As a result, we are not required to (i) have director nominees selected or recommended to our board of directors by independent directors (either through a committee composed entirely of independent directors or by a majority of the independent directors on our board of directors) or (ii) have a compensation committee composed entirely of independent directors. Accordingly, the protections that these requirements are intended to provide may not be available to our stockholders, and our controlling stockholder may be able to exert significant influence over matters such as director nominations and executive compensation. In the future, we may elect to rely on additional controlled company exemptions (including exemptions relating to board and committee independence), to the extent we continue to qualify as a controlled company.</w:t>
      </w:r>
    </w:p>
    <w:p>
      <w:pPr>
        <w:spacing w:after="0" w:line="24" w:lineRule="exact"/>
        <w:rPr>
          <w:sz w:val="20"/>
          <w:szCs w:val="20"/>
          <w:color w:val="auto"/>
        </w:rPr>
      </w:pPr>
    </w:p>
    <w:p>
      <w:pPr>
        <w:ind w:left="560" w:right="160"/>
        <w:spacing w:after="0" w:line="275" w:lineRule="auto"/>
        <w:rPr>
          <w:sz w:val="20"/>
          <w:szCs w:val="20"/>
          <w:color w:val="auto"/>
        </w:rPr>
      </w:pPr>
      <w:r>
        <w:rPr>
          <w:rFonts w:ascii="Arial" w:cs="Arial" w:eastAsia="Arial" w:hAnsi="Arial"/>
          <w:sz w:val="15"/>
          <w:szCs w:val="15"/>
          <w:color w:val="auto"/>
        </w:rPr>
        <w:t>For additional information regarding arrangements with Hunt in connection with its acquisition of voting control, including governance and other matters, see “Related Person Transactions and Certain Relationships.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Role of the Board of Directors</w:t>
      </w:r>
    </w:p>
    <w:p>
      <w:pPr>
        <w:spacing w:after="0" w:line="69" w:lineRule="exact"/>
        <w:rPr>
          <w:sz w:val="20"/>
          <w:szCs w:val="20"/>
          <w:color w:val="auto"/>
        </w:rPr>
      </w:pPr>
    </w:p>
    <w:p>
      <w:pPr>
        <w:ind w:left="560" w:right="20"/>
        <w:spacing w:after="0" w:line="246" w:lineRule="auto"/>
        <w:rPr>
          <w:sz w:val="20"/>
          <w:szCs w:val="20"/>
          <w:color w:val="auto"/>
        </w:rPr>
      </w:pPr>
      <w:r>
        <w:rPr>
          <w:rFonts w:ascii="Arial" w:cs="Arial" w:eastAsia="Arial" w:hAnsi="Arial"/>
          <w:sz w:val="15"/>
          <w:szCs w:val="15"/>
          <w:color w:val="auto"/>
        </w:rPr>
        <w:t>The Board bears responsibility for the oversight of management on behalf of shareholders to ensure long-term value creation. The Board oversees and provides guidance for the Company’s business, property, and affairs. On an ongoing basis, the Board oversees management’s development and implementation of the Company’s strategy and business planning process, and monitors performance against those plans. The Board sets the tone at the top to support a corporate culture that emphasizes ethical standards, professionalism, integrity, and compliance. The Board and its committees consider long-range strategic issues and material risks facing the Company, together with management’s actions to address and mitigate these risks; oversee corporate policies and processes to promote and maintain the integrity of the Company’s financial reporting and controls, legal and ethical compliance, and relationships with customers and suppliers; review the Company’s sustainability practices and strategies; and provide oversight relative to the compensation of senior management, leadership development, and management succession planning.</w:t>
      </w:r>
    </w:p>
    <w:p>
      <w:pPr>
        <w:spacing w:after="0" w:line="49" w:lineRule="exact"/>
        <w:rPr>
          <w:sz w:val="20"/>
          <w:szCs w:val="20"/>
          <w:color w:val="auto"/>
        </w:rPr>
      </w:pPr>
    </w:p>
    <w:p>
      <w:pPr>
        <w:ind w:left="560"/>
        <w:spacing w:after="0" w:line="247" w:lineRule="auto"/>
        <w:rPr>
          <w:sz w:val="20"/>
          <w:szCs w:val="20"/>
          <w:color w:val="auto"/>
        </w:rPr>
      </w:pPr>
      <w:r>
        <w:rPr>
          <w:rFonts w:ascii="Arial" w:cs="Arial" w:eastAsia="Arial" w:hAnsi="Arial"/>
          <w:sz w:val="15"/>
          <w:szCs w:val="15"/>
          <w:color w:val="auto"/>
        </w:rPr>
        <w:t>As part of its oversight of the Company’s strategic direction, senior leadership presents to the Board at the beginning of each year the annual business plans for each business unit and the consolidated annual business plan for the Company as a whole. At each subsequent meeting throughout the year, management shares quarterly performance results for each business unit and the whole Company, and the Board benchmarks these outcomes against the annual plans. Each year, the Board engages in a strategic planning meeting with management where it conducts a comprehensive review and discussion of the Company’s strategic direction and goals over the short-, medium-, and long-term, as well as management’s plans to achieve such goals. At least twice each year, the business unit presidents provide an in-depth review and update of their businesses to the Board, which includes a review of the strategic goals of the business and business performance relative to business strategy.</w:t>
      </w:r>
    </w:p>
    <w:p>
      <w:pPr>
        <w:ind w:left="620"/>
        <w:spacing w:after="0" w:line="225" w:lineRule="auto"/>
        <w:tabs>
          <w:tab w:leader="none" w:pos="1180" w:val="left"/>
        </w:tabs>
        <w:rPr>
          <w:sz w:val="20"/>
          <w:szCs w:val="20"/>
          <w:color w:val="auto"/>
        </w:rPr>
      </w:pPr>
      <w:r>
        <w:rPr>
          <w:rFonts w:ascii="Arial" w:cs="Arial" w:eastAsia="Arial" w:hAnsi="Arial"/>
          <w:sz w:val="40"/>
          <w:szCs w:val="40"/>
          <w:color w:val="auto"/>
          <w:vertAlign w:val="superscript"/>
        </w:rPr>
        <w:t>24 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-196215</wp:posOffset>
            </wp:positionV>
            <wp:extent cx="7620" cy="212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Leadership and Governance Structure</w:t>
      </w:r>
    </w:p>
    <w:p>
      <w:pPr>
        <w:spacing w:after="0" w:line="69" w:lineRule="exact"/>
        <w:rPr>
          <w:sz w:val="20"/>
          <w:szCs w:val="20"/>
          <w:color w:val="auto"/>
        </w:rPr>
      </w:pPr>
    </w:p>
    <w:p>
      <w:pPr>
        <w:ind w:left="560" w:right="260"/>
        <w:spacing w:after="0" w:line="250" w:lineRule="auto"/>
        <w:rPr>
          <w:sz w:val="20"/>
          <w:szCs w:val="20"/>
          <w:color w:val="auto"/>
        </w:rPr>
      </w:pPr>
      <w:r>
        <w:rPr>
          <w:rFonts w:ascii="Arial" w:cs="Arial" w:eastAsia="Arial" w:hAnsi="Arial"/>
          <w:sz w:val="15"/>
          <w:szCs w:val="15"/>
          <w:color w:val="auto"/>
        </w:rPr>
        <w:t>The Company’s leadership structure consists of the Chairman of the Board of Directors, a Lead Independent Director, and the Chief Executive Officer, subject to the overall authority of the Board of Directors. The Board determined that separating the roles of the Chairman of the Board and the Chief Executive Officer is in the best interest of the Company and its stockholders, as it allows the Chief Executive Officer to concentrate on day-to-day operations and strategy of the Company. James Christopher Hunt serves as Chairman of the Board, and Christopher D. Layden serves as Chief Executive Officer.</w:t>
      </w:r>
    </w:p>
    <w:p>
      <w:pPr>
        <w:spacing w:after="0" w:line="32" w:lineRule="exact"/>
        <w:rPr>
          <w:sz w:val="20"/>
          <w:szCs w:val="20"/>
          <w:color w:val="auto"/>
        </w:rPr>
      </w:pPr>
    </w:p>
    <w:p>
      <w:pPr>
        <w:ind w:left="560" w:right="60"/>
        <w:spacing w:after="0" w:line="246" w:lineRule="auto"/>
        <w:rPr>
          <w:sz w:val="20"/>
          <w:szCs w:val="20"/>
          <w:color w:val="auto"/>
        </w:rPr>
      </w:pPr>
      <w:r>
        <w:rPr>
          <w:rFonts w:ascii="Arial" w:cs="Arial" w:eastAsia="Arial" w:hAnsi="Arial"/>
          <w:sz w:val="15"/>
          <w:szCs w:val="15"/>
          <w:color w:val="auto"/>
        </w:rPr>
        <w:t>The Chairman of the Board’s duties include consulting with and advising our Chief Executive Officer, presiding over meetings of the Board, and presiding over meetings of shareholders. The Chairman of the Board’s duties also include providing effective leadership to the Board, including ongoing monitoring of its performance, compliance with governance requirements and best practices, establishing the annual schedule for Board meetings (in consultation with the Chief Executive Officer),</w:t>
      </w:r>
    </w:p>
    <w:p>
      <w:pPr>
        <w:spacing w:after="0" w:line="1" w:lineRule="exact"/>
        <w:rPr>
          <w:sz w:val="20"/>
          <w:szCs w:val="20"/>
          <w:color w:val="auto"/>
        </w:rPr>
      </w:pPr>
    </w:p>
    <w:p>
      <w:pPr>
        <w:ind w:left="560" w:right="80"/>
        <w:spacing w:after="0" w:line="246" w:lineRule="auto"/>
        <w:rPr>
          <w:sz w:val="20"/>
          <w:szCs w:val="20"/>
          <w:color w:val="auto"/>
        </w:rPr>
      </w:pPr>
      <w:r>
        <w:rPr>
          <w:rFonts w:ascii="Arial" w:cs="Arial" w:eastAsia="Arial" w:hAnsi="Arial"/>
          <w:sz w:val="15"/>
          <w:szCs w:val="15"/>
          <w:color w:val="auto"/>
        </w:rPr>
        <w:t>developing and approving agendas for Board meetings, working with the Chief Executive Officer to ensure that information flows to the Board to facilitate understanding of, and discussion regarding, matters of interest or concern to the Board, approving the information sent to the Board for meetings, establishing the schedule and agendas for and presiding over meetings, authority to call and preside over special meetings of the Board, and facilitating discussions among directors on key issues outside of Board meetings.</w:t>
      </w:r>
    </w:p>
    <w:p>
      <w:pPr>
        <w:spacing w:after="0" w:line="73" w:lineRule="exact"/>
        <w:rPr>
          <w:sz w:val="20"/>
          <w:szCs w:val="20"/>
          <w:color w:val="auto"/>
        </w:rPr>
      </w:pPr>
    </w:p>
    <w:p>
      <w:pPr>
        <w:ind w:left="560" w:right="120"/>
        <w:spacing w:after="0" w:line="250" w:lineRule="auto"/>
        <w:rPr>
          <w:sz w:val="20"/>
          <w:szCs w:val="20"/>
          <w:color w:val="auto"/>
        </w:rPr>
      </w:pPr>
      <w:r>
        <w:rPr>
          <w:rFonts w:ascii="Arial" w:cs="Arial" w:eastAsia="Arial" w:hAnsi="Arial"/>
          <w:sz w:val="15"/>
          <w:szCs w:val="15"/>
          <w:color w:val="auto"/>
        </w:rPr>
        <w:t>As long as the Chairman of the Board of Directors is not an independent Director, the independent Directors are required under the Board’s Corporate Governance Principles to elect one of the independent Directors as Lead Director. The Lead Director’s principal duties are to ensure the Board functions independent of management, to preside at meetings of the Board of Directors in the absence of the Chairman of the Board of Directors, to assist in the development of the agendas for meetings of the Board, to preside over meetings of the independent Directors in executive session, and to provide feedback to the Chairman of the Board of Directors and the Chief Executive Officer on those sessions.</w:t>
      </w:r>
    </w:p>
    <w:p>
      <w:pPr>
        <w:spacing w:after="0" w:line="44" w:lineRule="exact"/>
        <w:rPr>
          <w:sz w:val="20"/>
          <w:szCs w:val="20"/>
          <w:color w:val="auto"/>
        </w:rPr>
      </w:pPr>
    </w:p>
    <w:p>
      <w:pPr>
        <w:ind w:left="560" w:right="100"/>
        <w:spacing w:after="0" w:line="248" w:lineRule="auto"/>
        <w:rPr>
          <w:sz w:val="20"/>
          <w:szCs w:val="20"/>
          <w:color w:val="auto"/>
        </w:rPr>
      </w:pPr>
      <w:r>
        <w:rPr>
          <w:rFonts w:ascii="Arial" w:cs="Arial" w:eastAsia="Arial" w:hAnsi="Arial"/>
          <w:sz w:val="15"/>
          <w:szCs w:val="15"/>
          <w:color w:val="auto"/>
        </w:rPr>
        <w:t>The Chief Executive Officer is responsible for managing the business and affairs of the Company, subject to the oversight of the Board. The Chief Executive Officer’s duties include: providing leadership to the Company’s management team; developing and presenting to the Board the Company’s strategy and long-term plans, medium-term plans, and annual budgets, and within this framework, the performance of the business; complying with legal and corporate governance requirements, making recommendations on the appointment and compensation of executive officers, management development, and succession planning; representing the Company externally; consulting with the Chairman of the Board about developments in the Company; and communicating with all directors about key issues outside of Board meetings.</w:t>
      </w:r>
    </w:p>
    <w:p>
      <w:pPr>
        <w:spacing w:after="0" w:line="72" w:lineRule="exact"/>
        <w:rPr>
          <w:sz w:val="20"/>
          <w:szCs w:val="20"/>
          <w:color w:val="auto"/>
        </w:rPr>
      </w:pPr>
    </w:p>
    <w:p>
      <w:pPr>
        <w:ind w:left="560" w:right="780"/>
        <w:spacing w:after="0" w:line="275" w:lineRule="auto"/>
        <w:rPr>
          <w:sz w:val="20"/>
          <w:szCs w:val="20"/>
          <w:color w:val="auto"/>
        </w:rPr>
      </w:pPr>
      <w:r>
        <w:rPr>
          <w:rFonts w:ascii="Arial" w:cs="Arial" w:eastAsia="Arial" w:hAnsi="Arial"/>
          <w:sz w:val="15"/>
          <w:szCs w:val="15"/>
          <w:color w:val="auto"/>
        </w:rPr>
        <w:t>This leadership approach is intended to serve the interests of all stockholders of this controlled company, which has historically recognized the importance of maintaining a majority of independent directors.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Committees of the Board</w:t>
      </w:r>
    </w:p>
    <w:p>
      <w:pPr>
        <w:spacing w:after="0" w:line="69" w:lineRule="exact"/>
        <w:rPr>
          <w:sz w:val="20"/>
          <w:szCs w:val="20"/>
          <w:color w:val="auto"/>
        </w:rPr>
      </w:pPr>
    </w:p>
    <w:p>
      <w:pPr>
        <w:ind w:left="560" w:right="40"/>
        <w:spacing w:after="0" w:line="252" w:lineRule="auto"/>
        <w:rPr>
          <w:sz w:val="20"/>
          <w:szCs w:val="20"/>
          <w:color w:val="auto"/>
        </w:rPr>
      </w:pPr>
      <w:r>
        <w:rPr>
          <w:rFonts w:ascii="Arial" w:cs="Arial" w:eastAsia="Arial" w:hAnsi="Arial"/>
          <w:sz w:val="15"/>
          <w:szCs w:val="15"/>
          <w:color w:val="auto"/>
        </w:rPr>
        <w:t xml:space="preserve">The Board has established three standing committees: Audit Committee, Compensation and Talent Management Committee, and Corporate Governance and Nominating Committee. Each committee functions under a written charter adopted by the Board, which is available on the Company’s website at </w:t>
      </w:r>
      <w:r>
        <w:rPr>
          <w:rFonts w:ascii="Arial" w:cs="Arial" w:eastAsia="Arial" w:hAnsi="Arial"/>
          <w:sz w:val="15"/>
          <w:szCs w:val="15"/>
          <w:i w:val="1"/>
          <w:iCs w:val="1"/>
          <w:color w:val="auto"/>
        </w:rPr>
        <w:t xml:space="preserve">kellyservices.com </w:t>
      </w:r>
      <w:r>
        <w:rPr>
          <w:rFonts w:ascii="Arial" w:cs="Arial" w:eastAsia="Arial" w:hAnsi="Arial"/>
          <w:sz w:val="15"/>
          <w:szCs w:val="15"/>
          <w:color w:val="auto"/>
        </w:rPr>
        <w:t>or to any shareholder who requests a copy. The members, responsibilities, and the number of meetings each of these committees held</w:t>
      </w:r>
      <w:r>
        <w:rPr>
          <w:rFonts w:ascii="Arial" w:cs="Arial" w:eastAsia="Arial" w:hAnsi="Arial"/>
          <w:sz w:val="15"/>
          <w:szCs w:val="15"/>
          <w:i w:val="1"/>
          <w:iCs w:val="1"/>
          <w:color w:val="auto"/>
        </w:rPr>
        <w:t xml:space="preserve"> </w:t>
      </w:r>
      <w:r>
        <w:rPr>
          <w:rFonts w:ascii="Arial" w:cs="Arial" w:eastAsia="Arial" w:hAnsi="Arial"/>
          <w:sz w:val="15"/>
          <w:szCs w:val="15"/>
          <w:color w:val="auto"/>
        </w:rPr>
        <w:t>in 2025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130810</wp:posOffset>
            </wp:positionV>
            <wp:extent cx="6387465" cy="3702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87465" cy="3702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400" w:type="dxa"/>
        <w:tblCellMar>
          <w:top w:w="0" w:type="dxa"/>
          <w:left w:w="0" w:type="dxa"/>
          <w:bottom w:w="0" w:type="dxa"/>
          <w:right w:w="0" w:type="dxa"/>
        </w:tblCellMar>
      </w:tblPr>
      <w:tr>
        <w:trPr>
          <w:trHeight w:val="174"/>
        </w:trPr>
        <w:tc>
          <w:tcPr>
            <w:tcW w:w="2300" w:type="dxa"/>
            <w:vAlign w:val="bottom"/>
          </w:tcPr>
          <w:p>
            <w:pPr>
              <w:spacing w:after="0"/>
              <w:rPr>
                <w:sz w:val="20"/>
                <w:szCs w:val="20"/>
                <w:color w:val="auto"/>
              </w:rPr>
            </w:pPr>
            <w:r>
              <w:rPr>
                <w:rFonts w:ascii="Arial" w:cs="Arial" w:eastAsia="Arial" w:hAnsi="Arial"/>
                <w:sz w:val="15"/>
                <w:szCs w:val="15"/>
                <w:b w:val="1"/>
                <w:bCs w:val="1"/>
                <w:color w:val="auto"/>
              </w:rPr>
              <w:t>Audit Committee</w:t>
            </w:r>
          </w:p>
        </w:tc>
        <w:tc>
          <w:tcPr>
            <w:tcW w:w="4060" w:type="dxa"/>
            <w:vAlign w:val="bottom"/>
          </w:tcPr>
          <w:p>
            <w:pPr>
              <w:ind w:left="1140"/>
              <w:spacing w:after="0"/>
              <w:rPr>
                <w:sz w:val="20"/>
                <w:szCs w:val="20"/>
                <w:color w:val="auto"/>
              </w:rPr>
            </w:pPr>
            <w:r>
              <w:rPr>
                <w:rFonts w:ascii="Arial" w:cs="Arial" w:eastAsia="Arial" w:hAnsi="Arial"/>
                <w:sz w:val="15"/>
                <w:szCs w:val="15"/>
                <w:b w:val="1"/>
                <w:bCs w:val="1"/>
                <w:color w:val="auto"/>
              </w:rPr>
              <w:t>Compensation and Talent</w:t>
            </w:r>
          </w:p>
        </w:tc>
        <w:tc>
          <w:tcPr>
            <w:tcW w:w="2460" w:type="dxa"/>
            <w:vAlign w:val="bottom"/>
            <w:gridSpan w:val="2"/>
          </w:tcPr>
          <w:p>
            <w:pPr>
              <w:ind w:left="500"/>
              <w:spacing w:after="0"/>
              <w:rPr>
                <w:sz w:val="20"/>
                <w:szCs w:val="20"/>
                <w:color w:val="auto"/>
              </w:rPr>
            </w:pPr>
            <w:r>
              <w:rPr>
                <w:rFonts w:ascii="Arial" w:cs="Arial" w:eastAsia="Arial" w:hAnsi="Arial"/>
                <w:sz w:val="15"/>
                <w:szCs w:val="15"/>
                <w:b w:val="1"/>
                <w:bCs w:val="1"/>
                <w:color w:val="auto"/>
              </w:rPr>
              <w:t>Corporate Governance and</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20"/>
                <w:szCs w:val="20"/>
                <w:color w:val="auto"/>
              </w:rPr>
            </w:pPr>
            <w:r>
              <w:rPr>
                <w:rFonts w:ascii="Arial" w:cs="Arial" w:eastAsia="Arial" w:hAnsi="Arial"/>
                <w:sz w:val="15"/>
                <w:szCs w:val="15"/>
                <w:color w:val="auto"/>
              </w:rPr>
              <w:t>All Independent</w:t>
            </w:r>
          </w:p>
        </w:tc>
        <w:tc>
          <w:tcPr>
            <w:tcW w:w="4060" w:type="dxa"/>
            <w:vAlign w:val="bottom"/>
          </w:tcPr>
          <w:p>
            <w:pPr>
              <w:ind w:left="1140"/>
              <w:spacing w:after="0"/>
              <w:rPr>
                <w:sz w:val="20"/>
                <w:szCs w:val="20"/>
                <w:color w:val="auto"/>
              </w:rPr>
            </w:pPr>
            <w:r>
              <w:rPr>
                <w:rFonts w:ascii="Arial" w:cs="Arial" w:eastAsia="Arial" w:hAnsi="Arial"/>
                <w:sz w:val="15"/>
                <w:szCs w:val="15"/>
                <w:b w:val="1"/>
                <w:bCs w:val="1"/>
                <w:color w:val="auto"/>
              </w:rPr>
              <w:t>Management Committee</w:t>
            </w:r>
          </w:p>
        </w:tc>
        <w:tc>
          <w:tcPr>
            <w:tcW w:w="2160" w:type="dxa"/>
            <w:vAlign w:val="bottom"/>
          </w:tcPr>
          <w:p>
            <w:pPr>
              <w:ind w:left="500"/>
              <w:spacing w:after="0"/>
              <w:rPr>
                <w:sz w:val="20"/>
                <w:szCs w:val="20"/>
                <w:color w:val="auto"/>
              </w:rPr>
            </w:pPr>
            <w:r>
              <w:rPr>
                <w:rFonts w:ascii="Arial" w:cs="Arial" w:eastAsia="Arial" w:hAnsi="Arial"/>
                <w:sz w:val="15"/>
                <w:szCs w:val="15"/>
                <w:b w:val="1"/>
                <w:bCs w:val="1"/>
                <w:color w:val="auto"/>
                <w:w w:val="99"/>
              </w:rPr>
              <w:t>Nominating Committee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4060" w:type="dxa"/>
            <w:vAlign w:val="bottom"/>
          </w:tcPr>
          <w:p>
            <w:pPr>
              <w:ind w:left="1140"/>
              <w:spacing w:after="0"/>
              <w:rPr>
                <w:sz w:val="20"/>
                <w:szCs w:val="20"/>
                <w:color w:val="auto"/>
              </w:rPr>
            </w:pPr>
            <w:r>
              <w:rPr>
                <w:rFonts w:ascii="Arial" w:cs="Arial" w:eastAsia="Arial" w:hAnsi="Arial"/>
                <w:sz w:val="15"/>
                <w:szCs w:val="15"/>
                <w:color w:val="auto"/>
              </w:rPr>
              <w:t>All Independent through January 30,</w:t>
            </w:r>
          </w:p>
        </w:tc>
        <w:tc>
          <w:tcPr>
            <w:tcW w:w="2920" w:type="dxa"/>
            <w:vAlign w:val="bottom"/>
            <w:gridSpan w:val="4"/>
          </w:tcPr>
          <w:p>
            <w:pPr>
              <w:ind w:left="500"/>
              <w:spacing w:after="0"/>
              <w:rPr>
                <w:sz w:val="20"/>
                <w:szCs w:val="20"/>
                <w:color w:val="auto"/>
              </w:rPr>
            </w:pPr>
            <w:r>
              <w:rPr>
                <w:rFonts w:ascii="Arial" w:cs="Arial" w:eastAsia="Arial" w:hAnsi="Arial"/>
                <w:sz w:val="15"/>
                <w:szCs w:val="15"/>
                <w:color w:val="auto"/>
                <w:w w:val="99"/>
              </w:rPr>
              <w:t>All Independent through January 30,</w:t>
            </w: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4060" w:type="dxa"/>
            <w:vAlign w:val="bottom"/>
          </w:tcPr>
          <w:p>
            <w:pPr>
              <w:ind w:left="1140"/>
              <w:spacing w:after="0"/>
              <w:rPr>
                <w:sz w:val="20"/>
                <w:szCs w:val="20"/>
                <w:color w:val="auto"/>
              </w:rPr>
            </w:pPr>
            <w:r>
              <w:rPr>
                <w:rFonts w:ascii="Arial" w:cs="Arial" w:eastAsia="Arial" w:hAnsi="Arial"/>
                <w:sz w:val="15"/>
                <w:szCs w:val="15"/>
                <w:color w:val="auto"/>
              </w:rPr>
              <w:t>2026 Currently Majority Independent</w:t>
            </w:r>
          </w:p>
        </w:tc>
        <w:tc>
          <w:tcPr>
            <w:tcW w:w="2920" w:type="dxa"/>
            <w:vAlign w:val="bottom"/>
            <w:gridSpan w:val="4"/>
          </w:tcPr>
          <w:p>
            <w:pPr>
              <w:ind w:left="500"/>
              <w:spacing w:after="0"/>
              <w:rPr>
                <w:sz w:val="20"/>
                <w:szCs w:val="20"/>
                <w:color w:val="auto"/>
              </w:rPr>
            </w:pPr>
            <w:r>
              <w:rPr>
                <w:rFonts w:ascii="Arial" w:cs="Arial" w:eastAsia="Arial" w:hAnsi="Arial"/>
                <w:sz w:val="15"/>
                <w:szCs w:val="15"/>
                <w:color w:val="auto"/>
                <w:w w:val="98"/>
              </w:rPr>
              <w:t>2026 Currently Majority Independent</w:t>
            </w: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60" w:type="dxa"/>
            <w:vAlign w:val="bottom"/>
            <w:vMerge w:val="restart"/>
          </w:tcPr>
          <w:p>
            <w:pPr>
              <w:ind w:left="1360"/>
              <w:spacing w:after="0"/>
              <w:rPr>
                <w:sz w:val="20"/>
                <w:szCs w:val="20"/>
                <w:color w:val="auto"/>
              </w:rPr>
            </w:pPr>
            <w:r>
              <w:rPr>
                <w:rFonts w:ascii="Arial" w:cs="Arial" w:eastAsia="Arial" w:hAnsi="Arial"/>
                <w:sz w:val="20"/>
                <w:szCs w:val="20"/>
                <w:color w:val="auto"/>
              </w:rPr>
              <w:t> </w:t>
            </w:r>
          </w:p>
        </w:tc>
        <w:tc>
          <w:tcPr>
            <w:tcW w:w="300" w:type="dxa"/>
            <w:vAlign w:val="bottom"/>
            <w:vMerge w:val="restart"/>
          </w:tcPr>
          <w:p>
            <w:pPr>
              <w:ind w:left="4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1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80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-128905</wp:posOffset>
            </wp:positionV>
            <wp:extent cx="6426835" cy="2646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26835" cy="264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6740" w:type="dxa"/>
            <w:vAlign w:val="bottom"/>
          </w:tcPr>
          <w:p>
            <w:pPr>
              <w:spacing w:after="0"/>
              <w:rPr>
                <w:sz w:val="20"/>
                <w:szCs w:val="20"/>
                <w:color w:val="auto"/>
              </w:rPr>
            </w:pPr>
            <w:r>
              <w:rPr>
                <w:rFonts w:ascii="Arial" w:cs="Arial" w:eastAsia="Arial" w:hAnsi="Arial"/>
                <w:sz w:val="15"/>
                <w:szCs w:val="15"/>
                <w:b w:val="1"/>
                <w:bCs w:val="1"/>
                <w:color w:val="auto"/>
              </w:rPr>
              <w:t>Key Responsibilities:</w:t>
            </w:r>
          </w:p>
        </w:tc>
        <w:tc>
          <w:tcPr>
            <w:tcW w:w="420" w:type="dxa"/>
            <w:vAlign w:val="bottom"/>
            <w:vMerge w:val="restart"/>
          </w:tcPr>
          <w:p>
            <w:pPr>
              <w:ind w:left="220"/>
              <w:spacing w:after="0"/>
              <w:rPr>
                <w:sz w:val="20"/>
                <w:szCs w:val="20"/>
                <w:color w:val="auto"/>
              </w:rPr>
            </w:pPr>
            <w:r>
              <w:rPr>
                <w:rFonts w:ascii="Arial" w:cs="Arial" w:eastAsia="Arial" w:hAnsi="Arial"/>
                <w:sz w:val="15"/>
                <w:szCs w:val="15"/>
                <w:color w:val="auto"/>
              </w:rPr>
              <w:t> </w:t>
            </w:r>
          </w:p>
        </w:tc>
        <w:tc>
          <w:tcPr>
            <w:tcW w:w="100" w:type="dxa"/>
            <w:vAlign w:val="bottom"/>
            <w:shd w:val="clear" w:color="auto" w:fill="EAEAE9"/>
          </w:tcPr>
          <w:p>
            <w:pPr>
              <w:spacing w:after="0"/>
              <w:rPr>
                <w:sz w:val="15"/>
                <w:szCs w:val="15"/>
                <w:color w:val="auto"/>
              </w:rPr>
            </w:pPr>
          </w:p>
        </w:tc>
        <w:tc>
          <w:tcPr>
            <w:tcW w:w="2340" w:type="dxa"/>
            <w:vAlign w:val="bottom"/>
            <w:vMerge w:val="restart"/>
            <w:shd w:val="clear" w:color="auto" w:fill="EAEAE9"/>
          </w:tcPr>
          <w:p>
            <w:pPr>
              <w:ind w:left="140"/>
              <w:spacing w:after="0"/>
              <w:rPr>
                <w:sz w:val="20"/>
                <w:szCs w:val="20"/>
                <w:color w:val="auto"/>
              </w:rPr>
            </w:pPr>
            <w:r>
              <w:rPr>
                <w:rFonts w:ascii="Arial" w:cs="Arial" w:eastAsia="Arial" w:hAnsi="Arial"/>
                <w:sz w:val="15"/>
                <w:szCs w:val="15"/>
                <w:b w:val="1"/>
                <w:bCs w:val="1"/>
                <w:color w:val="auto"/>
              </w:rPr>
              <w:t xml:space="preserve">Members: </w:t>
            </w:r>
            <w:r>
              <w:rPr>
                <w:rFonts w:ascii="Arial" w:cs="Arial" w:eastAsia="Arial" w:hAnsi="Arial"/>
                <w:sz w:val="15"/>
                <w:szCs w:val="15"/>
                <w:b w:val="1"/>
                <w:bCs w:val="1"/>
                <w:color w:val="00AE4F"/>
              </w:rPr>
              <w:t>All Independent</w:t>
            </w:r>
          </w:p>
        </w:tc>
        <w:tc>
          <w:tcPr>
            <w:tcW w:w="540" w:type="dxa"/>
            <w:vAlign w:val="bottom"/>
            <w:vMerge w:val="restart"/>
            <w:shd w:val="clear" w:color="auto" w:fill="EAEAE9"/>
          </w:tcPr>
          <w:p>
            <w:pPr>
              <w:ind w:lef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Oversees and reports to the Board with respect to the quality, integrity, and effectiveness of the</w:t>
            </w: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EAEAE9"/>
            </w:tcBorders>
            <w:vMerge w:val="continue"/>
            <w:shd w:val="clear" w:color="auto" w:fill="EAEAE9"/>
          </w:tcPr>
          <w:p>
            <w:pPr>
              <w:spacing w:after="0"/>
              <w:rPr>
                <w:sz w:val="18"/>
                <w:szCs w:val="18"/>
                <w:color w:val="auto"/>
              </w:rPr>
            </w:pPr>
          </w:p>
        </w:tc>
        <w:tc>
          <w:tcPr>
            <w:tcW w:w="540" w:type="dxa"/>
            <w:vAlign w:val="bottom"/>
            <w:tcBorders>
              <w:bottom w:val="single" w:sz="8" w:color="EAEAE9"/>
            </w:tcBorders>
            <w:vMerge w:val="continue"/>
            <w:shd w:val="clear" w:color="auto" w:fill="EAEAE9"/>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740" w:type="dxa"/>
            <w:vAlign w:val="bottom"/>
          </w:tcPr>
          <w:p>
            <w:pPr>
              <w:ind w:left="180"/>
              <w:spacing w:after="0"/>
              <w:rPr>
                <w:sz w:val="20"/>
                <w:szCs w:val="20"/>
                <w:color w:val="auto"/>
              </w:rPr>
            </w:pPr>
            <w:r>
              <w:rPr>
                <w:rFonts w:ascii="Arial" w:cs="Arial" w:eastAsia="Arial" w:hAnsi="Arial"/>
                <w:sz w:val="15"/>
                <w:szCs w:val="15"/>
                <w:color w:val="auto"/>
              </w:rPr>
              <w:t>Company’s financial statements, accounting, and financial reporting processes, and audits of the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vMerge w:val="restart"/>
          </w:tcPr>
          <w:p>
            <w:pPr>
              <w:ind w:left="820"/>
              <w:spacing w:after="0"/>
              <w:rPr>
                <w:sz w:val="20"/>
                <w:szCs w:val="20"/>
                <w:color w:val="auto"/>
              </w:rPr>
            </w:pPr>
            <w:r>
              <w:rPr>
                <w:rFonts w:ascii="Arial" w:cs="Arial" w:eastAsia="Arial" w:hAnsi="Arial"/>
                <w:sz w:val="15"/>
                <w:szCs w:val="15"/>
                <w:color w:val="auto"/>
              </w:rPr>
              <w:t>Leslie A. Murphy</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740" w:type="dxa"/>
            <w:vAlign w:val="bottom"/>
            <w:vMerge w:val="restart"/>
          </w:tcPr>
          <w:p>
            <w:pPr>
              <w:ind w:left="180"/>
              <w:spacing w:after="0"/>
              <w:rPr>
                <w:sz w:val="20"/>
                <w:szCs w:val="20"/>
                <w:color w:val="auto"/>
              </w:rPr>
            </w:pPr>
            <w:r>
              <w:rPr>
                <w:rFonts w:ascii="Arial" w:cs="Arial" w:eastAsia="Arial" w:hAnsi="Arial"/>
                <w:sz w:val="15"/>
                <w:szCs w:val="15"/>
                <w:color w:val="auto"/>
              </w:rPr>
              <w:t>financial statements and internal controls over financial reporting</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7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vMerge w:val="restart"/>
          </w:tcPr>
          <w:p>
            <w:pPr>
              <w:ind w:left="820"/>
              <w:spacing w:after="0" w:line="151" w:lineRule="exact"/>
              <w:rPr>
                <w:sz w:val="20"/>
                <w:szCs w:val="20"/>
                <w:color w:val="auto"/>
              </w:rPr>
            </w:pPr>
            <w:r>
              <w:rPr>
                <w:rFonts w:ascii="Arial" w:cs="Arial" w:eastAsia="Arial" w:hAnsi="Arial"/>
                <w:sz w:val="15"/>
                <w:szCs w:val="15"/>
                <w:b w:val="1"/>
                <w:bCs w:val="1"/>
                <w:color w:val="00AE4F"/>
              </w:rPr>
              <w:t>(Chair)</w:t>
            </w: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-426085</wp:posOffset>
            </wp:positionV>
            <wp:extent cx="1819275" cy="19850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19275" cy="198501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-426085</wp:posOffset>
            </wp:positionV>
            <wp:extent cx="1819275" cy="19850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19275" cy="1985010"/>
                    </a:xfrm>
                    <a:prstGeom prst="rect">
                      <a:avLst/>
                    </a:prstGeom>
                    <a:noFill/>
                  </pic:spPr>
                </pic:pic>
              </a:graphicData>
            </a:graphic>
          </wp:anchor>
        </w:drawing>
      </w:r>
    </w:p>
    <w:p>
      <w:pPr>
        <w:ind w:left="740" w:right="3600" w:hanging="176"/>
        <w:spacing w:after="0" w:line="255" w:lineRule="auto"/>
        <w:tabs>
          <w:tab w:leader="none" w:pos="740" w:val="left"/>
        </w:tabs>
        <w:numPr>
          <w:ilvl w:val="0"/>
          <w:numId w:val="58"/>
        </w:numPr>
        <w:rPr>
          <w:rFonts w:ascii="Times New Roman" w:cs="Times New Roman" w:eastAsia="Times New Roman" w:hAnsi="Times New Roman"/>
          <w:sz w:val="12"/>
          <w:szCs w:val="12"/>
          <w:color w:val="00AE4F"/>
        </w:rPr>
      </w:pPr>
      <w:r>
        <w:rPr>
          <w:rFonts w:ascii="Arial" w:cs="Arial" w:eastAsia="Arial" w:hAnsi="Arial"/>
          <w:sz w:val="15"/>
          <w:szCs w:val="15"/>
          <w:color w:val="auto"/>
        </w:rPr>
        <w:t>Appoints, compensates, and evaluates the qualifications, independence, and performance of the independent auditor</w:t>
      </w:r>
    </w:p>
    <w:p>
      <w:pPr>
        <w:spacing w:after="0" w:line="4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742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Oversees the performance of the internal audit function, including the Chief Audit Executive (“CAE”)</w:t>
            </w:r>
          </w:p>
        </w:tc>
        <w:tc>
          <w:tcPr>
            <w:tcW w:w="1800" w:type="dxa"/>
            <w:vAlign w:val="bottom"/>
            <w:vMerge w:val="restart"/>
          </w:tcPr>
          <w:p>
            <w:pPr>
              <w:ind w:left="660"/>
              <w:spacing w:after="0"/>
              <w:rPr>
                <w:sz w:val="20"/>
                <w:szCs w:val="20"/>
                <w:color w:val="auto"/>
              </w:rPr>
            </w:pPr>
            <w:r>
              <w:rPr>
                <w:rFonts w:ascii="Arial" w:cs="Arial" w:eastAsia="Arial" w:hAnsi="Arial"/>
                <w:sz w:val="15"/>
                <w:szCs w:val="15"/>
                <w:color w:val="auto"/>
                <w:w w:val="97"/>
              </w:rPr>
              <w:t>Robert S. Cubbin</w:t>
            </w:r>
          </w:p>
        </w:tc>
        <w:tc>
          <w:tcPr>
            <w:tcW w:w="0" w:type="dxa"/>
            <w:vAlign w:val="bottom"/>
          </w:tcPr>
          <w:p>
            <w:pPr>
              <w:spacing w:after="0"/>
              <w:rPr>
                <w:sz w:val="1"/>
                <w:szCs w:val="1"/>
                <w:color w:val="auto"/>
              </w:rPr>
            </w:pPr>
          </w:p>
        </w:tc>
      </w:tr>
      <w:tr>
        <w:trPr>
          <w:trHeight w:val="50"/>
        </w:trPr>
        <w:tc>
          <w:tcPr>
            <w:tcW w:w="74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740" w:hanging="176"/>
        <w:spacing w:after="0"/>
        <w:tabs>
          <w:tab w:leader="none" w:pos="740" w:val="left"/>
        </w:tabs>
        <w:numPr>
          <w:ilvl w:val="0"/>
          <w:numId w:val="59"/>
        </w:numPr>
        <w:rPr>
          <w:rFonts w:ascii="Times New Roman" w:cs="Times New Roman" w:eastAsia="Times New Roman" w:hAnsi="Times New Roman"/>
          <w:sz w:val="12"/>
          <w:szCs w:val="12"/>
          <w:color w:val="00AE4F"/>
        </w:rPr>
      </w:pPr>
      <w:r>
        <w:rPr>
          <w:rFonts w:ascii="Arial" w:cs="Arial" w:eastAsia="Arial" w:hAnsi="Arial"/>
          <w:sz w:val="15"/>
          <w:szCs w:val="15"/>
          <w:color w:val="auto"/>
        </w:rPr>
        <w:t>Oversees the Company’s Enterprise Risk Management Program</w:t>
      </w:r>
    </w:p>
    <w:p>
      <w:pPr>
        <w:spacing w:after="0" w:line="75" w:lineRule="exact"/>
        <w:rPr>
          <w:rFonts w:ascii="Times New Roman" w:cs="Times New Roman" w:eastAsia="Times New Roman" w:hAnsi="Times New Roman"/>
          <w:sz w:val="12"/>
          <w:szCs w:val="12"/>
          <w:color w:val="00AE4F"/>
        </w:rPr>
      </w:pPr>
    </w:p>
    <w:p>
      <w:pPr>
        <w:ind w:left="740" w:hanging="176"/>
        <w:spacing w:after="0"/>
        <w:tabs>
          <w:tab w:leader="none" w:pos="740" w:val="left"/>
        </w:tabs>
        <w:numPr>
          <w:ilvl w:val="0"/>
          <w:numId w:val="59"/>
        </w:numPr>
        <w:rPr>
          <w:rFonts w:ascii="Times New Roman" w:cs="Times New Roman" w:eastAsia="Times New Roman" w:hAnsi="Times New Roman"/>
          <w:sz w:val="12"/>
          <w:szCs w:val="12"/>
          <w:color w:val="00AE4F"/>
        </w:rPr>
      </w:pPr>
      <w:r>
        <w:rPr>
          <w:rFonts w:ascii="Arial" w:cs="Arial" w:eastAsia="Arial" w:hAnsi="Arial"/>
          <w:sz w:val="15"/>
          <w:szCs w:val="15"/>
          <w:color w:val="auto"/>
        </w:rPr>
        <w:t>Reviews and discusses with management the Company’s major financial, security, and cybersecurity</w:t>
      </w:r>
    </w:p>
    <w:p>
      <w:pPr>
        <w:spacing w:after="0" w:line="2"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7180" w:type="dxa"/>
            <w:vAlign w:val="bottom"/>
          </w:tcPr>
          <w:p>
            <w:pPr>
              <w:spacing w:after="0"/>
              <w:rPr>
                <w:sz w:val="20"/>
                <w:szCs w:val="20"/>
                <w:color w:val="auto"/>
              </w:rPr>
            </w:pPr>
            <w:r>
              <w:rPr>
                <w:rFonts w:ascii="Arial" w:cs="Arial" w:eastAsia="Arial" w:hAnsi="Arial"/>
                <w:sz w:val="15"/>
                <w:szCs w:val="15"/>
                <w:color w:val="auto"/>
              </w:rPr>
              <w:t>risk exposures, artificial intelligence, and the steps management takes to monitor and control such</w:t>
            </w:r>
          </w:p>
        </w:tc>
        <w:tc>
          <w:tcPr>
            <w:tcW w:w="1820" w:type="dxa"/>
            <w:vAlign w:val="bottom"/>
            <w:vMerge w:val="restart"/>
          </w:tcPr>
          <w:p>
            <w:pPr>
              <w:ind w:left="720"/>
              <w:spacing w:after="0"/>
              <w:rPr>
                <w:sz w:val="20"/>
                <w:szCs w:val="20"/>
                <w:color w:val="auto"/>
              </w:rPr>
            </w:pPr>
            <w:r>
              <w:rPr>
                <w:rFonts w:ascii="Arial" w:cs="Arial" w:eastAsia="Arial" w:hAnsi="Arial"/>
                <w:sz w:val="15"/>
                <w:szCs w:val="15"/>
                <w:color w:val="auto"/>
                <w:w w:val="97"/>
              </w:rPr>
              <w:t>Amala Duggirala</w:t>
            </w:r>
          </w:p>
        </w:tc>
        <w:tc>
          <w:tcPr>
            <w:tcW w:w="0" w:type="dxa"/>
            <w:vAlign w:val="bottom"/>
          </w:tcPr>
          <w:p>
            <w:pPr>
              <w:spacing w:after="0"/>
              <w:rPr>
                <w:sz w:val="1"/>
                <w:szCs w:val="1"/>
                <w:color w:val="auto"/>
              </w:rPr>
            </w:pPr>
          </w:p>
        </w:tc>
      </w:tr>
      <w:tr>
        <w:trPr>
          <w:trHeight w:val="97"/>
        </w:trPr>
        <w:tc>
          <w:tcPr>
            <w:tcW w:w="7180" w:type="dxa"/>
            <w:vAlign w:val="bottom"/>
            <w:vMerge w:val="restart"/>
          </w:tcPr>
          <w:p>
            <w:pPr>
              <w:spacing w:after="0"/>
              <w:rPr>
                <w:sz w:val="20"/>
                <w:szCs w:val="20"/>
                <w:color w:val="auto"/>
              </w:rPr>
            </w:pPr>
            <w:r>
              <w:rPr>
                <w:rFonts w:ascii="Arial" w:cs="Arial" w:eastAsia="Arial" w:hAnsi="Arial"/>
                <w:sz w:val="15"/>
                <w:szCs w:val="15"/>
                <w:color w:val="auto"/>
              </w:rPr>
              <w:t>exposures</w:t>
            </w: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18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740" w:hanging="176"/>
        <w:spacing w:after="0"/>
        <w:tabs>
          <w:tab w:leader="none" w:pos="740" w:val="left"/>
        </w:tabs>
        <w:numPr>
          <w:ilvl w:val="0"/>
          <w:numId w:val="60"/>
        </w:numPr>
        <w:rPr>
          <w:rFonts w:ascii="Times New Roman" w:cs="Times New Roman" w:eastAsia="Times New Roman" w:hAnsi="Times New Roman"/>
          <w:sz w:val="12"/>
          <w:szCs w:val="12"/>
          <w:color w:val="00AE4F"/>
        </w:rPr>
      </w:pPr>
      <w:r>
        <w:rPr>
          <w:rFonts w:ascii="Arial" w:cs="Arial" w:eastAsia="Arial" w:hAnsi="Arial"/>
          <w:sz w:val="15"/>
          <w:szCs w:val="15"/>
          <w:color w:val="auto"/>
        </w:rPr>
        <w:t>Monitors the Company’s compliance with legal and regulatory requirements</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00AE4F"/>
              </w:rPr>
              <w:t>●</w:t>
            </w:r>
          </w:p>
        </w:tc>
        <w:tc>
          <w:tcPr>
            <w:tcW w:w="6040" w:type="dxa"/>
            <w:vAlign w:val="bottom"/>
          </w:tcPr>
          <w:p>
            <w:pPr>
              <w:ind w:left="60"/>
              <w:spacing w:after="0"/>
              <w:rPr>
                <w:sz w:val="20"/>
                <w:szCs w:val="20"/>
                <w:color w:val="auto"/>
              </w:rPr>
            </w:pPr>
            <w:r>
              <w:rPr>
                <w:rFonts w:ascii="Arial" w:cs="Arial" w:eastAsia="Arial" w:hAnsi="Arial"/>
                <w:sz w:val="15"/>
                <w:szCs w:val="15"/>
                <w:color w:val="auto"/>
              </w:rPr>
              <w:t>Oversees sustainability disclosures, controls, processes, and assurance</w:t>
            </w:r>
          </w:p>
        </w:tc>
        <w:tc>
          <w:tcPr>
            <w:tcW w:w="2480" w:type="dxa"/>
            <w:vAlign w:val="bottom"/>
          </w:tcPr>
          <w:p>
            <w:pPr>
              <w:ind w:left="1240"/>
              <w:spacing w:after="0"/>
              <w:rPr>
                <w:sz w:val="20"/>
                <w:szCs w:val="20"/>
                <w:color w:val="auto"/>
              </w:rPr>
            </w:pPr>
            <w:r>
              <w:rPr>
                <w:rFonts w:ascii="Arial" w:cs="Arial" w:eastAsia="Arial" w:hAnsi="Arial"/>
                <w:sz w:val="15"/>
                <w:szCs w:val="15"/>
                <w:b w:val="1"/>
                <w:bCs w:val="1"/>
                <w:color w:val="auto"/>
                <w:w w:val="97"/>
              </w:rPr>
              <w:t>Meetings in 2025:</w:t>
            </w:r>
          </w:p>
        </w:tc>
        <w:tc>
          <w:tcPr>
            <w:tcW w:w="0" w:type="dxa"/>
            <w:vAlign w:val="bottom"/>
          </w:tcPr>
          <w:p>
            <w:pPr>
              <w:spacing w:after="0"/>
              <w:rPr>
                <w:sz w:val="1"/>
                <w:szCs w:val="1"/>
                <w:color w:val="auto"/>
              </w:rPr>
            </w:pPr>
          </w:p>
        </w:tc>
      </w:tr>
      <w:tr>
        <w:trPr>
          <w:trHeight w:val="248"/>
        </w:trPr>
        <w:tc>
          <w:tcPr>
            <w:tcW w:w="120" w:type="dxa"/>
            <w:vAlign w:val="bottom"/>
            <w:vMerge w:val="restart"/>
          </w:tcPr>
          <w:p>
            <w:pPr>
              <w:spacing w:after="0"/>
              <w:rPr>
                <w:sz w:val="20"/>
                <w:szCs w:val="20"/>
                <w:color w:val="auto"/>
              </w:rPr>
            </w:pPr>
            <w:r>
              <w:rPr>
                <w:rFonts w:ascii="Times New Roman" w:cs="Times New Roman" w:eastAsia="Times New Roman" w:hAnsi="Times New Roman"/>
                <w:sz w:val="12"/>
                <w:szCs w:val="12"/>
                <w:color w:val="00AE4F"/>
              </w:rPr>
              <w:t>●</w:t>
            </w:r>
          </w:p>
        </w:tc>
        <w:tc>
          <w:tcPr>
            <w:tcW w:w="6040" w:type="dxa"/>
            <w:vAlign w:val="bottom"/>
            <w:vMerge w:val="restart"/>
          </w:tcPr>
          <w:p>
            <w:pPr>
              <w:ind w:left="60"/>
              <w:spacing w:after="0"/>
              <w:rPr>
                <w:sz w:val="20"/>
                <w:szCs w:val="20"/>
                <w:color w:val="auto"/>
              </w:rPr>
            </w:pPr>
            <w:r>
              <w:rPr>
                <w:rFonts w:ascii="Arial" w:cs="Arial" w:eastAsia="Arial" w:hAnsi="Arial"/>
                <w:sz w:val="15"/>
                <w:szCs w:val="15"/>
                <w:color w:val="auto"/>
              </w:rPr>
              <w:t>Reviews and approves related party transactions</w:t>
            </w:r>
          </w:p>
        </w:tc>
        <w:tc>
          <w:tcPr>
            <w:tcW w:w="2480" w:type="dxa"/>
            <w:vAlign w:val="bottom"/>
          </w:tcPr>
          <w:p>
            <w:pPr>
              <w:ind w:left="1240"/>
              <w:spacing w:after="0" w:line="247" w:lineRule="exact"/>
              <w:rPr>
                <w:sz w:val="20"/>
                <w:szCs w:val="20"/>
                <w:color w:val="auto"/>
              </w:rPr>
            </w:pPr>
            <w:r>
              <w:rPr>
                <w:rFonts w:ascii="Arial" w:cs="Arial" w:eastAsia="Arial" w:hAnsi="Arial"/>
                <w:sz w:val="28"/>
                <w:szCs w:val="28"/>
                <w:b w:val="1"/>
                <w:bCs w:val="1"/>
                <w:color w:val="00AE4F"/>
              </w:rPr>
              <w:t>4</w:t>
            </w:r>
          </w:p>
        </w:tc>
        <w:tc>
          <w:tcPr>
            <w:tcW w:w="0" w:type="dxa"/>
            <w:vAlign w:val="bottom"/>
          </w:tcPr>
          <w:p>
            <w:pPr>
              <w:spacing w:after="0"/>
              <w:rPr>
                <w:sz w:val="1"/>
                <w:szCs w:val="1"/>
                <w:color w:val="auto"/>
              </w:rPr>
            </w:pPr>
          </w:p>
        </w:tc>
      </w:tr>
      <w:tr>
        <w:trPr>
          <w:trHeight w:val="48"/>
        </w:trPr>
        <w:tc>
          <w:tcPr>
            <w:tcW w:w="120" w:type="dxa"/>
            <w:vAlign w:val="bottom"/>
            <w:vMerge w:val="continue"/>
          </w:tcPr>
          <w:p>
            <w:pPr>
              <w:spacing w:after="0"/>
              <w:rPr>
                <w:sz w:val="4"/>
                <w:szCs w:val="4"/>
                <w:color w:val="auto"/>
              </w:rPr>
            </w:pPr>
          </w:p>
        </w:tc>
        <w:tc>
          <w:tcPr>
            <w:tcW w:w="6040" w:type="dxa"/>
            <w:vAlign w:val="bottom"/>
            <w:vMerge w:val="continue"/>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left="740" w:right="3340" w:hanging="176"/>
        <w:spacing w:after="0" w:line="252" w:lineRule="auto"/>
        <w:tabs>
          <w:tab w:leader="none" w:pos="740" w:val="left"/>
        </w:tabs>
        <w:numPr>
          <w:ilvl w:val="0"/>
          <w:numId w:val="61"/>
        </w:numPr>
        <w:rPr>
          <w:rFonts w:ascii="Times New Roman" w:cs="Times New Roman" w:eastAsia="Times New Roman" w:hAnsi="Times New Roman"/>
          <w:sz w:val="12"/>
          <w:szCs w:val="12"/>
          <w:color w:val="00AE4F"/>
        </w:rPr>
      </w:pPr>
      <w:r>
        <w:rPr>
          <w:rFonts w:ascii="Arial" w:cs="Arial" w:eastAsia="Arial" w:hAnsi="Arial"/>
          <w:sz w:val="15"/>
          <w:szCs w:val="15"/>
          <w:color w:val="auto"/>
        </w:rPr>
        <w:t>Serves as the Company’s Qualified Legal Compliance Committee with respect to reports of potential material violations by the Company or its officers, directors, employees, or agents, of applicable U.S. federal or state law or fiduciary duty arising under such law, and of the Company’s policies including the Code of Business Conduct and Ethics</w:t>
      </w:r>
    </w:p>
    <w:p>
      <w:pPr>
        <w:spacing w:after="0" w:line="44" w:lineRule="exact"/>
        <w:rPr>
          <w:rFonts w:ascii="Times New Roman" w:cs="Times New Roman" w:eastAsia="Times New Roman" w:hAnsi="Times New Roman"/>
          <w:sz w:val="12"/>
          <w:szCs w:val="12"/>
          <w:color w:val="00AE4F"/>
        </w:rPr>
      </w:pPr>
    </w:p>
    <w:p>
      <w:pPr>
        <w:ind w:left="740" w:hanging="176"/>
        <w:spacing w:after="0"/>
        <w:tabs>
          <w:tab w:leader="none" w:pos="740" w:val="left"/>
        </w:tabs>
        <w:numPr>
          <w:ilvl w:val="0"/>
          <w:numId w:val="61"/>
        </w:numPr>
        <w:rPr>
          <w:rFonts w:ascii="Times New Roman" w:cs="Times New Roman" w:eastAsia="Times New Roman" w:hAnsi="Times New Roman"/>
          <w:sz w:val="12"/>
          <w:szCs w:val="12"/>
          <w:color w:val="00AE4F"/>
        </w:rPr>
      </w:pPr>
      <w:r>
        <w:rPr>
          <w:rFonts w:ascii="Arial" w:cs="Arial" w:eastAsia="Arial" w:hAnsi="Arial"/>
          <w:sz w:val="15"/>
          <w:szCs w:val="15"/>
          <w:color w:val="auto"/>
        </w:rPr>
        <w:t>Reviews and approves Internal Audit’s budget and resource plan</w:t>
      </w:r>
    </w:p>
    <w:p>
      <w:pPr>
        <w:spacing w:after="0" w:line="75" w:lineRule="exact"/>
        <w:rPr>
          <w:rFonts w:ascii="Times New Roman" w:cs="Times New Roman" w:eastAsia="Times New Roman" w:hAnsi="Times New Roman"/>
          <w:sz w:val="12"/>
          <w:szCs w:val="12"/>
          <w:color w:val="00AE4F"/>
        </w:rPr>
      </w:pPr>
    </w:p>
    <w:p>
      <w:pPr>
        <w:ind w:left="740" w:right="3680" w:hanging="176"/>
        <w:spacing w:after="0" w:line="275" w:lineRule="auto"/>
        <w:tabs>
          <w:tab w:leader="none" w:pos="740" w:val="left"/>
        </w:tabs>
        <w:numPr>
          <w:ilvl w:val="0"/>
          <w:numId w:val="61"/>
        </w:numPr>
        <w:rPr>
          <w:rFonts w:ascii="Times New Roman" w:cs="Times New Roman" w:eastAsia="Times New Roman" w:hAnsi="Times New Roman"/>
          <w:sz w:val="12"/>
          <w:szCs w:val="12"/>
          <w:color w:val="00AE4F"/>
        </w:rPr>
      </w:pPr>
      <w:r>
        <w:rPr>
          <w:rFonts w:ascii="Arial" w:cs="Arial" w:eastAsia="Arial" w:hAnsi="Arial"/>
          <w:sz w:val="15"/>
          <w:szCs w:val="15"/>
          <w:color w:val="auto"/>
        </w:rPr>
        <w:t>Regularly holds separate sessions with Kelly’s management, internal audit, and its independent auditor</w:t>
      </w:r>
    </w:p>
    <w:p>
      <w:pPr>
        <w:spacing w:after="0" w:line="26" w:lineRule="exact"/>
        <w:rPr>
          <w:sz w:val="20"/>
          <w:szCs w:val="20"/>
          <w:color w:val="auto"/>
        </w:rPr>
      </w:pPr>
    </w:p>
    <w:p>
      <w:pPr>
        <w:ind w:left="560" w:right="3320"/>
        <w:spacing w:after="0" w:line="252" w:lineRule="auto"/>
        <w:rPr>
          <w:sz w:val="20"/>
          <w:szCs w:val="20"/>
          <w:color w:val="auto"/>
        </w:rPr>
      </w:pPr>
      <w:r>
        <w:rPr>
          <w:rFonts w:ascii="Arial" w:cs="Arial" w:eastAsia="Arial" w:hAnsi="Arial"/>
          <w:sz w:val="15"/>
          <w:szCs w:val="15"/>
          <w:color w:val="auto"/>
        </w:rPr>
        <w:t>The Board unanimously determined that each member of the Audit Committee meets Nasdaq’s “financial sophistication” requirements and that Mr. Cubbin and Ms. Murphy each have the financial education and experience to qualify as an “Audit Committee financial expert” within the meaning of SEC regulations.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880"/>
        <w:spacing w:after="0"/>
        <w:rPr>
          <w:sz w:val="20"/>
          <w:szCs w:val="20"/>
          <w:color w:val="auto"/>
        </w:rPr>
      </w:pPr>
      <w:r>
        <w:rPr>
          <w:rFonts w:ascii="Arial" w:cs="Arial" w:eastAsia="Arial" w:hAnsi="Arial"/>
          <w:sz w:val="15"/>
          <w:szCs w:val="15"/>
          <w:color w:val="auto"/>
        </w:rPr>
        <w:t> </w:t>
      </w:r>
    </w:p>
    <w:p>
      <w:pPr>
        <w:spacing w:after="0" w:line="13"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40"/>
          <w:szCs w:val="40"/>
          <w:color w:val="auto"/>
          <w:vertAlign w:val="superscript"/>
        </w:rPr>
        <w:t>26 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-196850</wp:posOffset>
            </wp:positionV>
            <wp:extent cx="7620" cy="212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Compensation and Talent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-128905</wp:posOffset>
            </wp:positionV>
            <wp:extent cx="6426835" cy="257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26835" cy="257556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Key Responsibilities:</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100" w:type="dxa"/>
            <w:vAlign w:val="bottom"/>
            <w:shd w:val="clear" w:color="auto" w:fill="EAEAE9"/>
          </w:tcPr>
          <w:p>
            <w:pPr>
              <w:spacing w:after="0"/>
              <w:rPr>
                <w:sz w:val="15"/>
                <w:szCs w:val="15"/>
                <w:color w:val="auto"/>
              </w:rPr>
            </w:pPr>
          </w:p>
        </w:tc>
        <w:tc>
          <w:tcPr>
            <w:tcW w:w="2520" w:type="dxa"/>
            <w:vAlign w:val="bottom"/>
            <w:vMerge w:val="restart"/>
            <w:shd w:val="clear" w:color="auto" w:fill="EAEAE9"/>
          </w:tcPr>
          <w:p>
            <w:pPr>
              <w:ind w:left="140"/>
              <w:spacing w:after="0"/>
              <w:rPr>
                <w:sz w:val="20"/>
                <w:szCs w:val="20"/>
                <w:color w:val="auto"/>
              </w:rPr>
            </w:pPr>
            <w:r>
              <w:rPr>
                <w:rFonts w:ascii="Arial" w:cs="Arial" w:eastAsia="Arial" w:hAnsi="Arial"/>
                <w:sz w:val="15"/>
                <w:szCs w:val="15"/>
                <w:b w:val="1"/>
                <w:bCs w:val="1"/>
                <w:color w:val="auto"/>
              </w:rPr>
              <w:t xml:space="preserve">Members: </w:t>
            </w:r>
            <w:r>
              <w:rPr>
                <w:rFonts w:ascii="Arial" w:cs="Arial" w:eastAsia="Arial" w:hAnsi="Arial"/>
                <w:sz w:val="15"/>
                <w:szCs w:val="15"/>
                <w:b w:val="1"/>
                <w:bCs w:val="1"/>
                <w:color w:val="00AE4F"/>
              </w:rPr>
              <w:t>Majority Independent</w:t>
            </w:r>
          </w:p>
        </w:tc>
        <w:tc>
          <w:tcPr>
            <w:tcW w:w="360" w:type="dxa"/>
            <w:vAlign w:val="bottom"/>
            <w:vMerge w:val="restart"/>
            <w:shd w:val="clear" w:color="auto" w:fill="EAEAE9"/>
          </w:tcPr>
          <w:p>
            <w:pPr>
              <w:ind w:left="1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00AE4F"/>
              </w:rPr>
              <w:t>●</w:t>
            </w:r>
          </w:p>
        </w:tc>
        <w:tc>
          <w:tcPr>
            <w:tcW w:w="6760" w:type="dxa"/>
            <w:vAlign w:val="bottom"/>
          </w:tcPr>
          <w:p>
            <w:pPr>
              <w:ind w:left="60"/>
              <w:spacing w:after="0"/>
              <w:rPr>
                <w:sz w:val="20"/>
                <w:szCs w:val="20"/>
                <w:color w:val="auto"/>
              </w:rPr>
            </w:pPr>
            <w:r>
              <w:rPr>
                <w:rFonts w:ascii="Arial" w:cs="Arial" w:eastAsia="Arial" w:hAnsi="Arial"/>
                <w:sz w:val="15"/>
                <w:szCs w:val="15"/>
                <w:color w:val="auto"/>
              </w:rPr>
              <w:t>Develops the Company’s compensation philosophy</w:t>
            </w: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EAEAE9"/>
            </w:tcBorders>
            <w:vMerge w:val="continue"/>
            <w:shd w:val="clear" w:color="auto" w:fill="EAEAE9"/>
          </w:tcPr>
          <w:p>
            <w:pPr>
              <w:spacing w:after="0"/>
              <w:rPr>
                <w:sz w:val="18"/>
                <w:szCs w:val="18"/>
                <w:color w:val="auto"/>
              </w:rPr>
            </w:pPr>
          </w:p>
        </w:tc>
        <w:tc>
          <w:tcPr>
            <w:tcW w:w="360" w:type="dxa"/>
            <w:vAlign w:val="bottom"/>
            <w:tcBorders>
              <w:bottom w:val="single" w:sz="8" w:color="EAEAE9"/>
            </w:tcBorders>
            <w:vMerge w:val="continue"/>
            <w:shd w:val="clear" w:color="auto" w:fill="EAEAE9"/>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00AE4F"/>
              </w:rPr>
              <w:t>●</w:t>
            </w:r>
          </w:p>
        </w:tc>
        <w:tc>
          <w:tcPr>
            <w:tcW w:w="6760" w:type="dxa"/>
            <w:vAlign w:val="bottom"/>
          </w:tcPr>
          <w:p>
            <w:pPr>
              <w:ind w:left="60"/>
              <w:spacing w:after="0"/>
              <w:rPr>
                <w:sz w:val="20"/>
                <w:szCs w:val="20"/>
                <w:color w:val="auto"/>
              </w:rPr>
            </w:pPr>
            <w:r>
              <w:rPr>
                <w:rFonts w:ascii="Arial" w:cs="Arial" w:eastAsia="Arial" w:hAnsi="Arial"/>
                <w:sz w:val="15"/>
                <w:szCs w:val="15"/>
                <w:color w:val="auto"/>
              </w:rPr>
              <w:t>Designs and administers the Company’s executive compensation programs and policies aligned with</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ind w:left="820"/>
              <w:spacing w:after="0"/>
              <w:rPr>
                <w:sz w:val="20"/>
                <w:szCs w:val="20"/>
                <w:color w:val="auto"/>
              </w:rPr>
            </w:pPr>
            <w:r>
              <w:rPr>
                <w:rFonts w:ascii="Arial" w:cs="Arial" w:eastAsia="Arial" w:hAnsi="Arial"/>
                <w:sz w:val="15"/>
                <w:szCs w:val="15"/>
                <w:color w:val="auto"/>
              </w:rPr>
              <w:t>Robert S. Cubbin</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760" w:type="dxa"/>
            <w:vAlign w:val="bottom"/>
          </w:tcPr>
          <w:p>
            <w:pPr>
              <w:ind w:left="60"/>
              <w:spacing w:after="0"/>
              <w:rPr>
                <w:sz w:val="20"/>
                <w:szCs w:val="20"/>
                <w:color w:val="auto"/>
              </w:rPr>
            </w:pPr>
            <w:r>
              <w:rPr>
                <w:rFonts w:ascii="Arial" w:cs="Arial" w:eastAsia="Arial" w:hAnsi="Arial"/>
                <w:sz w:val="15"/>
                <w:szCs w:val="15"/>
                <w:color w:val="auto"/>
              </w:rPr>
              <w:t>business and compensation objectives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ind w:left="820"/>
              <w:spacing w:after="0"/>
              <w:rPr>
                <w:sz w:val="20"/>
                <w:szCs w:val="20"/>
                <w:color w:val="auto"/>
              </w:rPr>
            </w:pPr>
            <w:r>
              <w:rPr>
                <w:rFonts w:ascii="Arial" w:cs="Arial" w:eastAsia="Arial" w:hAnsi="Arial"/>
                <w:sz w:val="15"/>
                <w:szCs w:val="15"/>
                <w:b w:val="1"/>
                <w:bCs w:val="1"/>
                <w:color w:val="00AE4F"/>
              </w:rPr>
              <w:t>(Chair)</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-459105</wp:posOffset>
            </wp:positionV>
            <wp:extent cx="1819275" cy="1945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19275" cy="194564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-459105</wp:posOffset>
            </wp:positionV>
            <wp:extent cx="1819275" cy="1945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19275" cy="1945640"/>
                    </a:xfrm>
                    <a:prstGeom prst="rect">
                      <a:avLst/>
                    </a:prstGeom>
                    <a:noFill/>
                  </pic:spPr>
                </pic:pic>
              </a:graphicData>
            </a:graphic>
          </wp:anchor>
        </w:drawing>
      </w:r>
    </w:p>
    <w:p>
      <w:pPr>
        <w:ind w:left="740" w:right="3440" w:hanging="176"/>
        <w:spacing w:after="0" w:line="275" w:lineRule="auto"/>
        <w:tabs>
          <w:tab w:leader="none" w:pos="740" w:val="left"/>
        </w:tabs>
        <w:numPr>
          <w:ilvl w:val="0"/>
          <w:numId w:val="62"/>
        </w:numPr>
        <w:rPr>
          <w:rFonts w:ascii="Times New Roman" w:cs="Times New Roman" w:eastAsia="Times New Roman" w:hAnsi="Times New Roman"/>
          <w:sz w:val="12"/>
          <w:szCs w:val="12"/>
          <w:color w:val="00AE4F"/>
        </w:rPr>
      </w:pPr>
      <w:r>
        <w:rPr>
          <w:rFonts w:ascii="Arial" w:cs="Arial" w:eastAsia="Arial" w:hAnsi="Arial"/>
          <w:sz w:val="15"/>
          <w:szCs w:val="15"/>
          <w:color w:val="auto"/>
        </w:rPr>
        <w:t>Determines annually, for senior officers (including the CEO), corporate and business unit goals and establishes the level of performance that must be achieved for each</w:t>
      </w: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73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Evaluates and determines the compensation of the CEO, senior officers, and Section 16 officers</w:t>
            </w:r>
          </w:p>
        </w:tc>
        <w:tc>
          <w:tcPr>
            <w:tcW w:w="1480" w:type="dxa"/>
            <w:vAlign w:val="bottom"/>
          </w:tcPr>
          <w:p>
            <w:pPr>
              <w:ind w:left="780"/>
              <w:spacing w:after="0"/>
              <w:rPr>
                <w:sz w:val="20"/>
                <w:szCs w:val="20"/>
                <w:color w:val="auto"/>
              </w:rPr>
            </w:pPr>
            <w:r>
              <w:rPr>
                <w:rFonts w:ascii="Arial" w:cs="Arial" w:eastAsia="Arial" w:hAnsi="Arial"/>
                <w:sz w:val="15"/>
                <w:szCs w:val="15"/>
                <w:color w:val="auto"/>
                <w:w w:val="95"/>
              </w:rPr>
              <w:t>Chris Hunt</w:t>
            </w:r>
          </w:p>
        </w:tc>
      </w:tr>
    </w:tbl>
    <w:p>
      <w:pPr>
        <w:spacing w:after="0" w:line="51" w:lineRule="exact"/>
        <w:rPr>
          <w:sz w:val="20"/>
          <w:szCs w:val="20"/>
          <w:color w:val="auto"/>
        </w:rPr>
      </w:pPr>
    </w:p>
    <w:p>
      <w:pPr>
        <w:ind w:left="740" w:right="3380" w:hanging="176"/>
        <w:spacing w:after="0" w:line="275" w:lineRule="auto"/>
        <w:tabs>
          <w:tab w:leader="none" w:pos="740" w:val="left"/>
        </w:tabs>
        <w:numPr>
          <w:ilvl w:val="0"/>
          <w:numId w:val="63"/>
        </w:numPr>
        <w:rPr>
          <w:rFonts w:ascii="Times New Roman" w:cs="Times New Roman" w:eastAsia="Times New Roman" w:hAnsi="Times New Roman"/>
          <w:sz w:val="12"/>
          <w:szCs w:val="12"/>
          <w:color w:val="00AE4F"/>
        </w:rPr>
      </w:pPr>
      <w:r>
        <w:rPr>
          <w:rFonts w:ascii="Arial" w:cs="Arial" w:eastAsia="Arial" w:hAnsi="Arial"/>
          <w:sz w:val="15"/>
          <w:szCs w:val="15"/>
          <w:color w:val="auto"/>
        </w:rPr>
        <w:t>Reviews stock ownership requirements for senior officers and Board members, and compliance with the requirements</w:t>
      </w:r>
    </w:p>
    <w:p>
      <w:pPr>
        <w:spacing w:after="0" w:line="14"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Reviews and makes recommendations to the Board concerning director compensation</w:t>
            </w:r>
          </w:p>
        </w:tc>
        <w:tc>
          <w:tcPr>
            <w:tcW w:w="2300" w:type="dxa"/>
            <w:vAlign w:val="bottom"/>
          </w:tcPr>
          <w:p>
            <w:pPr>
              <w:ind w:left="1120"/>
              <w:spacing w:after="0"/>
              <w:rPr>
                <w:sz w:val="20"/>
                <w:szCs w:val="20"/>
                <w:color w:val="auto"/>
              </w:rPr>
            </w:pPr>
            <w:r>
              <w:rPr>
                <w:rFonts w:ascii="Arial" w:cs="Arial" w:eastAsia="Arial" w:hAnsi="Arial"/>
                <w:sz w:val="15"/>
                <w:szCs w:val="15"/>
                <w:color w:val="auto"/>
                <w:w w:val="97"/>
              </w:rPr>
              <w:t>Edward Escudero</w:t>
            </w: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Reviews and advises the Board concerning CEO and senior officer succession planning and</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960" w:type="dxa"/>
            <w:vAlign w:val="bottom"/>
          </w:tcPr>
          <w:p>
            <w:pPr>
              <w:ind w:left="180"/>
              <w:spacing w:after="0"/>
              <w:rPr>
                <w:sz w:val="20"/>
                <w:szCs w:val="20"/>
                <w:color w:val="auto"/>
              </w:rPr>
            </w:pPr>
            <w:r>
              <w:rPr>
                <w:rFonts w:ascii="Arial" w:cs="Arial" w:eastAsia="Arial" w:hAnsi="Arial"/>
                <w:sz w:val="15"/>
                <w:szCs w:val="15"/>
                <w:color w:val="auto"/>
              </w:rPr>
              <w:t>developmental opportunities</w:t>
            </w:r>
          </w:p>
        </w:tc>
        <w:tc>
          <w:tcPr>
            <w:tcW w:w="2300" w:type="dxa"/>
            <w:vAlign w:val="bottom"/>
          </w:tcPr>
          <w:p>
            <w:pPr>
              <w:ind w:left="440"/>
              <w:spacing w:after="0"/>
              <w:rPr>
                <w:sz w:val="20"/>
                <w:szCs w:val="20"/>
                <w:color w:val="auto"/>
              </w:rPr>
            </w:pPr>
            <w:r>
              <w:rPr>
                <w:rFonts w:ascii="Arial" w:cs="Arial" w:eastAsia="Arial" w:hAnsi="Arial"/>
                <w:sz w:val="15"/>
                <w:szCs w:val="15"/>
                <w:b w:val="1"/>
                <w:bCs w:val="1"/>
                <w:color w:val="auto"/>
              </w:rPr>
              <w:t>Meetings in 2025:</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Reviews and makes recommendations to the Company’s Sustainability Strategy and related risk</w:t>
            </w:r>
          </w:p>
        </w:tc>
        <w:tc>
          <w:tcPr>
            <w:tcW w:w="2300" w:type="dxa"/>
            <w:vAlign w:val="bottom"/>
            <w:vMerge w:val="restart"/>
          </w:tcPr>
          <w:p>
            <w:pPr>
              <w:ind w:left="440"/>
              <w:spacing w:after="0"/>
              <w:rPr>
                <w:sz w:val="20"/>
                <w:szCs w:val="20"/>
                <w:color w:val="auto"/>
              </w:rPr>
            </w:pPr>
            <w:r>
              <w:rPr>
                <w:rFonts w:ascii="Arial" w:cs="Arial" w:eastAsia="Arial" w:hAnsi="Arial"/>
                <w:sz w:val="33"/>
                <w:szCs w:val="33"/>
                <w:b w:val="1"/>
                <w:bCs w:val="1"/>
                <w:color w:val="00AE4F"/>
              </w:rPr>
              <w:t>7</w:t>
            </w:r>
          </w:p>
        </w:tc>
        <w:tc>
          <w:tcPr>
            <w:tcW w:w="0" w:type="dxa"/>
            <w:vAlign w:val="bottom"/>
          </w:tcPr>
          <w:p>
            <w:pPr>
              <w:spacing w:after="0"/>
              <w:rPr>
                <w:sz w:val="1"/>
                <w:szCs w:val="1"/>
                <w:color w:val="auto"/>
              </w:rPr>
            </w:pPr>
          </w:p>
        </w:tc>
      </w:tr>
      <w:tr>
        <w:trPr>
          <w:trHeight w:val="246"/>
        </w:trPr>
        <w:tc>
          <w:tcPr>
            <w:tcW w:w="6960" w:type="dxa"/>
            <w:vAlign w:val="bottom"/>
          </w:tcPr>
          <w:p>
            <w:pPr>
              <w:ind w:left="180"/>
              <w:spacing w:after="0"/>
              <w:rPr>
                <w:sz w:val="20"/>
                <w:szCs w:val="20"/>
                <w:color w:val="auto"/>
              </w:rPr>
            </w:pPr>
            <w:r>
              <w:rPr>
                <w:rFonts w:ascii="Arial" w:cs="Arial" w:eastAsia="Arial" w:hAnsi="Arial"/>
                <w:sz w:val="15"/>
                <w:szCs w:val="15"/>
                <w:color w:val="auto"/>
              </w:rPr>
              <w:t>management policies and procedures related to human capital management</w:t>
            </w: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740" w:right="3380" w:hanging="176"/>
        <w:spacing w:after="0" w:line="275" w:lineRule="auto"/>
        <w:tabs>
          <w:tab w:leader="none" w:pos="740" w:val="left"/>
        </w:tabs>
        <w:numPr>
          <w:ilvl w:val="0"/>
          <w:numId w:val="64"/>
        </w:numPr>
        <w:rPr>
          <w:rFonts w:ascii="Times New Roman" w:cs="Times New Roman" w:eastAsia="Times New Roman" w:hAnsi="Times New Roman"/>
          <w:sz w:val="12"/>
          <w:szCs w:val="12"/>
          <w:color w:val="00AE4F"/>
        </w:rPr>
      </w:pPr>
      <w:r>
        <w:rPr>
          <w:rFonts w:ascii="Arial" w:cs="Arial" w:eastAsia="Arial" w:hAnsi="Arial"/>
          <w:sz w:val="15"/>
          <w:szCs w:val="15"/>
          <w:color w:val="auto"/>
        </w:rPr>
        <w:t>Appoints, compensates and oversees the work performed by an independent compensation or legal advisor</w:t>
      </w:r>
    </w:p>
    <w:p>
      <w:pPr>
        <w:spacing w:after="0" w:line="26" w:lineRule="exact"/>
        <w:rPr>
          <w:rFonts w:ascii="Times New Roman" w:cs="Times New Roman" w:eastAsia="Times New Roman" w:hAnsi="Times New Roman"/>
          <w:sz w:val="12"/>
          <w:szCs w:val="12"/>
          <w:color w:val="00AE4F"/>
        </w:rPr>
      </w:pPr>
    </w:p>
    <w:p>
      <w:pPr>
        <w:ind w:left="740" w:right="3360" w:hanging="176"/>
        <w:spacing w:after="0" w:line="252" w:lineRule="auto"/>
        <w:tabs>
          <w:tab w:leader="none" w:pos="740" w:val="left"/>
        </w:tabs>
        <w:numPr>
          <w:ilvl w:val="0"/>
          <w:numId w:val="64"/>
        </w:numPr>
        <w:rPr>
          <w:rFonts w:ascii="Times New Roman" w:cs="Times New Roman" w:eastAsia="Times New Roman" w:hAnsi="Times New Roman"/>
          <w:sz w:val="12"/>
          <w:szCs w:val="12"/>
          <w:color w:val="00AE4F"/>
        </w:rPr>
      </w:pPr>
      <w:r>
        <w:rPr>
          <w:rFonts w:ascii="Arial" w:cs="Arial" w:eastAsia="Arial" w:hAnsi="Arial"/>
          <w:sz w:val="15"/>
          <w:szCs w:val="15"/>
          <w:color w:val="auto"/>
        </w:rPr>
        <w:t>Oversees the Company’s strategies, initiatives, and programs related to human capital management and determines their effectiveness, including with respect to diverse representation, fairness, workplace culture, benefits and well-being, employee engagement, performance management, and talent recruitment, development, and retention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Compensation Committee Interlocks and Insider Participation</w:t>
      </w:r>
    </w:p>
    <w:p>
      <w:pPr>
        <w:spacing w:after="0" w:line="74" w:lineRule="exact"/>
        <w:rPr>
          <w:sz w:val="20"/>
          <w:szCs w:val="20"/>
          <w:color w:val="auto"/>
        </w:rPr>
      </w:pPr>
    </w:p>
    <w:p>
      <w:pPr>
        <w:ind w:left="560" w:right="3380"/>
        <w:spacing w:after="0" w:line="252" w:lineRule="auto"/>
        <w:rPr>
          <w:sz w:val="20"/>
          <w:szCs w:val="20"/>
          <w:color w:val="auto"/>
        </w:rPr>
      </w:pPr>
      <w:r>
        <w:rPr>
          <w:rFonts w:ascii="Arial" w:cs="Arial" w:eastAsia="Arial" w:hAnsi="Arial"/>
          <w:sz w:val="15"/>
          <w:szCs w:val="15"/>
          <w:color w:val="auto"/>
        </w:rPr>
        <w:t>During 2025, none of the Company’s executive officers served on the Board of Directors of any entities whose directors or officers served on the Company’s Compensation and Talent Management Committee. No current or past executive officers of the Company or its subsidiaries serve on the Compensation and Talent Management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 </w:t>
      </w:r>
    </w:p>
    <w:p>
      <w:pPr>
        <w:spacing w:after="0" w:line="136"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272415</wp:posOffset>
            </wp:positionV>
            <wp:extent cx="64268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-128905</wp:posOffset>
            </wp:positionV>
            <wp:extent cx="362585" cy="3384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2585" cy="3384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6900" w:type="dxa"/>
            <w:vAlign w:val="bottom"/>
          </w:tcPr>
          <w:p>
            <w:pPr>
              <w:spacing w:after="0"/>
              <w:rPr>
                <w:sz w:val="20"/>
                <w:szCs w:val="20"/>
                <w:color w:val="auto"/>
              </w:rPr>
            </w:pPr>
            <w:r>
              <w:rPr>
                <w:rFonts w:ascii="Arial" w:cs="Arial" w:eastAsia="Arial" w:hAnsi="Arial"/>
                <w:sz w:val="15"/>
                <w:szCs w:val="15"/>
                <w:b w:val="1"/>
                <w:bCs w:val="1"/>
                <w:color w:val="auto"/>
              </w:rPr>
              <w:t>Key Responsibilities:</w:t>
            </w:r>
          </w:p>
        </w:tc>
        <w:tc>
          <w:tcPr>
            <w:tcW w:w="26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160" w:type="dxa"/>
            <w:vAlign w:val="bottom"/>
            <w:shd w:val="clear" w:color="auto" w:fill="EAEAE9"/>
          </w:tcPr>
          <w:p>
            <w:pPr>
              <w:spacing w:after="0"/>
              <w:rPr>
                <w:sz w:val="15"/>
                <w:szCs w:val="15"/>
                <w:color w:val="auto"/>
              </w:rPr>
            </w:pPr>
          </w:p>
        </w:tc>
        <w:tc>
          <w:tcPr>
            <w:tcW w:w="2460" w:type="dxa"/>
            <w:vAlign w:val="bottom"/>
            <w:gridSpan w:val="3"/>
            <w:vMerge w:val="restart"/>
            <w:shd w:val="clear" w:color="auto" w:fill="EAEAE9"/>
          </w:tcPr>
          <w:p>
            <w:pPr>
              <w:ind w:left="80"/>
              <w:spacing w:after="0"/>
              <w:rPr>
                <w:sz w:val="20"/>
                <w:szCs w:val="20"/>
                <w:color w:val="auto"/>
              </w:rPr>
            </w:pPr>
            <w:r>
              <w:rPr>
                <w:rFonts w:ascii="Arial" w:cs="Arial" w:eastAsia="Arial" w:hAnsi="Arial"/>
                <w:sz w:val="15"/>
                <w:szCs w:val="15"/>
                <w:b w:val="1"/>
                <w:bCs w:val="1"/>
                <w:color w:val="auto"/>
              </w:rPr>
              <w:t xml:space="preserve">Members: </w:t>
            </w:r>
            <w:r>
              <w:rPr>
                <w:rFonts w:ascii="Arial" w:cs="Arial" w:eastAsia="Arial" w:hAnsi="Arial"/>
                <w:sz w:val="15"/>
                <w:szCs w:val="15"/>
                <w:b w:val="1"/>
                <w:bCs w:val="1"/>
                <w:color w:val="00AE4F"/>
              </w:rPr>
              <w:t>Majority Independent</w:t>
            </w:r>
          </w:p>
        </w:tc>
        <w:tc>
          <w:tcPr>
            <w:tcW w:w="360" w:type="dxa"/>
            <w:vAlign w:val="bottom"/>
            <w:vMerge w:val="restart"/>
            <w:shd w:val="clear" w:color="auto" w:fill="EAEAE9"/>
          </w:tcPr>
          <w:p>
            <w:pPr>
              <w:ind w:left="1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0"/>
        </w:trPr>
        <w:tc>
          <w:tcPr>
            <w:tcW w:w="6900" w:type="dxa"/>
            <w:vAlign w:val="bottom"/>
            <w:vMerge w:val="restart"/>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Develops and oversees compliance with the Company’s Corporate Governance Principles</w:t>
            </w:r>
          </w:p>
        </w:tc>
        <w:tc>
          <w:tcPr>
            <w:tcW w:w="260" w:type="dxa"/>
            <w:vAlign w:val="bottom"/>
            <w:vMerge w:val="continue"/>
          </w:tcPr>
          <w:p>
            <w:pPr>
              <w:spacing w:after="0"/>
              <w:rPr>
                <w:sz w:val="16"/>
                <w:szCs w:val="16"/>
                <w:color w:val="auto"/>
              </w:rPr>
            </w:pPr>
          </w:p>
        </w:tc>
        <w:tc>
          <w:tcPr>
            <w:tcW w:w="160" w:type="dxa"/>
            <w:vAlign w:val="bottom"/>
            <w:shd w:val="clear" w:color="auto" w:fill="EAEAE9"/>
          </w:tcPr>
          <w:p>
            <w:pPr>
              <w:spacing w:after="0"/>
              <w:rPr>
                <w:sz w:val="16"/>
                <w:szCs w:val="16"/>
                <w:color w:val="auto"/>
              </w:rPr>
            </w:pPr>
          </w:p>
        </w:tc>
        <w:tc>
          <w:tcPr>
            <w:tcW w:w="2460" w:type="dxa"/>
            <w:vAlign w:val="bottom"/>
            <w:gridSpan w:val="3"/>
            <w:vMerge w:val="continue"/>
            <w:shd w:val="clear" w:color="auto" w:fill="EAEAE9"/>
          </w:tcPr>
          <w:p>
            <w:pPr>
              <w:spacing w:after="0"/>
              <w:rPr>
                <w:sz w:val="16"/>
                <w:szCs w:val="16"/>
                <w:color w:val="auto"/>
              </w:rPr>
            </w:pPr>
          </w:p>
        </w:tc>
        <w:tc>
          <w:tcPr>
            <w:tcW w:w="360" w:type="dxa"/>
            <w:vAlign w:val="bottom"/>
            <w:vMerge w:val="continue"/>
            <w:shd w:val="clear" w:color="auto" w:fill="EAEAE9"/>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9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shd w:val="clear" w:color="auto" w:fill="EAEAE9"/>
          </w:tcPr>
          <w:p>
            <w:pPr>
              <w:spacing w:after="0"/>
              <w:rPr>
                <w:sz w:val="3"/>
                <w:szCs w:val="3"/>
                <w:color w:val="auto"/>
              </w:rPr>
            </w:pPr>
          </w:p>
        </w:tc>
        <w:tc>
          <w:tcPr>
            <w:tcW w:w="100" w:type="dxa"/>
            <w:vAlign w:val="bottom"/>
            <w:shd w:val="clear" w:color="auto" w:fill="EAEAE9"/>
          </w:tcPr>
          <w:p>
            <w:pPr>
              <w:spacing w:after="0"/>
              <w:rPr>
                <w:sz w:val="3"/>
                <w:szCs w:val="3"/>
                <w:color w:val="auto"/>
              </w:rPr>
            </w:pPr>
          </w:p>
        </w:tc>
        <w:tc>
          <w:tcPr>
            <w:tcW w:w="700" w:type="dxa"/>
            <w:vAlign w:val="bottom"/>
            <w:shd w:val="clear" w:color="auto" w:fill="EAEAE9"/>
          </w:tcPr>
          <w:p>
            <w:pPr>
              <w:spacing w:after="0"/>
              <w:rPr>
                <w:sz w:val="3"/>
                <w:szCs w:val="3"/>
                <w:color w:val="auto"/>
              </w:rPr>
            </w:pPr>
          </w:p>
        </w:tc>
        <w:tc>
          <w:tcPr>
            <w:tcW w:w="1660" w:type="dxa"/>
            <w:vAlign w:val="bottom"/>
            <w:shd w:val="clear" w:color="auto" w:fill="EAEAE9"/>
          </w:tcPr>
          <w:p>
            <w:pPr>
              <w:spacing w:after="0"/>
              <w:rPr>
                <w:sz w:val="3"/>
                <w:szCs w:val="3"/>
                <w:color w:val="auto"/>
              </w:rPr>
            </w:pPr>
          </w:p>
        </w:tc>
        <w:tc>
          <w:tcPr>
            <w:tcW w:w="360" w:type="dxa"/>
            <w:vAlign w:val="bottom"/>
            <w:shd w:val="clear" w:color="auto" w:fill="EAEAE9"/>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Reviews and makes recommendations to the Board with respect to corporate governance matters</w:t>
            </w:r>
          </w:p>
        </w:tc>
        <w:tc>
          <w:tcPr>
            <w:tcW w:w="260" w:type="dxa"/>
            <w:vAlign w:val="bottom"/>
          </w:tcPr>
          <w:p>
            <w:pPr>
              <w:spacing w:after="0"/>
              <w:rPr>
                <w:sz w:val="21"/>
                <w:szCs w:val="21"/>
                <w:color w:val="auto"/>
              </w:rPr>
            </w:pPr>
          </w:p>
        </w:tc>
        <w:tc>
          <w:tcPr>
            <w:tcW w:w="160" w:type="dxa"/>
            <w:vAlign w:val="bottom"/>
            <w:shd w:val="clear" w:color="auto" w:fill="EAEAE9"/>
          </w:tcPr>
          <w:p>
            <w:pPr>
              <w:spacing w:after="0"/>
              <w:rPr>
                <w:sz w:val="21"/>
                <w:szCs w:val="21"/>
                <w:color w:val="auto"/>
              </w:rPr>
            </w:pPr>
          </w:p>
        </w:tc>
        <w:tc>
          <w:tcPr>
            <w:tcW w:w="100" w:type="dxa"/>
            <w:vAlign w:val="bottom"/>
            <w:shd w:val="clear" w:color="auto" w:fill="EAEAE9"/>
          </w:tcPr>
          <w:p>
            <w:pPr>
              <w:spacing w:after="0"/>
              <w:rPr>
                <w:sz w:val="21"/>
                <w:szCs w:val="21"/>
                <w:color w:val="auto"/>
              </w:rPr>
            </w:pPr>
          </w:p>
        </w:tc>
        <w:tc>
          <w:tcPr>
            <w:tcW w:w="2360" w:type="dxa"/>
            <w:vAlign w:val="bottom"/>
            <w:gridSpan w:val="2"/>
            <w:shd w:val="clear" w:color="auto" w:fill="EAEAE9"/>
          </w:tcPr>
          <w:p>
            <w:pPr>
              <w:ind w:left="660"/>
              <w:spacing w:after="0"/>
              <w:rPr>
                <w:sz w:val="20"/>
                <w:szCs w:val="20"/>
                <w:color w:val="auto"/>
              </w:rPr>
            </w:pPr>
            <w:r>
              <w:rPr>
                <w:rFonts w:ascii="Arial" w:cs="Arial" w:eastAsia="Arial" w:hAnsi="Arial"/>
                <w:sz w:val="15"/>
                <w:szCs w:val="15"/>
                <w:color w:val="auto"/>
              </w:rPr>
              <w:t>Chris Hunt</w:t>
            </w:r>
          </w:p>
        </w:tc>
        <w:tc>
          <w:tcPr>
            <w:tcW w:w="360" w:type="dxa"/>
            <w:vAlign w:val="bottom"/>
            <w:shd w:val="clear" w:color="auto" w:fill="EAEAE9"/>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180"/>
              <w:spacing w:after="0"/>
              <w:rPr>
                <w:sz w:val="20"/>
                <w:szCs w:val="20"/>
                <w:color w:val="auto"/>
              </w:rPr>
            </w:pPr>
            <w:r>
              <w:rPr>
                <w:rFonts w:ascii="Arial" w:cs="Arial" w:eastAsia="Arial" w:hAnsi="Arial"/>
                <w:sz w:val="15"/>
                <w:szCs w:val="15"/>
                <w:color w:val="auto"/>
              </w:rPr>
              <w:t>generally</w:t>
            </w:r>
          </w:p>
        </w:tc>
        <w:tc>
          <w:tcPr>
            <w:tcW w:w="260" w:type="dxa"/>
            <w:vAlign w:val="bottom"/>
          </w:tcPr>
          <w:p>
            <w:pPr>
              <w:spacing w:after="0"/>
              <w:rPr>
                <w:sz w:val="19"/>
                <w:szCs w:val="19"/>
                <w:color w:val="auto"/>
              </w:rPr>
            </w:pPr>
          </w:p>
        </w:tc>
        <w:tc>
          <w:tcPr>
            <w:tcW w:w="160" w:type="dxa"/>
            <w:vAlign w:val="bottom"/>
            <w:shd w:val="clear" w:color="auto" w:fill="EAEAE9"/>
          </w:tcPr>
          <w:p>
            <w:pPr>
              <w:spacing w:after="0"/>
              <w:rPr>
                <w:sz w:val="19"/>
                <w:szCs w:val="19"/>
                <w:color w:val="auto"/>
              </w:rPr>
            </w:pPr>
          </w:p>
        </w:tc>
        <w:tc>
          <w:tcPr>
            <w:tcW w:w="100" w:type="dxa"/>
            <w:vAlign w:val="bottom"/>
            <w:shd w:val="clear" w:color="auto" w:fill="EAEAE9"/>
          </w:tcPr>
          <w:p>
            <w:pPr>
              <w:spacing w:after="0"/>
              <w:rPr>
                <w:sz w:val="19"/>
                <w:szCs w:val="19"/>
                <w:color w:val="auto"/>
              </w:rPr>
            </w:pPr>
          </w:p>
        </w:tc>
        <w:tc>
          <w:tcPr>
            <w:tcW w:w="2360" w:type="dxa"/>
            <w:vAlign w:val="bottom"/>
            <w:gridSpan w:val="2"/>
            <w:shd w:val="clear" w:color="auto" w:fill="EAEAE9"/>
          </w:tcPr>
          <w:p>
            <w:pPr>
              <w:ind w:left="660"/>
              <w:spacing w:after="0"/>
              <w:rPr>
                <w:sz w:val="20"/>
                <w:szCs w:val="20"/>
                <w:color w:val="auto"/>
              </w:rPr>
            </w:pPr>
            <w:r>
              <w:rPr>
                <w:rFonts w:ascii="Arial" w:cs="Arial" w:eastAsia="Arial" w:hAnsi="Arial"/>
                <w:sz w:val="15"/>
                <w:szCs w:val="15"/>
                <w:b w:val="1"/>
                <w:bCs w:val="1"/>
                <w:color w:val="00AE4F"/>
              </w:rPr>
              <w:t>(Chair)</w:t>
            </w:r>
          </w:p>
        </w:tc>
        <w:tc>
          <w:tcPr>
            <w:tcW w:w="360" w:type="dxa"/>
            <w:vAlign w:val="bottom"/>
            <w:shd w:val="clear" w:color="auto" w:fill="EAEAE9"/>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Engages in succession planning for our Board of Directors</w:t>
            </w:r>
          </w:p>
        </w:tc>
        <w:tc>
          <w:tcPr>
            <w:tcW w:w="260" w:type="dxa"/>
            <w:vAlign w:val="bottom"/>
          </w:tcPr>
          <w:p>
            <w:pPr>
              <w:spacing w:after="0"/>
              <w:rPr>
                <w:sz w:val="18"/>
                <w:szCs w:val="18"/>
                <w:color w:val="auto"/>
              </w:rPr>
            </w:pPr>
          </w:p>
        </w:tc>
        <w:tc>
          <w:tcPr>
            <w:tcW w:w="160" w:type="dxa"/>
            <w:vAlign w:val="bottom"/>
            <w:shd w:val="clear" w:color="auto" w:fill="EAEAE9"/>
          </w:tcPr>
          <w:p>
            <w:pPr>
              <w:spacing w:after="0"/>
              <w:rPr>
                <w:sz w:val="18"/>
                <w:szCs w:val="18"/>
                <w:color w:val="auto"/>
              </w:rPr>
            </w:pPr>
          </w:p>
        </w:tc>
        <w:tc>
          <w:tcPr>
            <w:tcW w:w="100" w:type="dxa"/>
            <w:vAlign w:val="bottom"/>
            <w:shd w:val="clear" w:color="auto" w:fill="EAEAE9"/>
          </w:tcPr>
          <w:p>
            <w:pPr>
              <w:spacing w:after="0"/>
              <w:rPr>
                <w:sz w:val="18"/>
                <w:szCs w:val="18"/>
                <w:color w:val="auto"/>
              </w:rPr>
            </w:pPr>
          </w:p>
        </w:tc>
        <w:tc>
          <w:tcPr>
            <w:tcW w:w="700" w:type="dxa"/>
            <w:vAlign w:val="bottom"/>
            <w:shd w:val="clear" w:color="auto" w:fill="EAEAE9"/>
          </w:tcPr>
          <w:p>
            <w:pPr>
              <w:spacing w:after="0"/>
              <w:rPr>
                <w:sz w:val="18"/>
                <w:szCs w:val="18"/>
                <w:color w:val="auto"/>
              </w:rPr>
            </w:pPr>
          </w:p>
        </w:tc>
        <w:tc>
          <w:tcPr>
            <w:tcW w:w="1660" w:type="dxa"/>
            <w:vAlign w:val="bottom"/>
            <w:shd w:val="clear" w:color="auto" w:fill="EAEAE9"/>
          </w:tcPr>
          <w:p>
            <w:pPr>
              <w:spacing w:after="0"/>
              <w:rPr>
                <w:sz w:val="18"/>
                <w:szCs w:val="18"/>
                <w:color w:val="auto"/>
              </w:rPr>
            </w:pPr>
          </w:p>
        </w:tc>
        <w:tc>
          <w:tcPr>
            <w:tcW w:w="360" w:type="dxa"/>
            <w:vAlign w:val="bottom"/>
            <w:shd w:val="clear" w:color="auto" w:fill="EAEAE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Makes recommendations to the Board regarding the size, composition, and leadership structure of</w:t>
            </w:r>
          </w:p>
        </w:tc>
        <w:tc>
          <w:tcPr>
            <w:tcW w:w="260" w:type="dxa"/>
            <w:vAlign w:val="bottom"/>
          </w:tcPr>
          <w:p>
            <w:pPr>
              <w:spacing w:after="0"/>
              <w:rPr>
                <w:sz w:val="19"/>
                <w:szCs w:val="19"/>
                <w:color w:val="auto"/>
              </w:rPr>
            </w:pPr>
          </w:p>
        </w:tc>
        <w:tc>
          <w:tcPr>
            <w:tcW w:w="160" w:type="dxa"/>
            <w:vAlign w:val="bottom"/>
            <w:shd w:val="clear" w:color="auto" w:fill="EAEAE9"/>
          </w:tcPr>
          <w:p>
            <w:pPr>
              <w:spacing w:after="0"/>
              <w:rPr>
                <w:sz w:val="19"/>
                <w:szCs w:val="19"/>
                <w:color w:val="auto"/>
              </w:rPr>
            </w:pPr>
          </w:p>
        </w:tc>
        <w:tc>
          <w:tcPr>
            <w:tcW w:w="100" w:type="dxa"/>
            <w:vAlign w:val="bottom"/>
            <w:shd w:val="clear" w:color="auto" w:fill="EAEAE9"/>
          </w:tcPr>
          <w:p>
            <w:pPr>
              <w:spacing w:after="0"/>
              <w:rPr>
                <w:sz w:val="19"/>
                <w:szCs w:val="19"/>
                <w:color w:val="auto"/>
              </w:rPr>
            </w:pPr>
          </w:p>
        </w:tc>
        <w:tc>
          <w:tcPr>
            <w:tcW w:w="700" w:type="dxa"/>
            <w:vAlign w:val="bottom"/>
            <w:shd w:val="clear" w:color="auto" w:fill="EAEAE9"/>
          </w:tcPr>
          <w:p>
            <w:pPr>
              <w:spacing w:after="0"/>
              <w:rPr>
                <w:sz w:val="19"/>
                <w:szCs w:val="19"/>
                <w:color w:val="auto"/>
              </w:rPr>
            </w:pPr>
          </w:p>
        </w:tc>
        <w:tc>
          <w:tcPr>
            <w:tcW w:w="1660" w:type="dxa"/>
            <w:vAlign w:val="bottom"/>
            <w:vMerge w:val="restart"/>
            <w:shd w:val="clear" w:color="auto" w:fill="EAEAE9"/>
          </w:tcPr>
          <w:p>
            <w:pPr>
              <w:spacing w:after="0"/>
              <w:rPr>
                <w:sz w:val="20"/>
                <w:szCs w:val="20"/>
                <w:color w:val="auto"/>
              </w:rPr>
            </w:pPr>
            <w:r>
              <w:rPr>
                <w:rFonts w:ascii="Arial" w:cs="Arial" w:eastAsia="Arial" w:hAnsi="Arial"/>
                <w:sz w:val="15"/>
                <w:szCs w:val="15"/>
                <w:color w:val="auto"/>
              </w:rPr>
              <w:t>Angela Brock-Kyle</w:t>
            </w:r>
          </w:p>
        </w:tc>
        <w:tc>
          <w:tcPr>
            <w:tcW w:w="360" w:type="dxa"/>
            <w:vAlign w:val="bottom"/>
            <w:shd w:val="clear" w:color="auto" w:fill="EAEAE9"/>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5"/>
                <w:szCs w:val="15"/>
                <w:color w:val="auto"/>
              </w:rPr>
              <w:t>the Board and its committees</w:t>
            </w:r>
          </w:p>
        </w:tc>
        <w:tc>
          <w:tcPr>
            <w:tcW w:w="260" w:type="dxa"/>
            <w:vAlign w:val="bottom"/>
          </w:tcPr>
          <w:p>
            <w:pPr>
              <w:spacing w:after="0"/>
              <w:rPr>
                <w:sz w:val="17"/>
                <w:szCs w:val="17"/>
                <w:color w:val="auto"/>
              </w:rPr>
            </w:pPr>
          </w:p>
        </w:tc>
        <w:tc>
          <w:tcPr>
            <w:tcW w:w="160" w:type="dxa"/>
            <w:vAlign w:val="bottom"/>
            <w:shd w:val="clear" w:color="auto" w:fill="EAEAE9"/>
          </w:tcPr>
          <w:p>
            <w:pPr>
              <w:spacing w:after="0"/>
              <w:rPr>
                <w:sz w:val="17"/>
                <w:szCs w:val="17"/>
                <w:color w:val="auto"/>
              </w:rPr>
            </w:pPr>
          </w:p>
        </w:tc>
        <w:tc>
          <w:tcPr>
            <w:tcW w:w="100" w:type="dxa"/>
            <w:vAlign w:val="bottom"/>
            <w:shd w:val="clear" w:color="auto" w:fill="EAEAE9"/>
          </w:tcPr>
          <w:p>
            <w:pPr>
              <w:spacing w:after="0"/>
              <w:rPr>
                <w:sz w:val="17"/>
                <w:szCs w:val="17"/>
                <w:color w:val="auto"/>
              </w:rPr>
            </w:pPr>
          </w:p>
        </w:tc>
        <w:tc>
          <w:tcPr>
            <w:tcW w:w="700" w:type="dxa"/>
            <w:vAlign w:val="bottom"/>
            <w:shd w:val="clear" w:color="auto" w:fill="EAEAE9"/>
          </w:tcPr>
          <w:p>
            <w:pPr>
              <w:spacing w:after="0"/>
              <w:rPr>
                <w:sz w:val="17"/>
                <w:szCs w:val="17"/>
                <w:color w:val="auto"/>
              </w:rPr>
            </w:pPr>
          </w:p>
        </w:tc>
        <w:tc>
          <w:tcPr>
            <w:tcW w:w="1660" w:type="dxa"/>
            <w:vAlign w:val="bottom"/>
            <w:vMerge w:val="continue"/>
            <w:shd w:val="clear" w:color="auto" w:fill="EAEAE9"/>
          </w:tcPr>
          <w:p>
            <w:pPr>
              <w:spacing w:after="0"/>
              <w:rPr>
                <w:sz w:val="17"/>
                <w:szCs w:val="17"/>
                <w:color w:val="auto"/>
              </w:rPr>
            </w:pPr>
          </w:p>
        </w:tc>
        <w:tc>
          <w:tcPr>
            <w:tcW w:w="360" w:type="dxa"/>
            <w:vAlign w:val="bottom"/>
            <w:shd w:val="clear" w:color="auto" w:fill="EAEAE9"/>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Identifies and assesses the independence, backgrounds, and skills required for members of the</w:t>
            </w:r>
          </w:p>
        </w:tc>
        <w:tc>
          <w:tcPr>
            <w:tcW w:w="260" w:type="dxa"/>
            <w:vAlign w:val="bottom"/>
          </w:tcPr>
          <w:p>
            <w:pPr>
              <w:spacing w:after="0"/>
              <w:rPr>
                <w:sz w:val="19"/>
                <w:szCs w:val="19"/>
                <w:color w:val="auto"/>
              </w:rPr>
            </w:pPr>
          </w:p>
        </w:tc>
        <w:tc>
          <w:tcPr>
            <w:tcW w:w="160" w:type="dxa"/>
            <w:vAlign w:val="bottom"/>
            <w:shd w:val="clear" w:color="auto" w:fill="EAEAE9"/>
          </w:tcPr>
          <w:p>
            <w:pPr>
              <w:spacing w:after="0"/>
              <w:rPr>
                <w:sz w:val="19"/>
                <w:szCs w:val="19"/>
                <w:color w:val="auto"/>
              </w:rPr>
            </w:pPr>
          </w:p>
        </w:tc>
        <w:tc>
          <w:tcPr>
            <w:tcW w:w="100" w:type="dxa"/>
            <w:vAlign w:val="bottom"/>
            <w:shd w:val="clear" w:color="auto" w:fill="EAEAE9"/>
          </w:tcPr>
          <w:p>
            <w:pPr>
              <w:spacing w:after="0"/>
              <w:rPr>
                <w:sz w:val="19"/>
                <w:szCs w:val="19"/>
                <w:color w:val="auto"/>
              </w:rPr>
            </w:pPr>
          </w:p>
        </w:tc>
        <w:tc>
          <w:tcPr>
            <w:tcW w:w="700" w:type="dxa"/>
            <w:vAlign w:val="bottom"/>
            <w:shd w:val="clear" w:color="auto" w:fill="EAEAE9"/>
          </w:tcPr>
          <w:p>
            <w:pPr>
              <w:spacing w:after="0"/>
              <w:rPr>
                <w:sz w:val="19"/>
                <w:szCs w:val="19"/>
                <w:color w:val="auto"/>
              </w:rPr>
            </w:pPr>
          </w:p>
        </w:tc>
        <w:tc>
          <w:tcPr>
            <w:tcW w:w="1660" w:type="dxa"/>
            <w:vAlign w:val="bottom"/>
            <w:shd w:val="clear" w:color="auto" w:fill="EAEAE9"/>
          </w:tcPr>
          <w:p>
            <w:pPr>
              <w:spacing w:after="0"/>
              <w:rPr>
                <w:sz w:val="19"/>
                <w:szCs w:val="19"/>
                <w:color w:val="auto"/>
              </w:rPr>
            </w:pPr>
          </w:p>
        </w:tc>
        <w:tc>
          <w:tcPr>
            <w:tcW w:w="360" w:type="dxa"/>
            <w:vAlign w:val="bottom"/>
            <w:shd w:val="clear" w:color="auto" w:fill="EAEAE9"/>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5"/>
                <w:szCs w:val="15"/>
                <w:color w:val="auto"/>
              </w:rPr>
              <w:t>Board and Board committees</w:t>
            </w:r>
          </w:p>
        </w:tc>
        <w:tc>
          <w:tcPr>
            <w:tcW w:w="260" w:type="dxa"/>
            <w:vAlign w:val="bottom"/>
          </w:tcPr>
          <w:p>
            <w:pPr>
              <w:spacing w:after="0"/>
              <w:rPr>
                <w:sz w:val="17"/>
                <w:szCs w:val="17"/>
                <w:color w:val="auto"/>
              </w:rPr>
            </w:pPr>
          </w:p>
        </w:tc>
        <w:tc>
          <w:tcPr>
            <w:tcW w:w="160" w:type="dxa"/>
            <w:vAlign w:val="bottom"/>
            <w:shd w:val="clear" w:color="auto" w:fill="EAEAE9"/>
          </w:tcPr>
          <w:p>
            <w:pPr>
              <w:spacing w:after="0"/>
              <w:rPr>
                <w:sz w:val="17"/>
                <w:szCs w:val="17"/>
                <w:color w:val="auto"/>
              </w:rPr>
            </w:pPr>
          </w:p>
        </w:tc>
        <w:tc>
          <w:tcPr>
            <w:tcW w:w="100" w:type="dxa"/>
            <w:vAlign w:val="bottom"/>
            <w:shd w:val="clear" w:color="auto" w:fill="EAEAE9"/>
          </w:tcPr>
          <w:p>
            <w:pPr>
              <w:spacing w:after="0"/>
              <w:rPr>
                <w:sz w:val="17"/>
                <w:szCs w:val="17"/>
                <w:color w:val="auto"/>
              </w:rPr>
            </w:pPr>
          </w:p>
        </w:tc>
        <w:tc>
          <w:tcPr>
            <w:tcW w:w="700" w:type="dxa"/>
            <w:vAlign w:val="bottom"/>
            <w:shd w:val="clear" w:color="auto" w:fill="EAEAE9"/>
          </w:tcPr>
          <w:p>
            <w:pPr>
              <w:spacing w:after="0"/>
              <w:rPr>
                <w:sz w:val="17"/>
                <w:szCs w:val="17"/>
                <w:color w:val="auto"/>
              </w:rPr>
            </w:pPr>
          </w:p>
        </w:tc>
        <w:tc>
          <w:tcPr>
            <w:tcW w:w="1660" w:type="dxa"/>
            <w:vAlign w:val="bottom"/>
            <w:shd w:val="clear" w:color="auto" w:fill="EAEAE9"/>
          </w:tcPr>
          <w:p>
            <w:pPr>
              <w:spacing w:after="0"/>
              <w:rPr>
                <w:sz w:val="17"/>
                <w:szCs w:val="17"/>
                <w:color w:val="auto"/>
              </w:rPr>
            </w:pPr>
          </w:p>
        </w:tc>
        <w:tc>
          <w:tcPr>
            <w:tcW w:w="360" w:type="dxa"/>
            <w:vAlign w:val="bottom"/>
            <w:shd w:val="clear" w:color="auto" w:fill="EAEAE9"/>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Identifies, considers, and recommends, consistent with criteria approved by the Board, qualified</w:t>
            </w:r>
          </w:p>
        </w:tc>
        <w:tc>
          <w:tcPr>
            <w:tcW w:w="260" w:type="dxa"/>
            <w:vAlign w:val="bottom"/>
          </w:tcPr>
          <w:p>
            <w:pPr>
              <w:spacing w:after="0"/>
              <w:rPr>
                <w:sz w:val="19"/>
                <w:szCs w:val="19"/>
                <w:color w:val="auto"/>
              </w:rPr>
            </w:pPr>
          </w:p>
        </w:tc>
        <w:tc>
          <w:tcPr>
            <w:tcW w:w="160" w:type="dxa"/>
            <w:vAlign w:val="bottom"/>
            <w:shd w:val="clear" w:color="auto" w:fill="EAEAE9"/>
          </w:tcPr>
          <w:p>
            <w:pPr>
              <w:spacing w:after="0"/>
              <w:rPr>
                <w:sz w:val="19"/>
                <w:szCs w:val="19"/>
                <w:color w:val="auto"/>
              </w:rPr>
            </w:pPr>
          </w:p>
        </w:tc>
        <w:tc>
          <w:tcPr>
            <w:tcW w:w="100" w:type="dxa"/>
            <w:vAlign w:val="bottom"/>
            <w:shd w:val="clear" w:color="auto" w:fill="EAEAE9"/>
          </w:tcPr>
          <w:p>
            <w:pPr>
              <w:spacing w:after="0"/>
              <w:rPr>
                <w:sz w:val="19"/>
                <w:szCs w:val="19"/>
                <w:color w:val="auto"/>
              </w:rPr>
            </w:pPr>
          </w:p>
        </w:tc>
        <w:tc>
          <w:tcPr>
            <w:tcW w:w="700" w:type="dxa"/>
            <w:vAlign w:val="bottom"/>
            <w:shd w:val="clear" w:color="auto" w:fill="EAEAE9"/>
          </w:tcPr>
          <w:p>
            <w:pPr>
              <w:spacing w:after="0"/>
              <w:rPr>
                <w:sz w:val="19"/>
                <w:szCs w:val="19"/>
                <w:color w:val="auto"/>
              </w:rPr>
            </w:pPr>
          </w:p>
        </w:tc>
        <w:tc>
          <w:tcPr>
            <w:tcW w:w="1660" w:type="dxa"/>
            <w:vAlign w:val="bottom"/>
            <w:shd w:val="clear" w:color="auto" w:fill="EAEAE9"/>
          </w:tcPr>
          <w:p>
            <w:pPr>
              <w:spacing w:after="0"/>
              <w:rPr>
                <w:sz w:val="20"/>
                <w:szCs w:val="20"/>
                <w:color w:val="auto"/>
              </w:rPr>
            </w:pPr>
            <w:r>
              <w:rPr>
                <w:rFonts w:ascii="Arial" w:cs="Arial" w:eastAsia="Arial" w:hAnsi="Arial"/>
                <w:sz w:val="15"/>
                <w:szCs w:val="15"/>
                <w:color w:val="auto"/>
              </w:rPr>
              <w:t>James K. Hunt</w:t>
            </w:r>
          </w:p>
        </w:tc>
        <w:tc>
          <w:tcPr>
            <w:tcW w:w="360" w:type="dxa"/>
            <w:vAlign w:val="bottom"/>
            <w:shd w:val="clear" w:color="auto" w:fill="EAEAE9"/>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900" w:type="dxa"/>
            <w:vAlign w:val="bottom"/>
          </w:tcPr>
          <w:p>
            <w:pPr>
              <w:ind w:left="180"/>
              <w:spacing w:after="0"/>
              <w:rPr>
                <w:sz w:val="20"/>
                <w:szCs w:val="20"/>
                <w:color w:val="auto"/>
              </w:rPr>
            </w:pPr>
            <w:r>
              <w:rPr>
                <w:rFonts w:ascii="Arial" w:cs="Arial" w:eastAsia="Arial" w:hAnsi="Arial"/>
                <w:sz w:val="15"/>
                <w:szCs w:val="15"/>
                <w:color w:val="auto"/>
              </w:rPr>
              <w:t>candidates for election as directors, including the slate of directors to be nominated by the Board for</w:t>
            </w:r>
          </w:p>
        </w:tc>
        <w:tc>
          <w:tcPr>
            <w:tcW w:w="260" w:type="dxa"/>
            <w:vAlign w:val="bottom"/>
          </w:tcPr>
          <w:p>
            <w:pPr>
              <w:spacing w:after="0"/>
              <w:rPr>
                <w:sz w:val="15"/>
                <w:szCs w:val="15"/>
                <w:color w:val="auto"/>
              </w:rPr>
            </w:pPr>
          </w:p>
        </w:tc>
        <w:tc>
          <w:tcPr>
            <w:tcW w:w="160" w:type="dxa"/>
            <w:vAlign w:val="bottom"/>
            <w:shd w:val="clear" w:color="auto" w:fill="EAEAE9"/>
          </w:tcPr>
          <w:p>
            <w:pPr>
              <w:spacing w:after="0"/>
              <w:rPr>
                <w:sz w:val="15"/>
                <w:szCs w:val="15"/>
                <w:color w:val="auto"/>
              </w:rPr>
            </w:pPr>
          </w:p>
        </w:tc>
        <w:tc>
          <w:tcPr>
            <w:tcW w:w="100" w:type="dxa"/>
            <w:vAlign w:val="bottom"/>
            <w:shd w:val="clear" w:color="auto" w:fill="EAEAE9"/>
          </w:tcPr>
          <w:p>
            <w:pPr>
              <w:spacing w:after="0"/>
              <w:rPr>
                <w:sz w:val="15"/>
                <w:szCs w:val="15"/>
                <w:color w:val="auto"/>
              </w:rPr>
            </w:pPr>
          </w:p>
        </w:tc>
        <w:tc>
          <w:tcPr>
            <w:tcW w:w="700" w:type="dxa"/>
            <w:vAlign w:val="bottom"/>
            <w:shd w:val="clear" w:color="auto" w:fill="EAEAE9"/>
          </w:tcPr>
          <w:p>
            <w:pPr>
              <w:spacing w:after="0"/>
              <w:rPr>
                <w:sz w:val="15"/>
                <w:szCs w:val="15"/>
                <w:color w:val="auto"/>
              </w:rPr>
            </w:pPr>
          </w:p>
        </w:tc>
        <w:tc>
          <w:tcPr>
            <w:tcW w:w="1660" w:type="dxa"/>
            <w:vAlign w:val="bottom"/>
            <w:shd w:val="clear" w:color="auto" w:fill="EAEAE9"/>
          </w:tcPr>
          <w:p>
            <w:pPr>
              <w:spacing w:after="0"/>
              <w:rPr>
                <w:sz w:val="15"/>
                <w:szCs w:val="15"/>
                <w:color w:val="auto"/>
              </w:rPr>
            </w:pPr>
          </w:p>
        </w:tc>
        <w:tc>
          <w:tcPr>
            <w:tcW w:w="360" w:type="dxa"/>
            <w:vAlign w:val="bottom"/>
            <w:shd w:val="clear" w:color="auto" w:fill="EAEAE9"/>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5"/>
                <w:szCs w:val="15"/>
                <w:color w:val="auto"/>
              </w:rPr>
              <w:t>election at the Company’s Annual Meeting</w:t>
            </w:r>
          </w:p>
        </w:tc>
        <w:tc>
          <w:tcPr>
            <w:tcW w:w="260" w:type="dxa"/>
            <w:vAlign w:val="bottom"/>
          </w:tcPr>
          <w:p>
            <w:pPr>
              <w:spacing w:after="0"/>
              <w:rPr>
                <w:sz w:val="17"/>
                <w:szCs w:val="17"/>
                <w:color w:val="auto"/>
              </w:rPr>
            </w:pPr>
          </w:p>
        </w:tc>
        <w:tc>
          <w:tcPr>
            <w:tcW w:w="160" w:type="dxa"/>
            <w:vAlign w:val="bottom"/>
            <w:shd w:val="clear" w:color="auto" w:fill="EAEAE9"/>
          </w:tcPr>
          <w:p>
            <w:pPr>
              <w:spacing w:after="0"/>
              <w:rPr>
                <w:sz w:val="17"/>
                <w:szCs w:val="17"/>
                <w:color w:val="auto"/>
              </w:rPr>
            </w:pPr>
          </w:p>
        </w:tc>
        <w:tc>
          <w:tcPr>
            <w:tcW w:w="100" w:type="dxa"/>
            <w:vAlign w:val="bottom"/>
            <w:shd w:val="clear" w:color="auto" w:fill="EAEAE9"/>
          </w:tcPr>
          <w:p>
            <w:pPr>
              <w:spacing w:after="0"/>
              <w:rPr>
                <w:sz w:val="17"/>
                <w:szCs w:val="17"/>
                <w:color w:val="auto"/>
              </w:rPr>
            </w:pPr>
          </w:p>
        </w:tc>
        <w:tc>
          <w:tcPr>
            <w:tcW w:w="2360" w:type="dxa"/>
            <w:vAlign w:val="bottom"/>
            <w:gridSpan w:val="2"/>
            <w:vMerge w:val="restart"/>
            <w:shd w:val="clear" w:color="auto" w:fill="EAEAE9"/>
          </w:tcPr>
          <w:p>
            <w:pPr>
              <w:spacing w:after="0"/>
              <w:rPr>
                <w:sz w:val="20"/>
                <w:szCs w:val="20"/>
                <w:color w:val="auto"/>
              </w:rPr>
            </w:pPr>
            <w:r>
              <w:rPr>
                <w:rFonts w:ascii="Arial" w:cs="Arial" w:eastAsia="Arial" w:hAnsi="Arial"/>
                <w:sz w:val="15"/>
                <w:szCs w:val="15"/>
                <w:b w:val="1"/>
                <w:bCs w:val="1"/>
                <w:color w:val="auto"/>
              </w:rPr>
              <w:t>Meetings in 2025:</w:t>
            </w:r>
          </w:p>
        </w:tc>
        <w:tc>
          <w:tcPr>
            <w:tcW w:w="360" w:type="dxa"/>
            <w:vAlign w:val="bottom"/>
            <w:shd w:val="clear" w:color="auto" w:fill="EAEAE9"/>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900" w:type="dxa"/>
            <w:vAlign w:val="bottom"/>
            <w:vMerge w:val="restart"/>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Oversees the orientation and education of new directors</w:t>
            </w:r>
          </w:p>
        </w:tc>
        <w:tc>
          <w:tcPr>
            <w:tcW w:w="260" w:type="dxa"/>
            <w:vAlign w:val="bottom"/>
          </w:tcPr>
          <w:p>
            <w:pPr>
              <w:spacing w:after="0"/>
              <w:rPr>
                <w:sz w:val="7"/>
                <w:szCs w:val="7"/>
                <w:color w:val="auto"/>
              </w:rPr>
            </w:pPr>
          </w:p>
        </w:tc>
        <w:tc>
          <w:tcPr>
            <w:tcW w:w="160" w:type="dxa"/>
            <w:vAlign w:val="bottom"/>
            <w:shd w:val="clear" w:color="auto" w:fill="EAEAE9"/>
          </w:tcPr>
          <w:p>
            <w:pPr>
              <w:spacing w:after="0"/>
              <w:rPr>
                <w:sz w:val="7"/>
                <w:szCs w:val="7"/>
                <w:color w:val="auto"/>
              </w:rPr>
            </w:pPr>
          </w:p>
        </w:tc>
        <w:tc>
          <w:tcPr>
            <w:tcW w:w="100" w:type="dxa"/>
            <w:vAlign w:val="bottom"/>
            <w:shd w:val="clear" w:color="auto" w:fill="EAEAE9"/>
          </w:tcPr>
          <w:p>
            <w:pPr>
              <w:spacing w:after="0"/>
              <w:rPr>
                <w:sz w:val="7"/>
                <w:szCs w:val="7"/>
                <w:color w:val="auto"/>
              </w:rPr>
            </w:pPr>
          </w:p>
        </w:tc>
        <w:tc>
          <w:tcPr>
            <w:tcW w:w="2360" w:type="dxa"/>
            <w:vAlign w:val="bottom"/>
            <w:gridSpan w:val="2"/>
            <w:vMerge w:val="continue"/>
            <w:shd w:val="clear" w:color="auto" w:fill="EAEAE9"/>
          </w:tcPr>
          <w:p>
            <w:pPr>
              <w:spacing w:after="0"/>
              <w:rPr>
                <w:sz w:val="7"/>
                <w:szCs w:val="7"/>
                <w:color w:val="auto"/>
              </w:rPr>
            </w:pPr>
          </w:p>
        </w:tc>
        <w:tc>
          <w:tcPr>
            <w:tcW w:w="360" w:type="dxa"/>
            <w:vAlign w:val="bottom"/>
            <w:shd w:val="clear" w:color="auto" w:fill="EAEAE9"/>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9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shd w:val="clear" w:color="auto" w:fill="EAEAE9"/>
          </w:tcPr>
          <w:p>
            <w:pPr>
              <w:spacing w:after="0"/>
              <w:rPr>
                <w:sz w:val="13"/>
                <w:szCs w:val="13"/>
                <w:color w:val="auto"/>
              </w:rPr>
            </w:pPr>
          </w:p>
        </w:tc>
        <w:tc>
          <w:tcPr>
            <w:tcW w:w="100" w:type="dxa"/>
            <w:vAlign w:val="bottom"/>
            <w:shd w:val="clear" w:color="auto" w:fill="EAEAE9"/>
          </w:tcPr>
          <w:p>
            <w:pPr>
              <w:spacing w:after="0"/>
              <w:rPr>
                <w:sz w:val="13"/>
                <w:szCs w:val="13"/>
                <w:color w:val="auto"/>
              </w:rPr>
            </w:pPr>
          </w:p>
        </w:tc>
        <w:tc>
          <w:tcPr>
            <w:tcW w:w="700" w:type="dxa"/>
            <w:vAlign w:val="bottom"/>
            <w:vMerge w:val="restart"/>
            <w:shd w:val="clear" w:color="auto" w:fill="EAEAE9"/>
          </w:tcPr>
          <w:p>
            <w:pPr>
              <w:spacing w:after="0"/>
              <w:rPr>
                <w:sz w:val="20"/>
                <w:szCs w:val="20"/>
                <w:color w:val="auto"/>
              </w:rPr>
            </w:pPr>
            <w:r>
              <w:rPr>
                <w:rFonts w:ascii="Arial" w:cs="Arial" w:eastAsia="Arial" w:hAnsi="Arial"/>
                <w:sz w:val="33"/>
                <w:szCs w:val="33"/>
                <w:b w:val="1"/>
                <w:bCs w:val="1"/>
                <w:color w:val="00AE4F"/>
              </w:rPr>
              <w:t>4</w:t>
            </w:r>
          </w:p>
        </w:tc>
        <w:tc>
          <w:tcPr>
            <w:tcW w:w="1660" w:type="dxa"/>
            <w:vAlign w:val="bottom"/>
            <w:shd w:val="clear" w:color="auto" w:fill="EAEAE9"/>
          </w:tcPr>
          <w:p>
            <w:pPr>
              <w:spacing w:after="0"/>
              <w:rPr>
                <w:sz w:val="13"/>
                <w:szCs w:val="13"/>
                <w:color w:val="auto"/>
              </w:rPr>
            </w:pPr>
          </w:p>
        </w:tc>
        <w:tc>
          <w:tcPr>
            <w:tcW w:w="360" w:type="dxa"/>
            <w:vAlign w:val="bottom"/>
            <w:shd w:val="clear" w:color="auto" w:fill="EAEAE9"/>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Facilitates the annual assessment of the performance of the Board and its committees, as well as the</w:t>
            </w:r>
          </w:p>
        </w:tc>
        <w:tc>
          <w:tcPr>
            <w:tcW w:w="260" w:type="dxa"/>
            <w:vAlign w:val="bottom"/>
          </w:tcPr>
          <w:p>
            <w:pPr>
              <w:spacing w:after="0"/>
              <w:rPr>
                <w:sz w:val="19"/>
                <w:szCs w:val="19"/>
                <w:color w:val="auto"/>
              </w:rPr>
            </w:pPr>
          </w:p>
        </w:tc>
        <w:tc>
          <w:tcPr>
            <w:tcW w:w="160" w:type="dxa"/>
            <w:vAlign w:val="bottom"/>
            <w:shd w:val="clear" w:color="auto" w:fill="EAEAE9"/>
          </w:tcPr>
          <w:p>
            <w:pPr>
              <w:spacing w:after="0"/>
              <w:rPr>
                <w:sz w:val="19"/>
                <w:szCs w:val="19"/>
                <w:color w:val="auto"/>
              </w:rPr>
            </w:pPr>
          </w:p>
        </w:tc>
        <w:tc>
          <w:tcPr>
            <w:tcW w:w="100" w:type="dxa"/>
            <w:vAlign w:val="bottom"/>
            <w:shd w:val="clear" w:color="auto" w:fill="EAEAE9"/>
          </w:tcPr>
          <w:p>
            <w:pPr>
              <w:spacing w:after="0"/>
              <w:rPr>
                <w:sz w:val="19"/>
                <w:szCs w:val="19"/>
                <w:color w:val="auto"/>
              </w:rPr>
            </w:pPr>
          </w:p>
        </w:tc>
        <w:tc>
          <w:tcPr>
            <w:tcW w:w="700" w:type="dxa"/>
            <w:vAlign w:val="bottom"/>
            <w:vMerge w:val="continue"/>
            <w:shd w:val="clear" w:color="auto" w:fill="EAEAE9"/>
          </w:tcPr>
          <w:p>
            <w:pPr>
              <w:spacing w:after="0"/>
              <w:rPr>
                <w:sz w:val="19"/>
                <w:szCs w:val="19"/>
                <w:color w:val="auto"/>
              </w:rPr>
            </w:pPr>
          </w:p>
        </w:tc>
        <w:tc>
          <w:tcPr>
            <w:tcW w:w="1660" w:type="dxa"/>
            <w:vAlign w:val="bottom"/>
            <w:shd w:val="clear" w:color="auto" w:fill="EAEAE9"/>
          </w:tcPr>
          <w:p>
            <w:pPr>
              <w:spacing w:after="0"/>
              <w:rPr>
                <w:sz w:val="19"/>
                <w:szCs w:val="19"/>
                <w:color w:val="auto"/>
              </w:rPr>
            </w:pPr>
          </w:p>
        </w:tc>
        <w:tc>
          <w:tcPr>
            <w:tcW w:w="360" w:type="dxa"/>
            <w:vAlign w:val="bottom"/>
            <w:shd w:val="clear" w:color="auto" w:fill="EAEAE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rPr>
                <w:sz w:val="20"/>
                <w:szCs w:val="20"/>
                <w:color w:val="auto"/>
              </w:rPr>
            </w:pPr>
            <w:r>
              <w:rPr>
                <w:rFonts w:ascii="Arial" w:cs="Arial" w:eastAsia="Arial" w:hAnsi="Arial"/>
                <w:sz w:val="15"/>
                <w:szCs w:val="15"/>
                <w:color w:val="auto"/>
              </w:rPr>
              <w:t>director peer review</w:t>
            </w:r>
          </w:p>
        </w:tc>
        <w:tc>
          <w:tcPr>
            <w:tcW w:w="260" w:type="dxa"/>
            <w:vAlign w:val="bottom"/>
          </w:tcPr>
          <w:p>
            <w:pPr>
              <w:spacing w:after="0"/>
              <w:rPr>
                <w:sz w:val="17"/>
                <w:szCs w:val="17"/>
                <w:color w:val="auto"/>
              </w:rPr>
            </w:pPr>
          </w:p>
        </w:tc>
        <w:tc>
          <w:tcPr>
            <w:tcW w:w="160" w:type="dxa"/>
            <w:vAlign w:val="bottom"/>
            <w:tcBorders>
              <w:bottom w:val="single" w:sz="8" w:color="EAEAE9"/>
            </w:tcBorders>
            <w:shd w:val="clear" w:color="auto" w:fill="EAEAE9"/>
          </w:tcPr>
          <w:p>
            <w:pPr>
              <w:spacing w:after="0"/>
              <w:rPr>
                <w:sz w:val="17"/>
                <w:szCs w:val="17"/>
                <w:color w:val="auto"/>
              </w:rPr>
            </w:pPr>
          </w:p>
        </w:tc>
        <w:tc>
          <w:tcPr>
            <w:tcW w:w="100" w:type="dxa"/>
            <w:vAlign w:val="bottom"/>
            <w:tcBorders>
              <w:bottom w:val="single" w:sz="8" w:color="EAEAE9"/>
            </w:tcBorders>
            <w:shd w:val="clear" w:color="auto" w:fill="EAEAE9"/>
          </w:tcPr>
          <w:p>
            <w:pPr>
              <w:spacing w:after="0"/>
              <w:rPr>
                <w:sz w:val="17"/>
                <w:szCs w:val="17"/>
                <w:color w:val="auto"/>
              </w:rPr>
            </w:pPr>
          </w:p>
        </w:tc>
        <w:tc>
          <w:tcPr>
            <w:tcW w:w="700" w:type="dxa"/>
            <w:vAlign w:val="bottom"/>
            <w:tcBorders>
              <w:bottom w:val="single" w:sz="8" w:color="EAEAE9"/>
            </w:tcBorders>
            <w:shd w:val="clear" w:color="auto" w:fill="EAEAE9"/>
          </w:tcPr>
          <w:p>
            <w:pPr>
              <w:spacing w:after="0"/>
              <w:rPr>
                <w:sz w:val="17"/>
                <w:szCs w:val="17"/>
                <w:color w:val="auto"/>
              </w:rPr>
            </w:pPr>
          </w:p>
        </w:tc>
        <w:tc>
          <w:tcPr>
            <w:tcW w:w="1660" w:type="dxa"/>
            <w:vAlign w:val="bottom"/>
            <w:tcBorders>
              <w:bottom w:val="single" w:sz="8" w:color="EAEAE9"/>
            </w:tcBorders>
            <w:shd w:val="clear" w:color="auto" w:fill="EAEAE9"/>
          </w:tcPr>
          <w:p>
            <w:pPr>
              <w:spacing w:after="0"/>
              <w:rPr>
                <w:sz w:val="17"/>
                <w:szCs w:val="17"/>
                <w:color w:val="auto"/>
              </w:rPr>
            </w:pPr>
          </w:p>
        </w:tc>
        <w:tc>
          <w:tcPr>
            <w:tcW w:w="360" w:type="dxa"/>
            <w:vAlign w:val="bottom"/>
            <w:tcBorders>
              <w:bottom w:val="single" w:sz="8" w:color="EAEAE9"/>
            </w:tcBorders>
            <w:shd w:val="clear" w:color="auto" w:fill="EAEAE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Oversees and periodically reports to the Board on matters concerning the Company’s Corporate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5"/>
                <w:szCs w:val="15"/>
                <w:color w:val="auto"/>
              </w:rPr>
              <w:t>Sustainability Strategy including corporate responsibility and sustainability performance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Reviews and makes recommendations to the Board regarding corporate governance trends, best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80"/>
              <w:spacing w:after="0"/>
              <w:rPr>
                <w:sz w:val="20"/>
                <w:szCs w:val="20"/>
                <w:color w:val="auto"/>
              </w:rPr>
            </w:pPr>
            <w:r>
              <w:rPr>
                <w:rFonts w:ascii="Arial" w:cs="Arial" w:eastAsia="Arial" w:hAnsi="Arial"/>
                <w:sz w:val="15"/>
                <w:szCs w:val="15"/>
                <w:color w:val="auto"/>
              </w:rPr>
              <w:t>practices, and regulations applicable to the corporate governance of the Company</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-2313940</wp:posOffset>
            </wp:positionV>
            <wp:extent cx="377825" cy="1259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782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 </w:t>
      </w:r>
    </w:p>
    <w:p>
      <w:pPr>
        <w:spacing w:after="0" w:line="24"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28 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-203835</wp:posOffset>
            </wp:positionV>
            <wp:extent cx="7620" cy="212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Risk Governance and Oversight</w:t>
      </w:r>
    </w:p>
    <w:p>
      <w:pPr>
        <w:spacing w:after="0" w:line="69" w:lineRule="exact"/>
        <w:rPr>
          <w:sz w:val="20"/>
          <w:szCs w:val="20"/>
          <w:color w:val="auto"/>
        </w:rPr>
      </w:pPr>
    </w:p>
    <w:p>
      <w:pPr>
        <w:ind w:left="560" w:right="220"/>
        <w:spacing w:after="0" w:line="275" w:lineRule="auto"/>
        <w:rPr>
          <w:sz w:val="20"/>
          <w:szCs w:val="20"/>
          <w:color w:val="auto"/>
        </w:rPr>
      </w:pPr>
      <w:r>
        <w:rPr>
          <w:rFonts w:ascii="Arial" w:cs="Arial" w:eastAsia="Arial" w:hAnsi="Arial"/>
          <w:sz w:val="15"/>
          <w:szCs w:val="15"/>
          <w:color w:val="auto"/>
        </w:rPr>
        <w:t>Risk is inherent in business, and while management is responsible for managing risk, the Board’s oversight, assessment, and decisions regarding risks occur in conjunction with the other activities of the Board and its committees.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Risk Governance and Oversight Responsibilities</w:t>
      </w:r>
    </w:p>
    <w:p>
      <w:pPr>
        <w:spacing w:after="0" w:line="134"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00AE4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83185</wp:posOffset>
            </wp:positionV>
            <wp:extent cx="642683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10" w:lineRule="exact"/>
        <w:rPr>
          <w:sz w:val="20"/>
          <w:szCs w:val="20"/>
          <w:color w:val="auto"/>
        </w:rPr>
      </w:pPr>
    </w:p>
    <w:p>
      <w:pPr>
        <w:ind w:left="660" w:right="80"/>
        <w:spacing w:after="0" w:line="250" w:lineRule="auto"/>
        <w:rPr>
          <w:sz w:val="20"/>
          <w:szCs w:val="20"/>
          <w:color w:val="auto"/>
        </w:rPr>
      </w:pPr>
      <w:r>
        <w:rPr>
          <w:rFonts w:ascii="Arial" w:cs="Arial" w:eastAsia="Arial" w:hAnsi="Arial"/>
          <w:sz w:val="15"/>
          <w:szCs w:val="15"/>
          <w:color w:val="auto"/>
        </w:rPr>
        <w:t>The Board oversees mission-critical risks to the Company, including strategic and operational risks, as well as management’s actions to address and mitigate those risks. The Board receives reports at regular Board meetings from the committee chairs regarding committees’ risk oversight activities. These reports and the Board’s attention focus on risk management strategy and risks of greatest significance and seek to ensure that risks assumed by the Company are consistent with the Company’s risk tolerance and risk appetite. Risk oversight is also integrated into the full Board’s regular review of strategic planning.</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00AE4F"/>
              </w:rPr>
              <w:t>Compensation and Talent Management</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00AE4F"/>
              </w:rPr>
              <w:t>Corporate Governance and Nominating</w:t>
            </w:r>
          </w:p>
        </w:tc>
      </w:tr>
      <w:tr>
        <w:trPr>
          <w:trHeight w:val="169"/>
        </w:trPr>
        <w:tc>
          <w:tcPr>
            <w:tcW w:w="356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00AE4F"/>
              </w:rPr>
              <w:t>Audit Committee</w:t>
            </w:r>
          </w:p>
        </w:tc>
        <w:tc>
          <w:tcPr>
            <w:tcW w:w="100" w:type="dxa"/>
            <w:vAlign w:val="bottom"/>
          </w:tcPr>
          <w:p>
            <w:pPr>
              <w:spacing w:after="0"/>
              <w:rPr>
                <w:sz w:val="14"/>
                <w:szCs w:val="14"/>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Committee</w:t>
            </w:r>
          </w:p>
        </w:tc>
        <w:tc>
          <w:tcPr>
            <w:tcW w:w="10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-6985</wp:posOffset>
            </wp:positionV>
            <wp:extent cx="2047875" cy="3040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47875" cy="304038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-6985</wp:posOffset>
            </wp:positionV>
            <wp:extent cx="2252345" cy="30403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52345" cy="3040380"/>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p>
      <w:pPr>
        <w:spacing w:after="0" w:line="45" w:lineRule="exact"/>
        <w:rPr>
          <w:sz w:val="20"/>
          <w:szCs w:val="20"/>
          <w:color w:val="auto"/>
        </w:rPr>
      </w:pPr>
    </w:p>
    <w:p>
      <w:pPr>
        <w:ind w:left="900" w:right="100" w:hanging="256"/>
        <w:spacing w:after="0" w:line="230"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Provides oversight of risks, and management’s mitigations of those risks, that could have a financial impact, such as financial reporting and disclosure, accounting practices, internal controls, conflicts of interest, compliance with legal and regulatory requirements, and cybersecurity</w:t>
      </w:r>
    </w:p>
    <w:p>
      <w:pPr>
        <w:spacing w:after="0" w:line="41" w:lineRule="exact"/>
        <w:rPr>
          <w:rFonts w:ascii="Times New Roman" w:cs="Times New Roman" w:eastAsia="Times New Roman" w:hAnsi="Times New Roman"/>
          <w:sz w:val="12"/>
          <w:szCs w:val="12"/>
          <w:color w:val="00AE4F"/>
        </w:rPr>
      </w:pPr>
    </w:p>
    <w:p>
      <w:pPr>
        <w:ind w:left="900" w:right="40" w:hanging="256"/>
        <w:spacing w:after="0" w:line="232"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the Company’s overall risk management governance structure,</w:t>
      </w:r>
    </w:p>
    <w:p>
      <w:pPr>
        <w:ind w:left="900" w:right="100"/>
        <w:spacing w:after="0" w:line="238" w:lineRule="auto"/>
        <w:rPr>
          <w:rFonts w:ascii="Times New Roman" w:cs="Times New Roman" w:eastAsia="Times New Roman" w:hAnsi="Times New Roman"/>
          <w:sz w:val="12"/>
          <w:szCs w:val="12"/>
          <w:color w:val="00AE4F"/>
        </w:rPr>
      </w:pPr>
      <w:r>
        <w:rPr>
          <w:rFonts w:ascii="Arial" w:cs="Arial" w:eastAsia="Arial" w:hAnsi="Arial"/>
          <w:sz w:val="14"/>
          <w:szCs w:val="14"/>
          <w:color w:val="auto"/>
        </w:rPr>
        <w:t>risk assessment, and enterprise risk management processes</w:t>
      </w:r>
    </w:p>
    <w:p>
      <w:pPr>
        <w:spacing w:after="0" w:line="38" w:lineRule="exact"/>
        <w:rPr>
          <w:rFonts w:ascii="Times New Roman" w:cs="Times New Roman" w:eastAsia="Times New Roman" w:hAnsi="Times New Roman"/>
          <w:sz w:val="12"/>
          <w:szCs w:val="12"/>
          <w:color w:val="00AE4F"/>
        </w:rPr>
      </w:pPr>
    </w:p>
    <w:p>
      <w:pPr>
        <w:ind w:left="900" w:hanging="256"/>
        <w:spacing w:after="0" w:line="232"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risks associated with information security, cybersecurity, artificial intelligence, data privacy, and the Company’s process for assessing, identifying, and managing cybersecurity risk, including breach preparedness and response plans</w:t>
      </w:r>
    </w:p>
    <w:p>
      <w:pPr>
        <w:spacing w:after="0" w:line="40" w:lineRule="exact"/>
        <w:rPr>
          <w:rFonts w:ascii="Times New Roman" w:cs="Times New Roman" w:eastAsia="Times New Roman" w:hAnsi="Times New Roman"/>
          <w:sz w:val="12"/>
          <w:szCs w:val="12"/>
          <w:color w:val="00AE4F"/>
        </w:rPr>
      </w:pPr>
    </w:p>
    <w:p>
      <w:pPr>
        <w:jc w:val="both"/>
        <w:ind w:left="900" w:right="20" w:hanging="256"/>
        <w:spacing w:after="0" w:line="257"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Reviews all quarterly and annual reports, including any disclosure of risk factors affecting the business</w:t>
      </w:r>
    </w:p>
    <w:p>
      <w:pPr>
        <w:spacing w:after="0" w:line="27" w:lineRule="exact"/>
        <w:rPr>
          <w:rFonts w:ascii="Times New Roman" w:cs="Times New Roman" w:eastAsia="Times New Roman" w:hAnsi="Times New Roman"/>
          <w:sz w:val="12"/>
          <w:szCs w:val="12"/>
          <w:color w:val="00AE4F"/>
        </w:rPr>
      </w:pPr>
    </w:p>
    <w:p>
      <w:pPr>
        <w:ind w:left="900" w:right="400" w:hanging="256"/>
        <w:spacing w:after="0" w:line="239"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the performance of the Company’s Internal Audit function including Chief Audit Executive (“CAE”)</w:t>
      </w:r>
    </w:p>
    <w:p>
      <w:pPr>
        <w:spacing w:after="0" w:line="39" w:lineRule="exact"/>
        <w:rPr>
          <w:rFonts w:ascii="Times New Roman" w:cs="Times New Roman" w:eastAsia="Times New Roman" w:hAnsi="Times New Roman"/>
          <w:sz w:val="12"/>
          <w:szCs w:val="12"/>
          <w:color w:val="00AE4F"/>
        </w:rPr>
      </w:pPr>
    </w:p>
    <w:p>
      <w:pPr>
        <w:ind w:left="900" w:right="60" w:hanging="256"/>
        <w:spacing w:after="0" w:line="257"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Reviews and approves Internal Audit’s budget and resource plan</w:t>
      </w:r>
    </w:p>
    <w:p>
      <w:pPr>
        <w:spacing w:after="0" w:line="27" w:lineRule="exact"/>
        <w:rPr>
          <w:rFonts w:ascii="Times New Roman" w:cs="Times New Roman" w:eastAsia="Times New Roman" w:hAnsi="Times New Roman"/>
          <w:sz w:val="12"/>
          <w:szCs w:val="12"/>
          <w:color w:val="00AE4F"/>
        </w:rPr>
      </w:pPr>
    </w:p>
    <w:p>
      <w:pPr>
        <w:ind w:left="900" w:right="20" w:hanging="256"/>
        <w:spacing w:after="0" w:line="230" w:lineRule="auto"/>
        <w:tabs>
          <w:tab w:leader="none" w:pos="900" w:val="left"/>
        </w:tabs>
        <w:numPr>
          <w:ilvl w:val="0"/>
          <w:numId w:val="65"/>
        </w:numPr>
        <w:rPr>
          <w:rFonts w:ascii="Times New Roman" w:cs="Times New Roman" w:eastAsia="Times New Roman" w:hAnsi="Times New Roman"/>
          <w:sz w:val="12"/>
          <w:szCs w:val="12"/>
          <w:color w:val="00AE4F"/>
        </w:rPr>
      </w:pPr>
      <w:r>
        <w:rPr>
          <w:rFonts w:ascii="Arial" w:cs="Arial" w:eastAsia="Arial" w:hAnsi="Arial"/>
          <w:sz w:val="14"/>
          <w:szCs w:val="14"/>
          <w:color w:val="auto"/>
        </w:rPr>
        <w:t>Monitors the qualifications, performance, and independence of the Company’s independent auditors, including responsibility for the appointment, compensation, retention, and oversight of the Company’s independent registered public accounting firm</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58" w:right="40" w:hanging="258"/>
        <w:spacing w:after="0" w:line="228" w:lineRule="auto"/>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our compensation plans, policies, and practices to ensure alignment with our Executive Compensation Risk Assessment Framework and reports to the Board any compensation program that is reasonably likely to have a material adverse effect on the Company, and otherwise advises the Board on compensation-related risk matters</w:t>
      </w:r>
    </w:p>
    <w:p>
      <w:pPr>
        <w:spacing w:after="0" w:line="41" w:lineRule="exact"/>
        <w:rPr>
          <w:rFonts w:ascii="Times New Roman" w:cs="Times New Roman" w:eastAsia="Times New Roman" w:hAnsi="Times New Roman"/>
          <w:sz w:val="12"/>
          <w:szCs w:val="12"/>
          <w:color w:val="00AE4F"/>
        </w:rPr>
      </w:pPr>
    </w:p>
    <w:p>
      <w:pPr>
        <w:ind w:left="258" w:hanging="258"/>
        <w:spacing w:after="0" w:line="232" w:lineRule="auto"/>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Together with the Committee’s independent compensation consultant, reviews and evaluates management’s annual assessment of potential risks created by our compensation plans, policies, and practices</w:t>
      </w:r>
    </w:p>
    <w:p>
      <w:pPr>
        <w:spacing w:after="0" w:line="40" w:lineRule="exact"/>
        <w:rPr>
          <w:rFonts w:ascii="Times New Roman" w:cs="Times New Roman" w:eastAsia="Times New Roman" w:hAnsi="Times New Roman"/>
          <w:sz w:val="12"/>
          <w:szCs w:val="12"/>
          <w:color w:val="00AE4F"/>
        </w:rPr>
      </w:pPr>
    </w:p>
    <w:p>
      <w:pPr>
        <w:ind w:left="258" w:hanging="258"/>
        <w:spacing w:after="0" w:line="230" w:lineRule="auto"/>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Sets performance goals under our annual and long-term incentive plans that provide an appropriate balance between the achievement of short- and long-term performance objectives, with emphasis on long-term value creation and responsible risk management</w:t>
      </w:r>
    </w:p>
    <w:p>
      <w:pPr>
        <w:spacing w:after="0" w:line="41" w:lineRule="exact"/>
        <w:rPr>
          <w:rFonts w:ascii="Times New Roman" w:cs="Times New Roman" w:eastAsia="Times New Roman" w:hAnsi="Times New Roman"/>
          <w:sz w:val="12"/>
          <w:szCs w:val="12"/>
          <w:color w:val="00AE4F"/>
        </w:rPr>
      </w:pPr>
    </w:p>
    <w:p>
      <w:pPr>
        <w:ind w:left="258" w:right="220" w:hanging="258"/>
        <w:spacing w:after="0" w:line="257" w:lineRule="auto"/>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risk associated with ongoing CEO and senior officer succession planning</w:t>
      </w:r>
    </w:p>
    <w:p>
      <w:pPr>
        <w:spacing w:after="0" w:line="27" w:lineRule="exact"/>
        <w:rPr>
          <w:rFonts w:ascii="Times New Roman" w:cs="Times New Roman" w:eastAsia="Times New Roman" w:hAnsi="Times New Roman"/>
          <w:sz w:val="12"/>
          <w:szCs w:val="12"/>
          <w:color w:val="00AE4F"/>
        </w:rPr>
      </w:pPr>
    </w:p>
    <w:p>
      <w:pPr>
        <w:ind w:left="258" w:right="440" w:hanging="258"/>
        <w:spacing w:after="0" w:line="257" w:lineRule="auto"/>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risks related to the Company’s human capital management</w:t>
      </w:r>
    </w:p>
    <w:p>
      <w:pPr>
        <w:spacing w:after="0" w:line="27" w:lineRule="exact"/>
        <w:rPr>
          <w:rFonts w:ascii="Times New Roman" w:cs="Times New Roman" w:eastAsia="Times New Roman" w:hAnsi="Times New Roman"/>
          <w:sz w:val="12"/>
          <w:szCs w:val="12"/>
          <w:color w:val="00AE4F"/>
        </w:rPr>
      </w:pPr>
    </w:p>
    <w:p>
      <w:pPr>
        <w:ind w:left="258" w:hanging="258"/>
        <w:spacing w:after="0"/>
        <w:tabs>
          <w:tab w:leader="none" w:pos="258" w:val="left"/>
        </w:tabs>
        <w:numPr>
          <w:ilvl w:val="0"/>
          <w:numId w:val="66"/>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491490</wp:posOffset>
            </wp:positionV>
            <wp:extent cx="642683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61" w:right="180" w:hanging="261"/>
        <w:spacing w:after="0" w:line="248" w:lineRule="auto"/>
        <w:tabs>
          <w:tab w:leader="none" w:pos="261" w:val="left"/>
        </w:tabs>
        <w:numPr>
          <w:ilvl w:val="0"/>
          <w:numId w:val="67"/>
        </w:numPr>
        <w:rPr>
          <w:rFonts w:ascii="Times New Roman" w:cs="Times New Roman" w:eastAsia="Times New Roman" w:hAnsi="Times New Roman"/>
          <w:sz w:val="11"/>
          <w:szCs w:val="11"/>
          <w:color w:val="00AE4F"/>
        </w:rPr>
      </w:pPr>
      <w:r>
        <w:rPr>
          <w:rFonts w:ascii="Arial" w:cs="Arial" w:eastAsia="Arial" w:hAnsi="Arial"/>
          <w:sz w:val="13"/>
          <w:szCs w:val="13"/>
          <w:color w:val="auto"/>
        </w:rPr>
        <w:t>Oversees risk associated with governance issues, such as the range of independence, skills, experience, and viewpoints of the Board and its committees, Board and committee effectiveness and organization, corporate governance, and director succession planning</w:t>
      </w:r>
    </w:p>
    <w:p>
      <w:pPr>
        <w:spacing w:after="0" w:line="189" w:lineRule="exact"/>
        <w:rPr>
          <w:rFonts w:ascii="Times New Roman" w:cs="Times New Roman" w:eastAsia="Times New Roman" w:hAnsi="Times New Roman"/>
          <w:sz w:val="11"/>
          <w:szCs w:val="11"/>
          <w:color w:val="00AE4F"/>
        </w:rPr>
      </w:pPr>
    </w:p>
    <w:p>
      <w:pPr>
        <w:ind w:left="261" w:right="160" w:hanging="261"/>
        <w:spacing w:after="0" w:line="229" w:lineRule="auto"/>
        <w:tabs>
          <w:tab w:leader="none" w:pos="261" w:val="left"/>
        </w:tabs>
        <w:numPr>
          <w:ilvl w:val="0"/>
          <w:numId w:val="67"/>
        </w:numPr>
        <w:rPr>
          <w:rFonts w:ascii="Times New Roman" w:cs="Times New Roman" w:eastAsia="Times New Roman" w:hAnsi="Times New Roman"/>
          <w:sz w:val="12"/>
          <w:szCs w:val="12"/>
          <w:color w:val="00AE4F"/>
        </w:rPr>
      </w:pPr>
      <w:r>
        <w:rPr>
          <w:rFonts w:ascii="Arial" w:cs="Arial" w:eastAsia="Arial" w:hAnsi="Arial"/>
          <w:sz w:val="14"/>
          <w:szCs w:val="14"/>
          <w:color w:val="auto"/>
        </w:rPr>
        <w:t>Maintains Corporate Governance Principles and procedures designed to promote compliance with all applicable legal and regulatory requirements and governance standards and the Company’s Code of Business Conduct and Ethics and Insider Trading Policy</w:t>
      </w:r>
    </w:p>
    <w:p>
      <w:pPr>
        <w:spacing w:after="0" w:line="40" w:lineRule="exact"/>
        <w:rPr>
          <w:rFonts w:ascii="Times New Roman" w:cs="Times New Roman" w:eastAsia="Times New Roman" w:hAnsi="Times New Roman"/>
          <w:sz w:val="12"/>
          <w:szCs w:val="12"/>
          <w:color w:val="00AE4F"/>
        </w:rPr>
      </w:pPr>
    </w:p>
    <w:p>
      <w:pPr>
        <w:ind w:left="261" w:right="20" w:hanging="261"/>
        <w:spacing w:after="0" w:line="230" w:lineRule="auto"/>
        <w:tabs>
          <w:tab w:leader="none" w:pos="261" w:val="left"/>
        </w:tabs>
        <w:numPr>
          <w:ilvl w:val="0"/>
          <w:numId w:val="67"/>
        </w:numPr>
        <w:rPr>
          <w:rFonts w:ascii="Times New Roman" w:cs="Times New Roman" w:eastAsia="Times New Roman" w:hAnsi="Times New Roman"/>
          <w:sz w:val="12"/>
          <w:szCs w:val="12"/>
          <w:color w:val="00AE4F"/>
        </w:rPr>
      </w:pPr>
      <w:r>
        <w:rPr>
          <w:rFonts w:ascii="Arial" w:cs="Arial" w:eastAsia="Arial" w:hAnsi="Arial"/>
          <w:sz w:val="14"/>
          <w:szCs w:val="14"/>
          <w:color w:val="auto"/>
        </w:rPr>
        <w:t>Annually reviews the Company’s Sustainability Strategy, initiatives, and policies and monitors associated risks, including reputational, regulatory, and operational risks arising from the Company’s sustainability commitments and disclosures</w:t>
      </w:r>
    </w:p>
    <w:p>
      <w:pPr>
        <w:spacing w:after="0" w:line="41" w:lineRule="exact"/>
        <w:rPr>
          <w:rFonts w:ascii="Times New Roman" w:cs="Times New Roman" w:eastAsia="Times New Roman" w:hAnsi="Times New Roman"/>
          <w:sz w:val="12"/>
          <w:szCs w:val="12"/>
          <w:color w:val="00AE4F"/>
        </w:rPr>
      </w:pPr>
    </w:p>
    <w:p>
      <w:pPr>
        <w:ind w:left="261" w:right="40" w:hanging="261"/>
        <w:spacing w:after="0" w:line="257" w:lineRule="auto"/>
        <w:tabs>
          <w:tab w:leader="none" w:pos="261" w:val="left"/>
        </w:tabs>
        <w:numPr>
          <w:ilvl w:val="0"/>
          <w:numId w:val="67"/>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emergency succession planning for the CEO and Chairman</w:t>
      </w:r>
    </w:p>
    <w:p>
      <w:pPr>
        <w:spacing w:after="0" w:line="27" w:lineRule="exact"/>
        <w:rPr>
          <w:rFonts w:ascii="Times New Roman" w:cs="Times New Roman" w:eastAsia="Times New Roman" w:hAnsi="Times New Roman"/>
          <w:sz w:val="12"/>
          <w:szCs w:val="12"/>
          <w:color w:val="00AE4F"/>
        </w:rPr>
      </w:pPr>
    </w:p>
    <w:p>
      <w:pPr>
        <w:ind w:left="261" w:right="120" w:hanging="261"/>
        <w:spacing w:after="0" w:line="232" w:lineRule="auto"/>
        <w:tabs>
          <w:tab w:leader="none" w:pos="261" w:val="left"/>
        </w:tabs>
        <w:numPr>
          <w:ilvl w:val="0"/>
          <w:numId w:val="67"/>
        </w:numPr>
        <w:rPr>
          <w:rFonts w:ascii="Times New Roman" w:cs="Times New Roman" w:eastAsia="Times New Roman" w:hAnsi="Times New Roman"/>
          <w:sz w:val="12"/>
          <w:szCs w:val="12"/>
          <w:color w:val="00AE4F"/>
        </w:rPr>
      </w:pPr>
      <w:r>
        <w:rPr>
          <w:rFonts w:ascii="Arial" w:cs="Arial" w:eastAsia="Arial" w:hAnsi="Arial"/>
          <w:sz w:val="14"/>
          <w:szCs w:val="14"/>
          <w:color w:val="auto"/>
        </w:rPr>
        <w:t>Oversees the orientation and education of directors to ensure clear understanding of their Board responsibilities and recommends continuing education programs, as appropriate</w:t>
      </w:r>
    </w:p>
    <w:p>
      <w:pPr>
        <w:spacing w:after="0" w:line="496" w:lineRule="exact"/>
        <w:rPr>
          <w:sz w:val="20"/>
          <w:szCs w:val="20"/>
          <w:color w:val="auto"/>
        </w:rPr>
      </w:pPr>
    </w:p>
    <w:p>
      <w:pPr>
        <w:sectPr>
          <w:pgSz w:w="11900" w:h="16838" w:orient="portrait"/>
          <w:cols w:equalWidth="0" w:num="3">
            <w:col w:w="4100" w:space="122"/>
            <w:col w:w="3218" w:space="119"/>
            <w:col w:w="3141"/>
          </w:cols>
          <w:pgMar w:left="320" w:top="454" w:right="879" w:bottom="1440" w:gutter="0" w:footer="0" w:header="0"/>
          <w:type w:val="continuous"/>
        </w:sectPr>
      </w:pPr>
    </w:p>
    <w:p>
      <w:pPr>
        <w:spacing w:after="0" w:line="7"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00AE4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90805</wp:posOffset>
            </wp:positionV>
            <wp:extent cx="64268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23" w:lineRule="exact"/>
        <w:rPr>
          <w:sz w:val="20"/>
          <w:szCs w:val="20"/>
          <w:color w:val="auto"/>
        </w:rPr>
      </w:pPr>
    </w:p>
    <w:p>
      <w:pPr>
        <w:ind w:left="660" w:right="40"/>
        <w:spacing w:after="0" w:line="244" w:lineRule="auto"/>
        <w:rPr>
          <w:sz w:val="20"/>
          <w:szCs w:val="20"/>
          <w:color w:val="auto"/>
        </w:rPr>
      </w:pPr>
      <w:r>
        <w:rPr>
          <w:rFonts w:ascii="Arial" w:cs="Arial" w:eastAsia="Arial" w:hAnsi="Arial"/>
          <w:sz w:val="15"/>
          <w:szCs w:val="15"/>
          <w:color w:val="auto"/>
        </w:rPr>
        <w:t>Management assesses and manages critical risks, including the execution of the Company’s Enterprise Risk Management (“ERM”) program. The Company’s risk-related departments and functions, in collaboration with the Vice President and Chief Risk, Compliance, and Privacy Officer (“Chief Risk Officer”), are responsible for risk assessment and mitigation. The Chief Risk Officer reports directly to the company’s Executive Vice President, General Counsel, and Corporate Secretary (“General Counsel”). For Sustainability-related risk, the company maintains the ESG Advisory Committee to oversee goals and progress toward the achievement of those goals as established by the sustainability team. The ESG Advisory Committee meets monthly and includes members from the company’s business units and sustainability team, ensuring that sustainability considerations are integrated into operational decision-making at multiple levels of the company. On a quarterly basis, an expanded advisory group consisting of senior leaders from across the company’s legal, financial, human capital, risk and compliance, culture and inclusion, accounting, and audit functions will review the company’s sustainability strategy. This cross-functional composition ensures that sustainability risk is evaluated through multiple lenses and accountability is distributed across the enterprise. The General Counsel reports the results of the ESG Advisory Committee and the expanded advisory group to the Corporate Governance and Nominating Committee annually.</w:t>
      </w:r>
    </w:p>
    <w:p>
      <w:pPr>
        <w:spacing w:after="0" w:line="80" w:lineRule="exact"/>
        <w:rPr>
          <w:sz w:val="20"/>
          <w:szCs w:val="20"/>
          <w:color w:val="auto"/>
        </w:rPr>
      </w:pPr>
    </w:p>
    <w:p>
      <w:pPr>
        <w:ind w:left="660" w:right="40"/>
        <w:spacing w:after="0" w:line="275" w:lineRule="auto"/>
        <w:rPr>
          <w:sz w:val="20"/>
          <w:szCs w:val="20"/>
          <w:color w:val="auto"/>
        </w:rPr>
      </w:pPr>
      <w:r>
        <w:rPr>
          <w:rFonts w:ascii="Arial" w:cs="Arial" w:eastAsia="Arial" w:hAnsi="Arial"/>
          <w:sz w:val="15"/>
          <w:szCs w:val="15"/>
          <w:color w:val="auto"/>
        </w:rPr>
        <w:t>With respect to the risk assessment of the company’s compensation programs, management is responsible for the framework and approach as outlined below under Risk Assessment of Employee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24765</wp:posOffset>
            </wp:positionV>
            <wp:extent cx="642683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31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Enterprise Risk Management Program</w:t>
      </w:r>
    </w:p>
    <w:p>
      <w:pPr>
        <w:spacing w:after="0" w:line="68"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The Company’s ERM program serves as the primary means of identifying and managing the Company’s key risks. The Company’s ERM team, among other activities, performs assessments of risks to the Company, participates in the development and execution of mitigation programs for critical risks, maintains and periodically updates the Company’s risk appetite and tolerance framework, which is reviewed by the Board, manages the AI and privacy governance function, provides risk assessment, guidance, and mitigation related to cybersecurity, and assists in the integration of risk concepts within the Company’s strategic planning process and in alignment with the functional and business stakeholders.</w:t>
      </w:r>
    </w:p>
    <w:p>
      <w:pPr>
        <w:spacing w:after="0" w:line="32" w:lineRule="exact"/>
        <w:rPr>
          <w:sz w:val="20"/>
          <w:szCs w:val="20"/>
          <w:color w:val="auto"/>
        </w:rPr>
      </w:pPr>
    </w:p>
    <w:p>
      <w:pPr>
        <w:ind w:left="560"/>
        <w:spacing w:after="0" w:line="250" w:lineRule="auto"/>
        <w:rPr>
          <w:sz w:val="20"/>
          <w:szCs w:val="20"/>
          <w:color w:val="auto"/>
        </w:rPr>
      </w:pPr>
      <w:r>
        <w:rPr>
          <w:rFonts w:ascii="Arial" w:cs="Arial" w:eastAsia="Arial" w:hAnsi="Arial"/>
          <w:sz w:val="15"/>
          <w:szCs w:val="15"/>
          <w:color w:val="auto"/>
        </w:rPr>
        <w:t>The ERM team provides written and oral reports to the Audit Committee quarterly. Its current activities remain focused on oversight and mitigation of specific risk exposures, analysis of the breadth and effectiveness of existing risk management practices, and continued development and enhancement of measurement and monitoring practices concerning high-priority strategic and operational risks. Current areas of particular emphasis include cybersecurity, artificial intelligence, data privacy, strategic risk, integration of risk appetite practices into the Company’s ongoing operations, wage-hour risk, third-party risk, human capital risk, and improvements to the Company’s compliance governance practices.</w:t>
      </w:r>
    </w:p>
    <w:p>
      <w:pPr>
        <w:spacing w:after="0" w:line="32" w:lineRule="exact"/>
        <w:rPr>
          <w:sz w:val="20"/>
          <w:szCs w:val="20"/>
          <w:color w:val="auto"/>
        </w:rPr>
      </w:pPr>
    </w:p>
    <w:p>
      <w:pPr>
        <w:ind w:left="560" w:right="80"/>
        <w:spacing w:after="0" w:line="252" w:lineRule="auto"/>
        <w:rPr>
          <w:sz w:val="20"/>
          <w:szCs w:val="20"/>
          <w:color w:val="auto"/>
        </w:rPr>
      </w:pPr>
      <w:r>
        <w:rPr>
          <w:rFonts w:ascii="Arial" w:cs="Arial" w:eastAsia="Arial" w:hAnsi="Arial"/>
          <w:sz w:val="15"/>
          <w:szCs w:val="15"/>
          <w:color w:val="auto"/>
        </w:rPr>
        <w:t>The Company’s information technology and internal audit groups provide regular quarterly updates to the Audit Committee with respect to the company’s proactive approach to the management of cybersecurity, AI, and other compliance controls. Controls are reviewed for operational effectiveness and to provide reasonable assurance that: business risk is managed; employee, customer, and supplier data, corporate information, and other assets are safeguarded; business processing infrastructure and applications are maintained; material risks are identified and managed.</w:t>
      </w:r>
    </w:p>
    <w:p>
      <w:pPr>
        <w:spacing w:after="0" w:line="32" w:lineRule="exact"/>
        <w:rPr>
          <w:sz w:val="20"/>
          <w:szCs w:val="20"/>
          <w:color w:val="auto"/>
        </w:rPr>
      </w:pPr>
    </w:p>
    <w:p>
      <w:pPr>
        <w:ind w:left="560" w:right="100"/>
        <w:spacing w:after="0" w:line="250" w:lineRule="auto"/>
        <w:rPr>
          <w:sz w:val="20"/>
          <w:szCs w:val="20"/>
          <w:color w:val="auto"/>
        </w:rPr>
      </w:pPr>
      <w:r>
        <w:rPr>
          <w:rFonts w:ascii="Arial" w:cs="Arial" w:eastAsia="Arial" w:hAnsi="Arial"/>
          <w:sz w:val="15"/>
          <w:szCs w:val="15"/>
          <w:color w:val="auto"/>
        </w:rPr>
        <w:t>Teams from the Company’s information technology, data privacy, and compliance functions coordinate cybersecurity, artificial intelligence, and privacy governance matters. This includes internal monitoring to proactively identify potential security threats, maintenance of access controls, asset management, response and recovery activities, and training and awareness programs. The Company’s training program provides specialized training on a quarterly basis to employees and directors, including mandatory new hire cyber and privacy training, quarterly focused cyber trainings, and monthly training exercises for identifying phishing attempts. Evaluation of these practices is reported to the Audit Committee on a quarterly basis.</w:t>
      </w:r>
    </w:p>
    <w:p>
      <w:pPr>
        <w:spacing w:after="0" w:line="44" w:lineRule="exact"/>
        <w:rPr>
          <w:sz w:val="20"/>
          <w:szCs w:val="20"/>
          <w:color w:val="auto"/>
        </w:rPr>
      </w:pPr>
    </w:p>
    <w:p>
      <w:pPr>
        <w:ind w:left="560" w:right="140"/>
        <w:spacing w:after="0" w:line="250" w:lineRule="auto"/>
        <w:rPr>
          <w:sz w:val="20"/>
          <w:szCs w:val="20"/>
          <w:color w:val="auto"/>
        </w:rPr>
      </w:pPr>
      <w:r>
        <w:rPr>
          <w:rFonts w:ascii="Arial" w:cs="Arial" w:eastAsia="Arial" w:hAnsi="Arial"/>
          <w:sz w:val="15"/>
          <w:szCs w:val="15"/>
          <w:color w:val="auto"/>
        </w:rPr>
        <w:t>In addition to the reports submitted quarterly by the company’s Chief Risk Officer, the Vice President of Internal Audit independently assesses the Company’s risk management process and separately reports on the effectiveness of the company’s risk identification, prioritization, and mitigation processes to the Audit Committee. The ERM team plays a key role in the company’s response to significant operational, geopolitical, or macroeconomic disruptions, providing Board updates and scenario planning regarding impacts on cybersecurity, employee health and safety, corporate operations, and global markets.</w:t>
      </w:r>
    </w:p>
    <w:p>
      <w:pPr>
        <w:spacing w:after="0" w:line="3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30 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93345</wp:posOffset>
            </wp:positionV>
            <wp:extent cx="6426835" cy="26384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26835" cy="26384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p>
      <w:pPr>
        <w:spacing w:after="0" w:line="34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    INFORMATION SECURITY AND BUSINESS CONTINUITY</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4140" w:type="dxa"/>
            <w:vAlign w:val="bottom"/>
          </w:tcPr>
          <w:p>
            <w:pPr>
              <w:ind w:left="520"/>
              <w:spacing w:after="0"/>
              <w:rPr>
                <w:sz w:val="20"/>
                <w:szCs w:val="20"/>
                <w:color w:val="auto"/>
              </w:rPr>
            </w:pPr>
            <w:r>
              <w:rPr>
                <w:rFonts w:ascii="Arial" w:cs="Arial" w:eastAsia="Arial" w:hAnsi="Arial"/>
                <w:sz w:val="15"/>
                <w:szCs w:val="15"/>
                <w:b w:val="1"/>
                <w:bCs w:val="1"/>
                <w:color w:val="auto"/>
              </w:rPr>
              <w:t>Emergency Management Team</w:t>
            </w:r>
          </w:p>
        </w:tc>
        <w:tc>
          <w:tcPr>
            <w:tcW w:w="0" w:type="dxa"/>
            <w:vAlign w:val="bottom"/>
          </w:tcPr>
          <w:p>
            <w:pPr>
              <w:spacing w:after="0"/>
              <w:rPr>
                <w:sz w:val="1"/>
                <w:szCs w:val="1"/>
                <w:color w:val="auto"/>
              </w:rPr>
            </w:pPr>
          </w:p>
        </w:tc>
      </w:tr>
      <w:tr>
        <w:trPr>
          <w:trHeight w:val="219"/>
        </w:trPr>
        <w:tc>
          <w:tcPr>
            <w:tcW w:w="720" w:type="dxa"/>
            <w:vAlign w:val="bottom"/>
            <w:vMerge w:val="restart"/>
          </w:tcPr>
          <w:p>
            <w:pPr>
              <w:spacing w:after="0"/>
              <w:rPr>
                <w:sz w:val="20"/>
                <w:szCs w:val="20"/>
                <w:color w:val="auto"/>
              </w:rPr>
            </w:pPr>
            <w:r>
              <w:rPr>
                <w:rFonts w:ascii="Arial" w:cs="Arial" w:eastAsia="Arial" w:hAnsi="Arial"/>
                <w:sz w:val="15"/>
                <w:szCs w:val="15"/>
                <w:color w:val="auto"/>
              </w:rPr>
              <w:t xml:space="preserve">    </w:t>
            </w:r>
          </w:p>
        </w:tc>
        <w:tc>
          <w:tcPr>
            <w:tcW w:w="4140" w:type="dxa"/>
            <w:vAlign w:val="bottom"/>
          </w:tcPr>
          <w:p>
            <w:pPr>
              <w:ind w:left="520"/>
              <w:spacing w:after="0"/>
              <w:rPr>
                <w:sz w:val="20"/>
                <w:szCs w:val="20"/>
                <w:color w:val="auto"/>
              </w:rPr>
            </w:pPr>
            <w:r>
              <w:rPr>
                <w:rFonts w:ascii="Arial" w:cs="Arial" w:eastAsia="Arial" w:hAnsi="Arial"/>
                <w:sz w:val="15"/>
                <w:szCs w:val="15"/>
                <w:color w:val="auto"/>
                <w:w w:val="99"/>
              </w:rPr>
              <w:t>Global, interdepartmental group empowered to quickly</w:t>
            </w:r>
          </w:p>
        </w:tc>
        <w:tc>
          <w:tcPr>
            <w:tcW w:w="0" w:type="dxa"/>
            <w:vAlign w:val="bottom"/>
          </w:tcPr>
          <w:p>
            <w:pPr>
              <w:spacing w:after="0"/>
              <w:rPr>
                <w:sz w:val="1"/>
                <w:szCs w:val="1"/>
                <w:color w:val="auto"/>
              </w:rPr>
            </w:pPr>
          </w:p>
        </w:tc>
      </w:tr>
      <w:tr>
        <w:trPr>
          <w:trHeight w:val="174"/>
        </w:trPr>
        <w:tc>
          <w:tcPr>
            <w:tcW w:w="720" w:type="dxa"/>
            <w:vAlign w:val="bottom"/>
            <w:vMerge w:val="continue"/>
          </w:tcPr>
          <w:p>
            <w:pPr>
              <w:spacing w:after="0"/>
              <w:rPr>
                <w:sz w:val="15"/>
                <w:szCs w:val="15"/>
                <w:color w:val="auto"/>
              </w:rPr>
            </w:pPr>
          </w:p>
        </w:tc>
        <w:tc>
          <w:tcPr>
            <w:tcW w:w="4140" w:type="dxa"/>
            <w:vAlign w:val="bottom"/>
          </w:tcPr>
          <w:p>
            <w:pPr>
              <w:ind w:left="520"/>
              <w:spacing w:after="0"/>
              <w:rPr>
                <w:sz w:val="20"/>
                <w:szCs w:val="20"/>
                <w:color w:val="auto"/>
              </w:rPr>
            </w:pPr>
            <w:r>
              <w:rPr>
                <w:rFonts w:ascii="Arial" w:cs="Arial" w:eastAsia="Arial" w:hAnsi="Arial"/>
                <w:sz w:val="15"/>
                <w:szCs w:val="15"/>
                <w:color w:val="auto"/>
                <w:w w:val="98"/>
              </w:rPr>
              <w:t>make decisions in response to critical events that affect</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140" w:type="dxa"/>
            <w:vAlign w:val="bottom"/>
          </w:tcPr>
          <w:p>
            <w:pPr>
              <w:ind w:left="520"/>
              <w:spacing w:after="0"/>
              <w:rPr>
                <w:sz w:val="20"/>
                <w:szCs w:val="20"/>
                <w:color w:val="auto"/>
              </w:rPr>
            </w:pPr>
            <w:r>
              <w:rPr>
                <w:rFonts w:ascii="Arial" w:cs="Arial" w:eastAsia="Arial" w:hAnsi="Arial"/>
                <w:sz w:val="15"/>
                <w:szCs w:val="15"/>
                <w:color w:val="auto"/>
              </w:rPr>
              <w:t>our employees, facilities, or business operations.</w:t>
            </w:r>
          </w:p>
        </w:tc>
        <w:tc>
          <w:tcPr>
            <w:tcW w:w="0" w:type="dxa"/>
            <w:vAlign w:val="bottom"/>
          </w:tcPr>
          <w:p>
            <w:pPr>
              <w:spacing w:after="0"/>
              <w:rPr>
                <w:sz w:val="1"/>
                <w:szCs w:val="1"/>
                <w:color w:val="auto"/>
              </w:rPr>
            </w:pPr>
          </w:p>
        </w:tc>
      </w:tr>
    </w:tbl>
    <w:p>
      <w:pPr>
        <w:spacing w:after="0" w:line="101"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ind w:left="520"/>
              <w:spacing w:after="0"/>
              <w:rPr>
                <w:sz w:val="20"/>
                <w:szCs w:val="20"/>
                <w:color w:val="auto"/>
              </w:rPr>
            </w:pPr>
            <w:r>
              <w:rPr>
                <w:rFonts w:ascii="Arial" w:cs="Arial" w:eastAsia="Arial" w:hAnsi="Arial"/>
                <w:sz w:val="15"/>
                <w:szCs w:val="15"/>
                <w:b w:val="1"/>
                <w:bCs w:val="1"/>
                <w:color w:val="auto"/>
              </w:rPr>
              <w:t>Business Continuity Plan Testing</w:t>
            </w:r>
          </w:p>
        </w:tc>
        <w:tc>
          <w:tcPr>
            <w:tcW w:w="0" w:type="dxa"/>
            <w:vAlign w:val="bottom"/>
          </w:tcPr>
          <w:p>
            <w:pPr>
              <w:spacing w:after="0"/>
              <w:rPr>
                <w:sz w:val="1"/>
                <w:szCs w:val="1"/>
                <w:color w:val="auto"/>
              </w:rPr>
            </w:pPr>
          </w:p>
        </w:tc>
      </w:tr>
      <w:tr>
        <w:trPr>
          <w:trHeight w:val="219"/>
        </w:trPr>
        <w:tc>
          <w:tcPr>
            <w:tcW w:w="100" w:type="dxa"/>
            <w:vAlign w:val="bottom"/>
            <w:vMerge w:val="restart"/>
          </w:tcPr>
          <w:p>
            <w:pPr>
              <w:spacing w:after="0"/>
              <w:rPr>
                <w:sz w:val="20"/>
                <w:szCs w:val="20"/>
                <w:color w:val="auto"/>
              </w:rPr>
            </w:pPr>
            <w:r>
              <w:rPr>
                <w:rFonts w:ascii="Arial" w:cs="Arial" w:eastAsia="Arial" w:hAnsi="Arial"/>
                <w:sz w:val="11"/>
                <w:szCs w:val="11"/>
                <w:color w:val="auto"/>
                <w:w w:val="72"/>
              </w:rPr>
              <w:t> </w:t>
            </w:r>
          </w:p>
        </w:tc>
        <w:tc>
          <w:tcPr>
            <w:tcW w:w="6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4240" w:type="dxa"/>
            <w:vAlign w:val="bottom"/>
          </w:tcPr>
          <w:p>
            <w:pPr>
              <w:ind w:left="520"/>
              <w:spacing w:after="0"/>
              <w:rPr>
                <w:sz w:val="20"/>
                <w:szCs w:val="20"/>
                <w:color w:val="auto"/>
              </w:rPr>
            </w:pPr>
            <w:r>
              <w:rPr>
                <w:rFonts w:ascii="Arial" w:cs="Arial" w:eastAsia="Arial" w:hAnsi="Arial"/>
                <w:sz w:val="15"/>
                <w:szCs w:val="15"/>
                <w:color w:val="auto"/>
              </w:rPr>
              <w:t>Kelly’s Business Continuity and IT Disaster Recovery</w:t>
            </w:r>
          </w:p>
        </w:tc>
        <w:tc>
          <w:tcPr>
            <w:tcW w:w="0" w:type="dxa"/>
            <w:vAlign w:val="bottom"/>
          </w:tcPr>
          <w:p>
            <w:pPr>
              <w:spacing w:after="0"/>
              <w:rPr>
                <w:sz w:val="1"/>
                <w:szCs w:val="1"/>
                <w:color w:val="auto"/>
              </w:rPr>
            </w:pPr>
          </w:p>
        </w:tc>
      </w:tr>
      <w:tr>
        <w:trPr>
          <w:trHeight w:val="174"/>
        </w:trPr>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programs are tested at least annually and most recently</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tested in September 2025 and November 2025,</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respectively. Our document and plan reviews, tabletop</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exercises, and failover system tests were completed</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successfully.</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ind w:left="520"/>
              <w:spacing w:after="0"/>
              <w:rPr>
                <w:sz w:val="20"/>
                <w:szCs w:val="20"/>
                <w:color w:val="auto"/>
              </w:rPr>
            </w:pPr>
            <w:r>
              <w:rPr>
                <w:rFonts w:ascii="Arial" w:cs="Arial" w:eastAsia="Arial" w:hAnsi="Arial"/>
                <w:sz w:val="15"/>
                <w:szCs w:val="15"/>
                <w:b w:val="1"/>
                <w:bCs w:val="1"/>
                <w:color w:val="auto"/>
              </w:rPr>
              <w:t>Cyber and AI Governance</w:t>
            </w:r>
          </w:p>
        </w:tc>
        <w:tc>
          <w:tcPr>
            <w:tcW w:w="0" w:type="dxa"/>
            <w:vAlign w:val="bottom"/>
          </w:tcPr>
          <w:p>
            <w:pPr>
              <w:spacing w:after="0"/>
              <w:rPr>
                <w:sz w:val="1"/>
                <w:szCs w:val="1"/>
                <w:color w:val="auto"/>
              </w:rPr>
            </w:pPr>
          </w:p>
        </w:tc>
      </w:tr>
      <w:tr>
        <w:trPr>
          <w:trHeight w:val="219"/>
        </w:trPr>
        <w:tc>
          <w:tcPr>
            <w:tcW w:w="100" w:type="dxa"/>
            <w:vAlign w:val="bottom"/>
            <w:vMerge w:val="restart"/>
          </w:tcPr>
          <w:p>
            <w:pPr>
              <w:spacing w:after="0"/>
              <w:rPr>
                <w:sz w:val="20"/>
                <w:szCs w:val="20"/>
                <w:color w:val="auto"/>
              </w:rPr>
            </w:pPr>
            <w:r>
              <w:rPr>
                <w:rFonts w:ascii="Arial" w:cs="Arial" w:eastAsia="Arial" w:hAnsi="Arial"/>
                <w:sz w:val="11"/>
                <w:szCs w:val="11"/>
                <w:color w:val="auto"/>
                <w:w w:val="72"/>
              </w:rPr>
              <w:t> </w:t>
            </w:r>
          </w:p>
        </w:tc>
        <w:tc>
          <w:tcPr>
            <w:tcW w:w="6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4240" w:type="dxa"/>
            <w:vAlign w:val="bottom"/>
          </w:tcPr>
          <w:p>
            <w:pPr>
              <w:ind w:left="520"/>
              <w:spacing w:after="0"/>
              <w:rPr>
                <w:sz w:val="20"/>
                <w:szCs w:val="20"/>
                <w:color w:val="auto"/>
              </w:rPr>
            </w:pPr>
            <w:r>
              <w:rPr>
                <w:rFonts w:ascii="Arial" w:cs="Arial" w:eastAsia="Arial" w:hAnsi="Arial"/>
                <w:sz w:val="15"/>
                <w:szCs w:val="15"/>
                <w:color w:val="auto"/>
              </w:rPr>
              <w:t>Kelly uses external frameworks, including the NIST AI</w:t>
            </w:r>
          </w:p>
        </w:tc>
        <w:tc>
          <w:tcPr>
            <w:tcW w:w="0" w:type="dxa"/>
            <w:vAlign w:val="bottom"/>
          </w:tcPr>
          <w:p>
            <w:pPr>
              <w:spacing w:after="0"/>
              <w:rPr>
                <w:sz w:val="1"/>
                <w:szCs w:val="1"/>
                <w:color w:val="auto"/>
              </w:rPr>
            </w:pPr>
          </w:p>
        </w:tc>
      </w:tr>
      <w:tr>
        <w:trPr>
          <w:trHeight w:val="73"/>
        </w:trPr>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240" w:type="dxa"/>
            <w:vAlign w:val="bottom"/>
            <w:vMerge w:val="restart"/>
          </w:tcPr>
          <w:p>
            <w:pPr>
              <w:ind w:left="520"/>
              <w:spacing w:after="0"/>
              <w:rPr>
                <w:sz w:val="20"/>
                <w:szCs w:val="20"/>
                <w:color w:val="auto"/>
              </w:rPr>
            </w:pPr>
            <w:r>
              <w:rPr>
                <w:rFonts w:ascii="Arial" w:cs="Arial" w:eastAsia="Arial" w:hAnsi="Arial"/>
                <w:sz w:val="15"/>
                <w:szCs w:val="15"/>
                <w:color w:val="auto"/>
                <w:w w:val="98"/>
              </w:rPr>
              <w:t>Risk Management Framework, to assess the Company’s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cybersecurity and AI maturity. We also developed</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internal governance structures to mitigate cybersecurity</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ind w:left="520"/>
              <w:spacing w:after="0"/>
              <w:rPr>
                <w:sz w:val="20"/>
                <w:szCs w:val="20"/>
                <w:color w:val="auto"/>
              </w:rPr>
            </w:pPr>
            <w:r>
              <w:rPr>
                <w:rFonts w:ascii="Arial" w:cs="Arial" w:eastAsia="Arial" w:hAnsi="Arial"/>
                <w:sz w:val="15"/>
                <w:szCs w:val="15"/>
                <w:color w:val="auto"/>
              </w:rPr>
              <w:t>and AI risks.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Third Party Risk Management</w:t>
      </w:r>
    </w:p>
    <w:p>
      <w:pPr>
        <w:spacing w:after="0" w:line="76"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We monitor critical engagements with vendors and partners with access to Company systems or sensitive data for cyber risk to reduce third-party exposure.</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Training and Awareness</w:t>
      </w:r>
    </w:p>
    <w:p>
      <w:pPr>
        <w:spacing w:after="0" w:line="76" w:lineRule="exact"/>
        <w:rPr>
          <w:sz w:val="20"/>
          <w:szCs w:val="20"/>
          <w:color w:val="auto"/>
        </w:rPr>
      </w:pPr>
    </w:p>
    <w:p>
      <w:pPr>
        <w:ind w:right="300"/>
        <w:spacing w:after="0" w:line="250" w:lineRule="auto"/>
        <w:rPr>
          <w:sz w:val="20"/>
          <w:szCs w:val="20"/>
          <w:color w:val="auto"/>
        </w:rPr>
      </w:pPr>
      <w:r>
        <w:rPr>
          <w:rFonts w:ascii="Arial" w:cs="Arial" w:eastAsia="Arial" w:hAnsi="Arial"/>
          <w:sz w:val="15"/>
          <w:szCs w:val="15"/>
          <w:color w:val="auto"/>
        </w:rPr>
        <w:t>We train employees on industry-specific cybersecurity threats and tests to identify common attack vectors, including business email compromise, domain spoofing, social engineering, and other phishing techniques.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External Assessments</w:t>
      </w:r>
    </w:p>
    <w:p>
      <w:pPr>
        <w:spacing w:after="0" w:line="76" w:lineRule="exact"/>
        <w:rPr>
          <w:sz w:val="20"/>
          <w:szCs w:val="20"/>
          <w:color w:val="auto"/>
        </w:rPr>
      </w:pPr>
    </w:p>
    <w:p>
      <w:pPr>
        <w:ind w:right="360"/>
        <w:spacing w:after="0" w:line="248" w:lineRule="auto"/>
        <w:rPr>
          <w:sz w:val="20"/>
          <w:szCs w:val="20"/>
          <w:color w:val="auto"/>
        </w:rPr>
      </w:pPr>
      <w:r>
        <w:rPr>
          <w:rFonts w:ascii="Arial" w:cs="Arial" w:eastAsia="Arial" w:hAnsi="Arial"/>
          <w:sz w:val="15"/>
          <w:szCs w:val="15"/>
          <w:color w:val="auto"/>
        </w:rPr>
        <w:t>Kelly adopted the National Institute of Standards and Technology Cybersecurity Framework (“NIST CSF”) and measures our cyber maturity through an annual assessment by a third-party aligned with NIST SP 800-53 Security and Privacy Controls for Information Systems and Organizations.</w:t>
      </w:r>
    </w:p>
    <w:p>
      <w:pPr>
        <w:spacing w:after="0" w:line="200" w:lineRule="exact"/>
        <w:rPr>
          <w:sz w:val="20"/>
          <w:szCs w:val="20"/>
          <w:color w:val="auto"/>
        </w:rPr>
      </w:pPr>
    </w:p>
    <w:p>
      <w:pPr>
        <w:sectPr>
          <w:pgSz w:w="11900" w:h="16838" w:orient="portrait"/>
          <w:cols w:equalWidth="0" w:num="2">
            <w:col w:w="6120" w:space="720"/>
            <w:col w:w="3840"/>
          </w:cols>
          <w:pgMar w:left="320" w:top="454" w:right="899" w:bottom="1440" w:gutter="0" w:footer="0" w:header="0"/>
          <w:type w:val="continuous"/>
        </w:sectPr>
      </w:pP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Risk Assessment of Employee Compensation Programs</w:t>
      </w:r>
    </w:p>
    <w:p>
      <w:pPr>
        <w:spacing w:after="0" w:line="55" w:lineRule="exact"/>
        <w:rPr>
          <w:sz w:val="20"/>
          <w:szCs w:val="20"/>
          <w:color w:val="auto"/>
        </w:rPr>
      </w:pPr>
    </w:p>
    <w:p>
      <w:pPr>
        <w:ind w:left="560" w:right="200"/>
        <w:spacing w:after="0" w:line="252" w:lineRule="auto"/>
        <w:rPr>
          <w:sz w:val="20"/>
          <w:szCs w:val="20"/>
          <w:color w:val="auto"/>
        </w:rPr>
      </w:pPr>
      <w:r>
        <w:rPr>
          <w:rFonts w:ascii="Arial" w:cs="Arial" w:eastAsia="Arial" w:hAnsi="Arial"/>
          <w:sz w:val="15"/>
          <w:szCs w:val="15"/>
          <w:color w:val="auto"/>
        </w:rPr>
        <w:t>Annually, at its February meeting, the Compensation and Talent Management Committee reviews management’s Compensation Program Risk Assessment Report, prepared by the Company’s compensation group and reviewed by the Company’s General Counsel. The review and update of the Executive Compensation Program Risk Assessment Framework occur, as needed, including review by the independent compensation consultant, to ensure a robust and comprehensive assessment process.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00AE4F"/>
        </w:rPr>
        <w:t>The Company’s Executive Compensation Program Risk Assessment Framework takes into consideration the following guiding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36195</wp:posOffset>
            </wp:positionV>
            <wp:extent cx="64268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69" w:lineRule="exact"/>
        <w:rPr>
          <w:sz w:val="20"/>
          <w:szCs w:val="20"/>
          <w:color w:val="auto"/>
        </w:rPr>
      </w:pPr>
    </w:p>
    <w:p>
      <w:pPr>
        <w:ind w:left="1060" w:hanging="261"/>
        <w:spacing w:after="0"/>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Short-and long-term incentive performance measures and equity award types do not encourage excessive risk-taking</w:t>
      </w:r>
    </w:p>
    <w:p>
      <w:pPr>
        <w:spacing w:after="0" w:line="62" w:lineRule="exact"/>
        <w:rPr>
          <w:rFonts w:ascii="Times New Roman" w:cs="Times New Roman" w:eastAsia="Times New Roman" w:hAnsi="Times New Roman"/>
          <w:sz w:val="12"/>
          <w:szCs w:val="12"/>
          <w:color w:val="00AE4F"/>
        </w:rPr>
      </w:pPr>
    </w:p>
    <w:p>
      <w:pPr>
        <w:ind w:left="1060" w:right="10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A balanced compensation structure that includes an appropriate mix of fixed and variable cash and equity, with a balance of short-and long-term incentive opportunities</w:t>
      </w:r>
    </w:p>
    <w:p>
      <w:pPr>
        <w:spacing w:after="0" w:line="27" w:lineRule="exact"/>
        <w:rPr>
          <w:rFonts w:ascii="Times New Roman" w:cs="Times New Roman" w:eastAsia="Times New Roman" w:hAnsi="Times New Roman"/>
          <w:sz w:val="12"/>
          <w:szCs w:val="12"/>
          <w:color w:val="00AE4F"/>
        </w:rPr>
      </w:pPr>
    </w:p>
    <w:p>
      <w:pPr>
        <w:ind w:left="1060" w:right="18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Performance criteria and corresponding objectives include a balance of performance and the quality of such performance; include the appropriate use of key metrics; and use annual and long-term measures that complement each other</w:t>
      </w:r>
    </w:p>
    <w:p>
      <w:pPr>
        <w:spacing w:after="0" w:line="27" w:lineRule="exact"/>
        <w:rPr>
          <w:rFonts w:ascii="Times New Roman" w:cs="Times New Roman" w:eastAsia="Times New Roman" w:hAnsi="Times New Roman"/>
          <w:sz w:val="12"/>
          <w:szCs w:val="12"/>
          <w:color w:val="00AE4F"/>
        </w:rPr>
      </w:pPr>
    </w:p>
    <w:p>
      <w:pPr>
        <w:ind w:left="1060" w:hanging="261"/>
        <w:spacing w:after="0"/>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Well-designed plans that do not include steep payout curves, uncapped incentive payouts, or misaligned payout timing</w:t>
      </w:r>
    </w:p>
    <w:p>
      <w:pPr>
        <w:spacing w:after="0" w:line="62" w:lineRule="exact"/>
        <w:rPr>
          <w:rFonts w:ascii="Times New Roman" w:cs="Times New Roman" w:eastAsia="Times New Roman" w:hAnsi="Times New Roman"/>
          <w:sz w:val="12"/>
          <w:szCs w:val="12"/>
          <w:color w:val="00AE4F"/>
        </w:rPr>
      </w:pPr>
    </w:p>
    <w:p>
      <w:pPr>
        <w:ind w:left="1060" w:hanging="261"/>
        <w:spacing w:after="0"/>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Incentive plans tested for multiple scenarios under realistic assumptions to ensure that potential payouts are reasonable relative to results</w:t>
      </w:r>
    </w:p>
    <w:p>
      <w:pPr>
        <w:spacing w:after="0" w:line="62" w:lineRule="exact"/>
        <w:rPr>
          <w:rFonts w:ascii="Times New Roman" w:cs="Times New Roman" w:eastAsia="Times New Roman" w:hAnsi="Times New Roman"/>
          <w:sz w:val="12"/>
          <w:szCs w:val="12"/>
          <w:color w:val="00AE4F"/>
        </w:rPr>
      </w:pPr>
    </w:p>
    <w:p>
      <w:pPr>
        <w:ind w:left="1060" w:hanging="261"/>
        <w:spacing w:after="0"/>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A thorough and qualitative assessment of the achievement, quality, and sustainability of results</w:t>
      </w:r>
    </w:p>
    <w:p>
      <w:pPr>
        <w:spacing w:after="0" w:line="62" w:lineRule="exact"/>
        <w:rPr>
          <w:rFonts w:ascii="Times New Roman" w:cs="Times New Roman" w:eastAsia="Times New Roman" w:hAnsi="Times New Roman"/>
          <w:sz w:val="12"/>
          <w:szCs w:val="12"/>
          <w:color w:val="00AE4F"/>
        </w:rPr>
      </w:pPr>
    </w:p>
    <w:p>
      <w:pPr>
        <w:ind w:left="1060" w:right="36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Benchmarked incentive plan payouts relative to performance, to ensure competitive practices in comparison with a representative peer group and the general industry</w:t>
      </w:r>
    </w:p>
    <w:p>
      <w:pPr>
        <w:spacing w:after="0" w:line="27" w:lineRule="exact"/>
        <w:rPr>
          <w:rFonts w:ascii="Times New Roman" w:cs="Times New Roman" w:eastAsia="Times New Roman" w:hAnsi="Times New Roman"/>
          <w:sz w:val="12"/>
          <w:szCs w:val="12"/>
          <w:color w:val="00AE4F"/>
        </w:rPr>
      </w:pPr>
    </w:p>
    <w:p>
      <w:pPr>
        <w:ind w:left="1060" w:right="12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Implementation of risk-mitigating features such as a Clawback Policy and a policy that establishes expected share ownership for executives and directors of shares received from incentive award payouts</w:t>
      </w:r>
    </w:p>
    <w:p>
      <w:pPr>
        <w:spacing w:after="0" w:line="27" w:lineRule="exact"/>
        <w:rPr>
          <w:rFonts w:ascii="Times New Roman" w:cs="Times New Roman" w:eastAsia="Times New Roman" w:hAnsi="Times New Roman"/>
          <w:sz w:val="12"/>
          <w:szCs w:val="12"/>
          <w:color w:val="00AE4F"/>
        </w:rPr>
      </w:pPr>
    </w:p>
    <w:p>
      <w:pPr>
        <w:ind w:left="1060" w:right="28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Incentive plan governance includes involvement at a variety of levels, from the Compensation and Talent Management Committee to various corporate functions, including Corporate Governance, Compensation, Finance, HR, Legal, and the Committee’s outside compensation consultant</w:t>
      </w:r>
    </w:p>
    <w:p>
      <w:pPr>
        <w:spacing w:after="0" w:line="27" w:lineRule="exact"/>
        <w:rPr>
          <w:rFonts w:ascii="Times New Roman" w:cs="Times New Roman" w:eastAsia="Times New Roman" w:hAnsi="Times New Roman"/>
          <w:sz w:val="12"/>
          <w:szCs w:val="12"/>
          <w:color w:val="00AE4F"/>
        </w:rPr>
      </w:pPr>
    </w:p>
    <w:p>
      <w:pPr>
        <w:ind w:left="1060" w:right="80" w:hanging="261"/>
        <w:spacing w:after="0" w:line="257" w:lineRule="auto"/>
        <w:tabs>
          <w:tab w:leader="none" w:pos="1060" w:val="left"/>
        </w:tabs>
        <w:numPr>
          <w:ilvl w:val="0"/>
          <w:numId w:val="68"/>
        </w:numPr>
        <w:rPr>
          <w:rFonts w:ascii="Times New Roman" w:cs="Times New Roman" w:eastAsia="Times New Roman" w:hAnsi="Times New Roman"/>
          <w:sz w:val="12"/>
          <w:szCs w:val="12"/>
          <w:color w:val="00AE4F"/>
        </w:rPr>
      </w:pPr>
      <w:r>
        <w:rPr>
          <w:rFonts w:ascii="Arial" w:cs="Arial" w:eastAsia="Arial" w:hAnsi="Arial"/>
          <w:sz w:val="14"/>
          <w:szCs w:val="14"/>
          <w:color w:val="auto"/>
        </w:rPr>
        <w:t>Potential risk discussed with the Compensation and Talent Management Committee, recorded in Committee minutes, and discussed in the Compensation Discussion and Analysis section of the Company’s Annual Proxy Statement</w:t>
      </w:r>
    </w:p>
    <w:p>
      <w:pPr>
        <w:spacing w:after="0" w:line="154" w:lineRule="exact"/>
        <w:rPr>
          <w:rFonts w:ascii="Times New Roman" w:cs="Times New Roman" w:eastAsia="Times New Roman" w:hAnsi="Times New Roman"/>
          <w:sz w:val="12"/>
          <w:szCs w:val="12"/>
          <w:color w:val="00AE4F"/>
        </w:rPr>
      </w:pPr>
    </w:p>
    <w:p>
      <w:pPr>
        <w:ind w:left="9280" w:hanging="239"/>
        <w:spacing w:after="0"/>
        <w:tabs>
          <w:tab w:leader="none" w:pos="9280" w:val="left"/>
        </w:tabs>
        <w:numPr>
          <w:ilvl w:val="1"/>
          <w:numId w:val="68"/>
        </w:numPr>
        <w:rPr>
          <w:rFonts w:ascii="Arial" w:cs="Arial" w:eastAsia="Arial" w:hAnsi="Arial"/>
          <w:sz w:val="20"/>
          <w:szCs w:val="20"/>
          <w:color w:val="auto"/>
        </w:rPr>
      </w:pPr>
      <w:r>
        <w:rPr>
          <w:rFonts w:ascii="Arial" w:cs="Arial" w:eastAsia="Arial" w:hAnsi="Arial"/>
          <w:sz w:val="1"/>
          <w:szCs w:val="1"/>
          <w:color w:val="auto"/>
        </w:rPr>
        <w:drawing>
          <wp:inline distT="0" distB="0" distL="0" distR="0">
            <wp:extent cx="377825" cy="1809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rFonts w:ascii="Arial" w:cs="Arial" w:eastAsia="Arial" w:hAnsi="Arial"/>
          <w:sz w:val="29"/>
          <w:szCs w:val="29"/>
          <w:color w:val="auto"/>
          <w:vertAlign w:val="super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-288925</wp:posOffset>
            </wp:positionV>
            <wp:extent cx="642683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-194945</wp:posOffset>
            </wp:positionV>
            <wp:extent cx="7620" cy="212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35" w:lineRule="exact"/>
        <w:rPr>
          <w:sz w:val="20"/>
          <w:szCs w:val="20"/>
          <w:color w:val="auto"/>
        </w:rPr>
      </w:pPr>
    </w:p>
    <w:p>
      <w:pPr>
        <w:ind w:left="560" w:right="20"/>
        <w:spacing w:after="0" w:line="252" w:lineRule="auto"/>
        <w:rPr>
          <w:sz w:val="20"/>
          <w:szCs w:val="20"/>
          <w:color w:val="auto"/>
        </w:rPr>
      </w:pPr>
      <w:r>
        <w:rPr>
          <w:rFonts w:ascii="Arial" w:cs="Arial" w:eastAsia="Arial" w:hAnsi="Arial"/>
          <w:sz w:val="15"/>
          <w:szCs w:val="15"/>
          <w:color w:val="auto"/>
        </w:rPr>
        <w:t>To assess the risk of employee compensation programs below the executive level, the Company’s Compensation group implemented an internal Governance Committee to review and approve plan design and address any significant issues that arise. The Governance Committee utilizes its Global Incentive Plan Design and Risk Mitigation Framework to consider alignment with the Company’s strategy and risks associated with the following elements of the design and implementation of each incentive plan:</w:t>
      </w:r>
    </w:p>
    <w:p>
      <w:pPr>
        <w:spacing w:after="0" w:line="45" w:lineRule="exact"/>
        <w:rPr>
          <w:sz w:val="20"/>
          <w:szCs w:val="20"/>
          <w:color w:val="auto"/>
        </w:rPr>
      </w:pPr>
    </w:p>
    <w:p>
      <w:pPr>
        <w:ind w:left="760" w:hanging="196"/>
        <w:spacing w:after="0" w:line="203" w:lineRule="auto"/>
        <w:tabs>
          <w:tab w:leader="none" w:pos="760" w:val="left"/>
        </w:tabs>
        <w:numPr>
          <w:ilvl w:val="0"/>
          <w:numId w:val="6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linkage of incentive measures with business objectives, analysis of total compensation market data, determination of design elements/payout threshold levels, potential range of payouts, and timely and accurate tracking of performance data;</w:t>
      </w:r>
    </w:p>
    <w:p>
      <w:pPr>
        <w:ind w:left="760" w:hanging="196"/>
        <w:spacing w:after="0" w:line="225" w:lineRule="auto"/>
        <w:tabs>
          <w:tab w:leader="none" w:pos="760" w:val="left"/>
        </w:tabs>
        <w:numPr>
          <w:ilvl w:val="0"/>
          <w:numId w:val="6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modeling, approval, and communication of incentive plans;</w:t>
      </w:r>
    </w:p>
    <w:p>
      <w:pPr>
        <w:spacing w:after="0" w:line="65"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69"/>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calculation, audit, approval, and communication of incentive payments; and</w:t>
      </w:r>
    </w:p>
    <w:p>
      <w:pPr>
        <w:spacing w:after="0" w:line="65" w:lineRule="exact"/>
        <w:rPr>
          <w:rFonts w:ascii="Times New Roman" w:cs="Times New Roman" w:eastAsia="Times New Roman" w:hAnsi="Times New Roman"/>
          <w:sz w:val="21"/>
          <w:szCs w:val="21"/>
          <w:color w:val="00AE4F"/>
          <w:vertAlign w:val="superscript"/>
        </w:rPr>
      </w:pPr>
    </w:p>
    <w:p>
      <w:pPr>
        <w:ind w:left="760" w:hanging="196"/>
        <w:spacing w:after="0" w:line="181" w:lineRule="auto"/>
        <w:tabs>
          <w:tab w:leader="none" w:pos="760" w:val="left"/>
        </w:tabs>
        <w:numPr>
          <w:ilvl w:val="0"/>
          <w:numId w:val="69"/>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annual plan reviews to ensure planned design updates align with business goals and budgets, and do not present a material risk to the Company.</w:t>
      </w:r>
    </w:p>
    <w:p>
      <w:pPr>
        <w:spacing w:after="0" w:line="54" w:lineRule="exact"/>
        <w:rPr>
          <w:sz w:val="20"/>
          <w:szCs w:val="20"/>
          <w:color w:val="auto"/>
        </w:rPr>
      </w:pPr>
    </w:p>
    <w:p>
      <w:pPr>
        <w:ind w:left="560" w:right="60"/>
        <w:spacing w:after="0" w:line="255" w:lineRule="auto"/>
        <w:rPr>
          <w:sz w:val="20"/>
          <w:szCs w:val="20"/>
          <w:color w:val="auto"/>
        </w:rPr>
      </w:pPr>
      <w:r>
        <w:rPr>
          <w:rFonts w:ascii="Arial" w:cs="Arial" w:eastAsia="Arial" w:hAnsi="Arial"/>
          <w:sz w:val="15"/>
          <w:szCs w:val="15"/>
          <w:color w:val="auto"/>
        </w:rPr>
        <w:t>After due consideration of management’s 2025 Compensation Program Risk Assessment Report, the Compensation and Talent Management Committee concluded that the Company’s compensation programs do not create a reasonable likelihood of a material adverse effect on the Company.</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Sustainability and Corporate Responsibility</w:t>
      </w:r>
    </w:p>
    <w:p>
      <w:pPr>
        <w:spacing w:after="0" w:line="69" w:lineRule="exact"/>
        <w:rPr>
          <w:sz w:val="20"/>
          <w:szCs w:val="20"/>
          <w:color w:val="auto"/>
        </w:rPr>
      </w:pPr>
    </w:p>
    <w:p>
      <w:pPr>
        <w:ind w:left="560" w:right="560"/>
        <w:spacing w:after="0" w:line="252" w:lineRule="auto"/>
        <w:rPr>
          <w:sz w:val="20"/>
          <w:szCs w:val="20"/>
          <w:color w:val="auto"/>
        </w:rPr>
      </w:pPr>
      <w:r>
        <w:rPr>
          <w:rFonts w:ascii="Arial" w:cs="Arial" w:eastAsia="Arial" w:hAnsi="Arial"/>
          <w:sz w:val="15"/>
          <w:szCs w:val="15"/>
          <w:color w:val="auto"/>
        </w:rPr>
        <w:t>Kelly recognizes the critical importance of sustainability in addressing environmental and social challenges. Our approach is grounded in effective governance, enterprise risk management, and long-term value creation through an integrated Environmental, Social, and Governance (“ESG”) framework. Within this framework, Kelly’s sustainability strategy is organized around seven core pillars that guide priority-setting, execution, and accountability across the organization.</w:t>
      </w:r>
    </w:p>
    <w:p>
      <w:pPr>
        <w:spacing w:after="0" w:line="45" w:lineRule="exact"/>
        <w:rPr>
          <w:sz w:val="20"/>
          <w:szCs w:val="20"/>
          <w:color w:val="auto"/>
        </w:rPr>
      </w:pPr>
    </w:p>
    <w:p>
      <w:pPr>
        <w:jc w:val="both"/>
        <w:ind w:left="560" w:right="280"/>
        <w:spacing w:after="0" w:line="285" w:lineRule="auto"/>
        <w:rPr>
          <w:sz w:val="20"/>
          <w:szCs w:val="20"/>
          <w:color w:val="auto"/>
        </w:rPr>
      </w:pPr>
      <w:r>
        <w:rPr>
          <w:rFonts w:ascii="Arial" w:cs="Arial" w:eastAsia="Arial" w:hAnsi="Arial"/>
          <w:sz w:val="14"/>
          <w:szCs w:val="14"/>
          <w:color w:val="auto"/>
        </w:rPr>
        <w:t>By embedding sustainability considerations into enterprise risk management and decision-making, Kelly actively mitigates operational, workforce, and client-facing risks, enhancing service continuity and employee well-being across our global operations. These considerations inform decision-making across workforce management, business continuity, operational resilience, and compliance with evolving regulatory and market expectations.</w:t>
      </w:r>
    </w:p>
    <w:p>
      <w:pPr>
        <w:spacing w:after="0" w:line="9" w:lineRule="exact"/>
        <w:rPr>
          <w:sz w:val="20"/>
          <w:szCs w:val="20"/>
          <w:color w:val="auto"/>
        </w:rPr>
      </w:pPr>
    </w:p>
    <w:p>
      <w:pPr>
        <w:ind w:left="560" w:right="240"/>
        <w:spacing w:after="0" w:line="275" w:lineRule="auto"/>
        <w:rPr>
          <w:sz w:val="20"/>
          <w:szCs w:val="20"/>
          <w:color w:val="auto"/>
        </w:rPr>
      </w:pPr>
      <w:r>
        <w:rPr>
          <w:rFonts w:ascii="Arial" w:cs="Arial" w:eastAsia="Arial" w:hAnsi="Arial"/>
          <w:sz w:val="15"/>
          <w:szCs w:val="15"/>
          <w:color w:val="auto"/>
        </w:rPr>
        <w:t>Kelly’s sustainability practices are designed to support effective risk management, operational resilience, and long-term shareholder value, with impact across our workforce, clients,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119380</wp:posOffset>
            </wp:positionV>
            <wp:extent cx="2606675" cy="25990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6675" cy="259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32 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9340"/>
        <w:spacing w:after="0"/>
        <w:rPr>
          <w:sz w:val="20"/>
          <w:szCs w:val="20"/>
          <w:color w:val="auto"/>
        </w:rPr>
      </w:pPr>
      <w:r>
        <w:rPr>
          <w:rFonts w:ascii="Arial" w:cs="Arial" w:eastAsia="Arial" w:hAnsi="Arial"/>
          <w:sz w:val="12"/>
          <w:szCs w:val="12"/>
          <w:b w:val="1"/>
          <w:bCs w:val="1"/>
          <w:color w:val="auto"/>
        </w:rPr>
        <w:t>Corporate Governance</w:t>
      </w:r>
    </w:p>
    <w:p>
      <w:pPr>
        <w:spacing w:after="0" w:line="135" w:lineRule="exact"/>
        <w:rPr>
          <w:sz w:val="20"/>
          <w:szCs w:val="20"/>
          <w:color w:val="auto"/>
        </w:rPr>
      </w:pPr>
    </w:p>
    <w:p>
      <w:pPr>
        <w:ind w:left="560"/>
        <w:spacing w:after="0" w:line="258" w:lineRule="auto"/>
        <w:rPr>
          <w:sz w:val="20"/>
          <w:szCs w:val="20"/>
          <w:color w:val="auto"/>
        </w:rPr>
      </w:pPr>
      <w:r>
        <w:rPr>
          <w:rFonts w:ascii="Arial" w:cs="Arial" w:eastAsia="Arial" w:hAnsi="Arial"/>
          <w:sz w:val="15"/>
          <w:szCs w:val="15"/>
          <w:b w:val="1"/>
          <w:bCs w:val="1"/>
          <w:color w:val="auto"/>
        </w:rPr>
        <w:t>Sustainability Oversight and Governance</w:t>
      </w:r>
      <w:r>
        <w:rPr>
          <w:rFonts w:ascii="Arial" w:cs="Arial" w:eastAsia="Arial" w:hAnsi="Arial"/>
          <w:sz w:val="15"/>
          <w:szCs w:val="15"/>
          <w:color w:val="auto"/>
        </w:rPr>
        <w:t>: The Board of Directors oversees sustainability-related risks and opportunities as part of its broader</w:t>
      </w:r>
      <w:r>
        <w:rPr>
          <w:rFonts w:ascii="Arial" w:cs="Arial" w:eastAsia="Arial" w:hAnsi="Arial"/>
          <w:sz w:val="15"/>
          <w:szCs w:val="15"/>
          <w:b w:val="1"/>
          <w:bCs w:val="1"/>
          <w:color w:val="auto"/>
        </w:rPr>
        <w:t xml:space="preserve"> </w:t>
      </w:r>
      <w:r>
        <w:rPr>
          <w:rFonts w:ascii="Arial" w:cs="Arial" w:eastAsia="Arial" w:hAnsi="Arial"/>
          <w:sz w:val="15"/>
          <w:szCs w:val="15"/>
          <w:color w:val="auto"/>
        </w:rPr>
        <w:t>enterprise risk oversight responsibilities. Oversight is exercised through the full Board and its committees, with management supporting execution through established governance, risk management, and reporting processes.</w:t>
      </w:r>
    </w:p>
    <w:p>
      <w:pPr>
        <w:spacing w:after="0" w:line="27" w:lineRule="exact"/>
        <w:rPr>
          <w:sz w:val="20"/>
          <w:szCs w:val="20"/>
          <w:color w:val="auto"/>
        </w:rPr>
      </w:pPr>
    </w:p>
    <w:p>
      <w:pPr>
        <w:ind w:left="560" w:right="220"/>
        <w:spacing w:after="0" w:line="252" w:lineRule="auto"/>
        <w:rPr>
          <w:sz w:val="20"/>
          <w:szCs w:val="20"/>
          <w:color w:val="auto"/>
        </w:rPr>
      </w:pPr>
      <w:r>
        <w:rPr>
          <w:rFonts w:ascii="Arial" w:cs="Arial" w:eastAsia="Arial" w:hAnsi="Arial"/>
          <w:sz w:val="15"/>
          <w:szCs w:val="15"/>
          <w:color w:val="auto"/>
        </w:rPr>
        <w:t>Senior management reports to the Board on key sustainability topics quarterly as part of the Company’s Enterprise Risk Management program. In addition, the General Counsel reports the results of the ESG Advisory Committee reviews to the Corporate Governance and Nominating Committee annually. These reporting processes ensure that sustainability considerations are integrated into enterprise risk management and board-level decision-making.</w:t>
      </w:r>
    </w:p>
    <w:p>
      <w:pPr>
        <w:spacing w:after="0" w:line="34" w:lineRule="exact"/>
        <w:rPr>
          <w:sz w:val="20"/>
          <w:szCs w:val="20"/>
          <w:color w:val="auto"/>
        </w:rPr>
      </w:pPr>
    </w:p>
    <w:p>
      <w:pPr>
        <w:ind w:left="560" w:right="560"/>
        <w:spacing w:after="0" w:line="272" w:lineRule="auto"/>
        <w:rPr>
          <w:sz w:val="20"/>
          <w:szCs w:val="20"/>
          <w:color w:val="auto"/>
        </w:rPr>
      </w:pPr>
      <w:r>
        <w:rPr>
          <w:rFonts w:ascii="Arial" w:cs="Arial" w:eastAsia="Arial" w:hAnsi="Arial"/>
          <w:sz w:val="15"/>
          <w:szCs w:val="15"/>
          <w:i w:val="1"/>
          <w:iCs w:val="1"/>
          <w:color w:val="auto"/>
        </w:rPr>
        <w:t>See the graphic below for the Company’s sustainability oversight structure and the flow of responsibilities between the Board, its committees,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120650</wp:posOffset>
            </wp:positionV>
            <wp:extent cx="4765040" cy="2536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504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Environmental Considerations and Climate-Related Risk</w:t>
      </w:r>
    </w:p>
    <w:p>
      <w:pPr>
        <w:spacing w:after="0" w:line="81" w:lineRule="exact"/>
        <w:rPr>
          <w:sz w:val="20"/>
          <w:szCs w:val="20"/>
          <w:color w:val="auto"/>
        </w:rPr>
      </w:pPr>
    </w:p>
    <w:p>
      <w:pPr>
        <w:ind w:left="560" w:right="60"/>
        <w:spacing w:after="0" w:line="252" w:lineRule="auto"/>
        <w:rPr>
          <w:sz w:val="20"/>
          <w:szCs w:val="20"/>
          <w:color w:val="auto"/>
        </w:rPr>
      </w:pPr>
      <w:r>
        <w:rPr>
          <w:rFonts w:ascii="Arial" w:cs="Arial" w:eastAsia="Arial" w:hAnsi="Arial"/>
          <w:sz w:val="15"/>
          <w:szCs w:val="15"/>
          <w:color w:val="auto"/>
        </w:rPr>
        <w:t>As a services-based organization, Kelly’s primary environmental considerations relate to business continuity, workforce safety, and operational resilience. Environmental and climate-related factors are evaluated within the Company’s enterprise risk management framework. This includes physical risks such as extreme weather events that could affect employees, talent, clients, or service delivery. It also encompasses transition risks associated with evolving regulatory requirements, client sustainability priorities, and market expectations.</w:t>
      </w:r>
    </w:p>
    <w:p>
      <w:pPr>
        <w:spacing w:after="0" w:line="32"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In 2025, Kelly completed a climate-related financial risk assessment aligned with sustainability disclosure standards issued by the International Sustainability Standards Board (“ISSB”), with oversight integrated into existing governance and risk management processes. In addition, the Company submitted company-wide greenhouse gas emission reduction targets to the Science Based Targets initiative (“SBTi”), supporting a structured approach to measuring and managing environmental impacts over time. Additional information regarding environmental initiatives, metrics, and performance is available in the Company’s annual Corporate Sustainability Report.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Social</w:t>
      </w:r>
    </w:p>
    <w:p>
      <w:pPr>
        <w:spacing w:after="0" w:line="69" w:lineRule="exact"/>
        <w:rPr>
          <w:sz w:val="20"/>
          <w:szCs w:val="20"/>
          <w:color w:val="auto"/>
        </w:rPr>
      </w:pPr>
    </w:p>
    <w:p>
      <w:pPr>
        <w:ind w:left="560" w:right="160"/>
        <w:spacing w:after="0" w:line="252" w:lineRule="auto"/>
        <w:rPr>
          <w:sz w:val="20"/>
          <w:szCs w:val="20"/>
          <w:color w:val="auto"/>
        </w:rPr>
      </w:pPr>
      <w:r>
        <w:rPr>
          <w:rFonts w:ascii="Arial" w:cs="Arial" w:eastAsia="Arial" w:hAnsi="Arial"/>
          <w:sz w:val="15"/>
          <w:szCs w:val="15"/>
          <w:color w:val="auto"/>
        </w:rPr>
        <w:t>Kelly’s purpose is to connect people to work in ways that enrich their lives. We are committed to building a more inclusive and equitable workforce by improving access, promoting opportunity, ensuring fair treatment, and supporting advancement for all. Through these efforts, we empower individuals to make valuable contributions where they live and work. Guided by this purpose, our actions generate shared value for employees, clients, and communities alike.</w:t>
      </w:r>
    </w:p>
    <w:p>
      <w:pPr>
        <w:spacing w:after="0" w:line="93"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35" w:lineRule="exact"/>
        <w:rPr>
          <w:sz w:val="20"/>
          <w:szCs w:val="20"/>
          <w:color w:val="auto"/>
        </w:rPr>
      </w:pPr>
    </w:p>
    <w:p>
      <w:pPr>
        <w:ind w:left="560" w:right="60"/>
        <w:spacing w:after="0" w:line="250" w:lineRule="auto"/>
        <w:rPr>
          <w:sz w:val="20"/>
          <w:szCs w:val="20"/>
          <w:color w:val="auto"/>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Kelly is a talent solutions company dedicated to connecting people to work in ways that enrich their lives, and our</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are critical to achieving this purpose. To compete and succeed in a highly competitive and rapidly evolving market, it is crucial that the Company attract and retain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w:t>
      </w:r>
    </w:p>
    <w:p>
      <w:pPr>
        <w:spacing w:after="0" w:line="32" w:lineRule="exact"/>
        <w:rPr>
          <w:sz w:val="20"/>
          <w:szCs w:val="20"/>
          <w:color w:val="auto"/>
        </w:rPr>
      </w:pPr>
    </w:p>
    <w:p>
      <w:pPr>
        <w:jc w:val="both"/>
        <w:ind w:left="560"/>
        <w:spacing w:after="0" w:line="258" w:lineRule="auto"/>
        <w:rPr>
          <w:sz w:val="20"/>
          <w:szCs w:val="20"/>
          <w:color w:val="auto"/>
        </w:rPr>
      </w:pPr>
      <w:r>
        <w:rPr>
          <w:rFonts w:ascii="Arial" w:cs="Arial" w:eastAsia="Arial" w:hAnsi="Arial"/>
          <w:sz w:val="15"/>
          <w:szCs w:val="15"/>
          <w:color w:val="auto"/>
        </w:rPr>
        <w:t>The Company is committed to the health, safety, and wellness of our employees and talent. The success of our business is fundamentally connected to the well-being of our people. Accordingly, we implement policies and practices that align with applicable laws and regulations and are in the best interest of our employees, talent, and the communities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418465</wp:posOffset>
            </wp:positionV>
            <wp:extent cx="642683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717550</wp:posOffset>
            </wp:positionV>
            <wp:extent cx="1228725" cy="18510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28725"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0" w:right="160"/>
        <w:spacing w:after="0" w:line="258" w:lineRule="auto"/>
        <w:rPr>
          <w:sz w:val="20"/>
          <w:szCs w:val="20"/>
          <w:color w:val="auto"/>
        </w:rPr>
      </w:pPr>
      <w:r>
        <w:rPr>
          <w:rFonts w:ascii="Arial" w:cs="Arial" w:eastAsia="Arial" w:hAnsi="Arial"/>
          <w:sz w:val="15"/>
          <w:szCs w:val="15"/>
          <w:color w:val="auto"/>
        </w:rPr>
        <w:t>As of December 28, 2025, we employed approximately 3,600 full-time staff members in the United States and an additional 1,300 in our international locations. Kelly’s retention rates for high-performing and high-potential employees align with our comparable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1198245</wp:posOffset>
            </wp:positionV>
            <wp:extent cx="642683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1442085</wp:posOffset>
            </wp:positionV>
            <wp:extent cx="1228725" cy="18510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28725"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0" w:right="480"/>
        <w:spacing w:after="0" w:line="247" w:lineRule="auto"/>
        <w:rPr>
          <w:sz w:val="20"/>
          <w:szCs w:val="20"/>
          <w:color w:val="auto"/>
        </w:rPr>
      </w:pPr>
      <w:r>
        <w:rPr>
          <w:rFonts w:ascii="Arial" w:cs="Arial" w:eastAsia="Arial" w:hAnsi="Arial"/>
          <w:sz w:val="15"/>
          <w:szCs w:val="15"/>
          <w:color w:val="auto"/>
        </w:rPr>
        <w:t>In addition to our internal employees, the company recruits talent on behalf of customers globally. In 2025, we placed approximately 375,000 individuals in positions with our customers. When Kelly remains the employer of record for our employees working at our customer locations,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34 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-167005</wp:posOffset>
            </wp:positionV>
            <wp:extent cx="7620" cy="212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560"/>
          </w:cols>
          <w:pgMar w:left="320" w:top="454"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93345</wp:posOffset>
            </wp:positionV>
            <wp:extent cx="1228725" cy="18510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28725" cy="18510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0"/>
        <w:spacing w:after="0" w:line="244" w:lineRule="auto"/>
        <w:rPr>
          <w:sz w:val="20"/>
          <w:szCs w:val="20"/>
          <w:color w:val="auto"/>
        </w:rPr>
      </w:pPr>
      <w:r>
        <w:rPr>
          <w:rFonts w:ascii="Arial" w:cs="Arial" w:eastAsia="Arial" w:hAnsi="Arial"/>
          <w:sz w:val="15"/>
          <w:szCs w:val="15"/>
          <w:color w:val="auto"/>
        </w:rPr>
        <w:t>Kelly is committed to providing competitive, fair and fiscally responsible total rewards programs to our employees. Our compensation programs are designed to attract, retain and reward talented individuals with the skills necessary to achieve our strategic goals and create long-term value for our shareholders. We provide employees with competitive compensation opportunities, with strong pay-for-performance linkages that include a mix of base salary, short-term incentives and, in the case of our more senior employees, long-term equity awards. Our programs provide fair and competitive opportunities that align employee and stockholder interests. In addition to cash and equity compensation, we offer employees competitive benefits such as life and health (medical, dental and vision) insurance, paid time off, wellness benefits and defined contribution retirement plans. We review our compensation and benefits programs annually and respond to changes in market practice. For example, recent enhancements to our U.S. benefits program include the addition of a virtual physical therapy program to our medical plans and automatic contribution-escalation in one of our 401(k) Plans. In addition, pay and benefits programs for our international employees align with competitive local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522605</wp:posOffset>
            </wp:positionV>
            <wp:extent cx="64268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766445</wp:posOffset>
            </wp:positionV>
            <wp:extent cx="1228725" cy="18510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28725"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0" w:right="120"/>
        <w:spacing w:after="0" w:line="246" w:lineRule="auto"/>
        <w:rPr>
          <w:sz w:val="20"/>
          <w:szCs w:val="20"/>
          <w:color w:val="auto"/>
        </w:rPr>
      </w:pPr>
      <w:r>
        <w:rPr>
          <w:rFonts w:ascii="Arial" w:cs="Arial" w:eastAsia="Arial" w:hAnsi="Arial"/>
          <w:sz w:val="15"/>
          <w:szCs w:val="15"/>
          <w:color w:val="auto"/>
        </w:rPr>
        <w:t>Since 1946, our founder fought to increase women’s access to work, and we’ve continued to be an outspoken advocate for the value temporary and independent workers bring to the workplace. We are committed to promoting exceptional talent from all walks of life. We believe that our talent pool creates a workplace that is conducive to producing more creative solutions, results in better, more innovative products and services, and presents Kelly as a workplace leader, aiding our ability to attract and retain high-performing talent. We focus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724535</wp:posOffset>
            </wp:positionV>
            <wp:extent cx="642683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968375</wp:posOffset>
            </wp:positionV>
            <wp:extent cx="1228725" cy="18510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28725"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0" w:right="120"/>
        <w:spacing w:after="0" w:line="245" w:lineRule="auto"/>
        <w:rPr>
          <w:sz w:val="20"/>
          <w:szCs w:val="20"/>
          <w:color w:val="auto"/>
        </w:rPr>
      </w:pPr>
      <w:r>
        <w:rPr>
          <w:rFonts w:ascii="Arial" w:cs="Arial" w:eastAsia="Arial" w:hAnsi="Arial"/>
          <w:sz w:val="15"/>
          <w:szCs w:val="15"/>
          <w:color w:val="auto"/>
        </w:rPr>
        <w:t>Sustainability is at the heart of our relationships with our global workforce, suppliers, customers, and other stakeholders. Our programs and initiatives are dedicated to enhancing the well-being of our employees, their families, and the communities they call home. Through strategic investments and a focus on shared values, we strive to drive lasting positive change while fostering sustainable development. We capture and track volunteering efforts through various platforms, empowering employees to engage in social impact initiatives and collaborate with colleagues. Our Kelly Hands &amp; Hearts corporate volunteering program, along with a dedicated paid Volunteer Day, provides additional opportunities for employees to support causes that matter most to them. In 2025, we launched our Global Month of Service, encouraging all employees worldwide to participate in meaningful volunteerism and acts of service. Now a cornerstone of our community engagement, this annual event underscores our dedication to collective impact.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35" w:lineRule="exact"/>
        <w:rPr>
          <w:sz w:val="20"/>
          <w:szCs w:val="20"/>
          <w:color w:val="auto"/>
        </w:rPr>
      </w:pPr>
    </w:p>
    <w:p>
      <w:pPr>
        <w:ind w:left="560"/>
        <w:spacing w:after="0" w:line="269" w:lineRule="auto"/>
        <w:rPr>
          <w:sz w:val="20"/>
          <w:szCs w:val="20"/>
          <w:color w:val="auto"/>
        </w:rPr>
      </w:pPr>
      <w:r>
        <w:rPr>
          <w:rFonts w:ascii="Arial" w:cs="Arial" w:eastAsia="Arial" w:hAnsi="Arial"/>
          <w:sz w:val="14"/>
          <w:szCs w:val="14"/>
          <w:b w:val="1"/>
          <w:bCs w:val="1"/>
          <w:color w:val="auto"/>
        </w:rPr>
        <w:t xml:space="preserve">Supply Chain and Operational Resilience: </w:t>
      </w:r>
      <w:r>
        <w:rPr>
          <w:rFonts w:ascii="Arial" w:cs="Arial" w:eastAsia="Arial" w:hAnsi="Arial"/>
          <w:sz w:val="14"/>
          <w:szCs w:val="14"/>
          <w:color w:val="auto"/>
        </w:rPr>
        <w:t>Third-party and supply chain risks are identified, assessed, and monitored within the enterprise risk</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framework, with findings reported to the Audit Committee as part of the ERM team’s quarterly reporting cycle. To support continuity of services, responsible business practices, and operational resilience, the Company proactively monitors critical risks related to its reliance on third parties, including concentration risk, vendor incident notification requirements and response protocols, and audit rights. Kelly also maintains a Supplier Code of Conduct that outlines expectations related to ethics, human rights, child labor, forced and compulsory labor, human trafficking, and compliance with applicable laws. The Company monitors and evaluates supplier adherence to these standards as part of its ongoing third-party risk management process.</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0AE4F"/>
        </w:rPr>
        <w:t>Governance</w:t>
      </w:r>
    </w:p>
    <w:p>
      <w:pPr>
        <w:spacing w:after="0" w:line="69" w:lineRule="exact"/>
        <w:rPr>
          <w:sz w:val="20"/>
          <w:szCs w:val="20"/>
          <w:color w:val="auto"/>
        </w:rPr>
      </w:pPr>
    </w:p>
    <w:p>
      <w:pPr>
        <w:ind w:left="560" w:right="580"/>
        <w:spacing w:after="0" w:line="275" w:lineRule="auto"/>
        <w:rPr>
          <w:sz w:val="20"/>
          <w:szCs w:val="20"/>
          <w:color w:val="auto"/>
        </w:rPr>
      </w:pPr>
      <w:r>
        <w:rPr>
          <w:rFonts w:ascii="Arial" w:cs="Arial" w:eastAsia="Arial" w:hAnsi="Arial"/>
          <w:sz w:val="15"/>
          <w:szCs w:val="15"/>
          <w:color w:val="auto"/>
        </w:rPr>
        <w:t>Business conduct and ethics are foundational to Kelly’s sustainability and governance framework. The Company maintains governance practices designed to support ethical conduct, effective risk oversight, regulatory compliance, and long-term value creation.</w:t>
      </w:r>
    </w:p>
    <w:p>
      <w:pPr>
        <w:spacing w:after="0" w:line="14" w:lineRule="exact"/>
        <w:rPr>
          <w:sz w:val="20"/>
          <w:szCs w:val="20"/>
          <w:color w:val="auto"/>
        </w:rPr>
      </w:pPr>
    </w:p>
    <w:p>
      <w:pPr>
        <w:ind w:left="560" w:right="80"/>
        <w:spacing w:after="0" w:line="252" w:lineRule="auto"/>
        <w:rPr>
          <w:sz w:val="20"/>
          <w:szCs w:val="20"/>
          <w:color w:val="auto"/>
        </w:rPr>
      </w:pPr>
      <w:r>
        <w:rPr>
          <w:rFonts w:ascii="Arial" w:cs="Arial" w:eastAsia="Arial" w:hAnsi="Arial"/>
          <w:sz w:val="15"/>
          <w:szCs w:val="15"/>
          <w:i w:val="1"/>
          <w:iCs w:val="1"/>
          <w:color w:val="auto"/>
        </w:rPr>
        <w:t>Code of Business Conduct and Ethics</w:t>
      </w:r>
      <w:r>
        <w:rPr>
          <w:rFonts w:ascii="Arial" w:cs="Arial" w:eastAsia="Arial" w:hAnsi="Arial"/>
          <w:sz w:val="15"/>
          <w:szCs w:val="15"/>
          <w:color w:val="auto"/>
        </w:rPr>
        <w:t>: Kelly maintains a Code of Business Conduct and Ethics that applies to all directors, officers, and employees.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Code establishes expectations for ethical conduct, legal and regulatory compliance, integrity in business practices, and responsible decision-making. Employees are required to complete annual acknowledgments and related compliance training, and the Company maintains mechanisms for reporting concerns consistent with applicable laws and regulations, including an anonymous reporting hotline.</w:t>
      </w:r>
    </w:p>
    <w:p>
      <w:pPr>
        <w:spacing w:after="0" w:line="45" w:lineRule="exact"/>
        <w:rPr>
          <w:sz w:val="20"/>
          <w:szCs w:val="20"/>
          <w:color w:val="auto"/>
        </w:rPr>
      </w:pPr>
    </w:p>
    <w:p>
      <w:pPr>
        <w:ind w:left="560" w:right="20"/>
        <w:spacing w:after="0" w:line="258" w:lineRule="auto"/>
        <w:rPr>
          <w:sz w:val="20"/>
          <w:szCs w:val="20"/>
          <w:color w:val="auto"/>
        </w:rPr>
      </w:pPr>
      <w:r>
        <w:rPr>
          <w:rFonts w:ascii="Arial" w:cs="Arial" w:eastAsia="Arial" w:hAnsi="Arial"/>
          <w:sz w:val="15"/>
          <w:szCs w:val="15"/>
          <w:b w:val="1"/>
          <w:bCs w:val="1"/>
          <w:i w:val="1"/>
          <w:iCs w:val="1"/>
          <w:color w:val="auto"/>
        </w:rPr>
        <w:t xml:space="preserve">Cybersecurity and Data Privacy Oversight: </w:t>
      </w:r>
      <w:r>
        <w:rPr>
          <w:rFonts w:ascii="Arial" w:cs="Arial" w:eastAsia="Arial" w:hAnsi="Arial"/>
          <w:sz w:val="15"/>
          <w:szCs w:val="15"/>
          <w:color w:val="auto"/>
        </w:rPr>
        <w:t>Cybersecurity and data privacy are key components of Kelly’s enterprise risk management framework.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primarily through the Audit Committee, oversees cybersecurity and information security risks, including those that could affect operations, client trust, regulatory compliance, or financial condition.</w:t>
      </w:r>
    </w:p>
    <w:p>
      <w:pPr>
        <w:spacing w:after="0" w:line="27" w:lineRule="exact"/>
        <w:rPr>
          <w:sz w:val="20"/>
          <w:szCs w:val="20"/>
          <w:color w:val="auto"/>
        </w:rPr>
      </w:pPr>
    </w:p>
    <w:p>
      <w:pPr>
        <w:jc w:val="both"/>
        <w:ind w:left="560" w:right="100"/>
        <w:spacing w:after="0" w:line="258" w:lineRule="auto"/>
        <w:rPr>
          <w:sz w:val="20"/>
          <w:szCs w:val="20"/>
          <w:color w:val="auto"/>
        </w:rPr>
      </w:pPr>
      <w:r>
        <w:rPr>
          <w:rFonts w:ascii="Arial" w:cs="Arial" w:eastAsia="Arial" w:hAnsi="Arial"/>
          <w:sz w:val="15"/>
          <w:szCs w:val="15"/>
          <w:color w:val="auto"/>
        </w:rPr>
        <w:t>Management is responsible for implementing cybersecurity policies, controls, and response protocols. The Company’s Chief Information Security Officer leads the Company’s cybersecurity risk management program, guided by the NIST Cybersecurity Framework and informed by regular risk assessments and annual third-party evaluations.</w:t>
      </w:r>
    </w:p>
    <w:p>
      <w:pPr>
        <w:spacing w:after="0" w:line="27" w:lineRule="exact"/>
        <w:rPr>
          <w:sz w:val="20"/>
          <w:szCs w:val="20"/>
          <w:color w:val="auto"/>
        </w:rPr>
      </w:pPr>
    </w:p>
    <w:p>
      <w:pPr>
        <w:ind w:left="560" w:right="100"/>
        <w:spacing w:after="0" w:line="252" w:lineRule="auto"/>
        <w:rPr>
          <w:sz w:val="20"/>
          <w:szCs w:val="20"/>
          <w:color w:val="auto"/>
        </w:rPr>
      </w:pPr>
      <w:r>
        <w:rPr>
          <w:rFonts w:ascii="Arial" w:cs="Arial" w:eastAsia="Arial" w:hAnsi="Arial"/>
          <w:sz w:val="15"/>
          <w:szCs w:val="15"/>
          <w:color w:val="auto"/>
        </w:rPr>
        <w:t>Kelly maintains programs designed to comply with applicable data protection and privacy laws, including the General Data Protection Regulation (“GDPR”) and the California Consumer Privacy Act (“CCPA”). Employees and relevant vendors complete annual cybersecurity and data privacy training. The Company governs the deployment of artificial intelligence and emerging technologies through a framework that addresses data privacy, security, fairness, and compliance with evolving regulatory requirements.</w:t>
      </w:r>
    </w:p>
    <w:p>
      <w:pPr>
        <w:spacing w:after="0" w:line="45" w:lineRule="exact"/>
        <w:rPr>
          <w:sz w:val="20"/>
          <w:szCs w:val="20"/>
          <w:color w:val="auto"/>
        </w:rPr>
      </w:pPr>
    </w:p>
    <w:p>
      <w:pPr>
        <w:ind w:left="560" w:right="280"/>
        <w:spacing w:after="0" w:line="248" w:lineRule="auto"/>
        <w:rPr>
          <w:sz w:val="20"/>
          <w:szCs w:val="20"/>
          <w:color w:val="auto"/>
        </w:rPr>
      </w:pPr>
      <w:r>
        <w:rPr>
          <w:rFonts w:ascii="Arial" w:cs="Arial" w:eastAsia="Arial" w:hAnsi="Arial"/>
          <w:sz w:val="15"/>
          <w:szCs w:val="15"/>
          <w:b w:val="1"/>
          <w:bCs w:val="1"/>
          <w:i w:val="1"/>
          <w:iCs w:val="1"/>
          <w:color w:val="auto"/>
        </w:rPr>
        <w:t xml:space="preserve">Governance Practices and Transparency: </w:t>
      </w:r>
      <w:r>
        <w:rPr>
          <w:rFonts w:ascii="Arial" w:cs="Arial" w:eastAsia="Arial" w:hAnsi="Arial"/>
          <w:sz w:val="15"/>
          <w:szCs w:val="15"/>
          <w:color w:val="auto"/>
        </w:rPr>
        <w:t>Kelly’s governance practices promote transparency and accountability in sustainability reporting.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measures and discloses its performance in alignment with established frameworks, including the Global Reporting Initiative (“GRI”) and sustainability disclosure standards developed by the International Sustainability Standards Board (“ISSB”), which incorporate the Sustainability Accounting Standards Board (“SASB”) standards and the Task Force on Climate-related Financial Disclosures (“TCFD”) recommendations. Kelly also participates in third-party assessments, such as CDP (formerly the Carbon Disclosure Project) and EcoVadis, to provide external perspectives on sustainability practices and performance.</w:t>
      </w:r>
    </w:p>
    <w:p>
      <w:pPr>
        <w:spacing w:after="0" w:line="34" w:lineRule="exact"/>
        <w:rPr>
          <w:sz w:val="20"/>
          <w:szCs w:val="20"/>
          <w:color w:val="auto"/>
        </w:rPr>
      </w:pPr>
    </w:p>
    <w:p>
      <w:pPr>
        <w:ind w:left="560" w:right="340"/>
        <w:spacing w:after="0" w:line="258" w:lineRule="auto"/>
        <w:rPr>
          <w:sz w:val="20"/>
          <w:szCs w:val="20"/>
          <w:color w:val="auto"/>
        </w:rPr>
      </w:pPr>
      <w:r>
        <w:rPr>
          <w:rFonts w:ascii="Arial" w:cs="Arial" w:eastAsia="Arial" w:hAnsi="Arial"/>
          <w:sz w:val="15"/>
          <w:szCs w:val="15"/>
          <w:color w:val="auto"/>
        </w:rPr>
        <w:t xml:space="preserve">Through these governance practices, Kelly actively manages operational, social, and environmental risks while fostering accountability, integrity, and transparency across the organization. Detailed information regarding programs, metrics, and performance is available in the Company’s Corporate Sustainability Report, which is available on the Company’s website at </w:t>
      </w:r>
      <w:r>
        <w:rPr>
          <w:rFonts w:ascii="Arial" w:cs="Arial" w:eastAsia="Arial" w:hAnsi="Arial"/>
          <w:sz w:val="15"/>
          <w:szCs w:val="15"/>
          <w:u w:val="single" w:color="auto"/>
          <w:color w:val="auto"/>
        </w:rPr>
        <w:t>www.kellyservices.com.</w:t>
      </w:r>
    </w:p>
    <w:p>
      <w:pPr>
        <w:spacing w:after="0" w:line="3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36 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934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Selection Process</w:t>
      </w:r>
    </w:p>
    <w:p>
      <w:pPr>
        <w:spacing w:after="0" w:line="69" w:lineRule="exact"/>
        <w:rPr>
          <w:sz w:val="20"/>
          <w:szCs w:val="20"/>
          <w:color w:val="auto"/>
        </w:rPr>
      </w:pPr>
    </w:p>
    <w:p>
      <w:pPr>
        <w:ind w:left="560" w:right="20"/>
        <w:spacing w:after="0" w:line="245" w:lineRule="auto"/>
        <w:rPr>
          <w:sz w:val="20"/>
          <w:szCs w:val="20"/>
          <w:color w:val="auto"/>
        </w:rPr>
      </w:pPr>
      <w:r>
        <w:rPr>
          <w:rFonts w:ascii="Arial" w:cs="Arial" w:eastAsia="Arial" w:hAnsi="Arial"/>
          <w:sz w:val="15"/>
          <w:szCs w:val="15"/>
          <w:color w:val="auto"/>
        </w:rPr>
        <w:t>The Corporate Governance and Nominating Committee is responsible for the identification, screening, and recommendation of qualified candidates for nomination by the full Board. The Board of Directors, together with the Corporate Governance and Nominating Committee ensure that: (1) the Board as a whole is composed of the right combination of knowledge, experience, continuity, reputation, and a broad range of perspectives that are pertinent to the Company’s operating environment and strategic direction; (2) the Board maintains the independence and competence to provide the governance and oversight that the Company’s shareholders expect; and (3) there is a seamless transition when a director retires or steps down from the Board. The Board of Directors identifies the collective mix of desired skills, experience, knowledge, and independence for the Board of Directors as a whole and identifies potential opportunities for enhancement in one or more of those areas. The Board considers each current director’s experience, skills, principal occupation, reputation, independence, age, tenure, committee membership, and background, as well as the results of the Board and committee self-evaluations, and feedback. An overview of the Board’s director selection process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135890</wp:posOffset>
            </wp:positionV>
            <wp:extent cx="642683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3160" w:type="dxa"/>
            <w:vAlign w:val="bottom"/>
          </w:tcPr>
          <w:p>
            <w:pPr>
              <w:ind w:left="80"/>
              <w:spacing w:after="0"/>
              <w:rPr>
                <w:sz w:val="20"/>
                <w:szCs w:val="20"/>
                <w:color w:val="auto"/>
              </w:rPr>
            </w:pPr>
            <w:r>
              <w:rPr>
                <w:rFonts w:ascii="Arial" w:cs="Arial" w:eastAsia="Arial" w:hAnsi="Arial"/>
                <w:sz w:val="15"/>
                <w:szCs w:val="15"/>
                <w:color w:val="00AE4F"/>
              </w:rPr>
              <w:t>Evaluate Board Composition</w:t>
            </w:r>
          </w:p>
        </w:tc>
        <w:tc>
          <w:tcPr>
            <w:tcW w:w="6980" w:type="dxa"/>
            <w:vAlign w:val="bottom"/>
          </w:tcPr>
          <w:p>
            <w:pPr>
              <w:ind w:left="480"/>
              <w:spacing w:after="0"/>
              <w:rPr>
                <w:sz w:val="20"/>
                <w:szCs w:val="20"/>
                <w:color w:val="auto"/>
              </w:rPr>
            </w:pPr>
            <w:r>
              <w:rPr>
                <w:rFonts w:ascii="Arial" w:cs="Arial" w:eastAsia="Arial" w:hAnsi="Arial"/>
                <w:sz w:val="15"/>
                <w:szCs w:val="15"/>
                <w:color w:val="auto"/>
              </w:rPr>
              <w:t>Using the Company’s Corporate Governance Principles, Board Composition Matrix, and Board</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self-evaluation process, the Committee (or subcommittee) evaluates the size, composition,</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priorities, and needs of the Board with respect to its desired experience, skills, and the broad</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range of perspectives in consideration of the Company’s current and anticipated business needs</w:t>
            </w:r>
          </w:p>
        </w:tc>
      </w:tr>
      <w:tr>
        <w:trPr>
          <w:trHeight w:val="204"/>
        </w:trPr>
        <w:tc>
          <w:tcPr>
            <w:tcW w:w="3160" w:type="dxa"/>
            <w:vAlign w:val="bottom"/>
            <w:tcBorders>
              <w:bottom w:val="single" w:sz="8" w:color="7F7F7F"/>
            </w:tcBorders>
          </w:tcPr>
          <w:p>
            <w:pPr>
              <w:spacing w:after="0"/>
              <w:rPr>
                <w:sz w:val="17"/>
                <w:szCs w:val="17"/>
                <w:color w:val="auto"/>
              </w:rPr>
            </w:pPr>
          </w:p>
        </w:tc>
        <w:tc>
          <w:tcPr>
            <w:tcW w:w="6980" w:type="dxa"/>
            <w:vAlign w:val="bottom"/>
            <w:tcBorders>
              <w:bottom w:val="single" w:sz="8" w:color="7F7F7F"/>
            </w:tcBorders>
          </w:tcPr>
          <w:p>
            <w:pPr>
              <w:ind w:left="480"/>
              <w:spacing w:after="0"/>
              <w:rPr>
                <w:sz w:val="20"/>
                <w:szCs w:val="20"/>
                <w:color w:val="auto"/>
              </w:rPr>
            </w:pPr>
            <w:r>
              <w:rPr>
                <w:rFonts w:ascii="Arial" w:cs="Arial" w:eastAsia="Arial" w:hAnsi="Arial"/>
                <w:sz w:val="15"/>
                <w:szCs w:val="15"/>
                <w:color w:val="auto"/>
              </w:rPr>
              <w:t>and strategies.</w:t>
            </w:r>
          </w:p>
        </w:tc>
      </w:tr>
      <w:tr>
        <w:trPr>
          <w:trHeight w:val="210"/>
        </w:trPr>
        <w:tc>
          <w:tcPr>
            <w:tcW w:w="3160" w:type="dxa"/>
            <w:vAlign w:val="bottom"/>
          </w:tcPr>
          <w:p>
            <w:pPr>
              <w:ind w:left="80"/>
              <w:spacing w:after="0"/>
              <w:rPr>
                <w:sz w:val="20"/>
                <w:szCs w:val="20"/>
                <w:color w:val="auto"/>
              </w:rPr>
            </w:pPr>
            <w:r>
              <w:rPr>
                <w:rFonts w:ascii="Arial" w:cs="Arial" w:eastAsia="Arial" w:hAnsi="Arial"/>
                <w:sz w:val="15"/>
                <w:szCs w:val="15"/>
                <w:color w:val="00AE4F"/>
              </w:rPr>
              <w:t>Identification of Potential Candidates</w:t>
            </w:r>
          </w:p>
        </w:tc>
        <w:tc>
          <w:tcPr>
            <w:tcW w:w="6980" w:type="dxa"/>
            <w:vAlign w:val="bottom"/>
          </w:tcPr>
          <w:p>
            <w:pPr>
              <w:ind w:left="480"/>
              <w:spacing w:after="0"/>
              <w:rPr>
                <w:sz w:val="20"/>
                <w:szCs w:val="20"/>
                <w:color w:val="auto"/>
              </w:rPr>
            </w:pPr>
            <w:r>
              <w:rPr>
                <w:rFonts w:ascii="Arial" w:cs="Arial" w:eastAsia="Arial" w:hAnsi="Arial"/>
                <w:sz w:val="15"/>
                <w:szCs w:val="15"/>
                <w:color w:val="auto"/>
              </w:rPr>
              <w:t>The Committee identifies director candidates through multiple sources, including</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recommendations from a third-party search firm, suggestions from other directors, and</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submissions from members of management. When engaging a search firm, the Committee</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instructs the search firm to provide an initial pool of candidates that reflect a broad range of</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gender, race, ethnic, and cultural backgrounds, which possess the core qualifications required,</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and include the specific experience and skills as identified during the evaluation of current board</w:t>
            </w:r>
          </w:p>
        </w:tc>
      </w:tr>
      <w:tr>
        <w:trPr>
          <w:trHeight w:val="204"/>
        </w:trPr>
        <w:tc>
          <w:tcPr>
            <w:tcW w:w="3160" w:type="dxa"/>
            <w:vAlign w:val="bottom"/>
            <w:tcBorders>
              <w:bottom w:val="single" w:sz="8" w:color="7F7F7F"/>
            </w:tcBorders>
          </w:tcPr>
          <w:p>
            <w:pPr>
              <w:spacing w:after="0"/>
              <w:rPr>
                <w:sz w:val="17"/>
                <w:szCs w:val="17"/>
                <w:color w:val="auto"/>
              </w:rPr>
            </w:pPr>
          </w:p>
        </w:tc>
        <w:tc>
          <w:tcPr>
            <w:tcW w:w="6980" w:type="dxa"/>
            <w:vAlign w:val="bottom"/>
            <w:tcBorders>
              <w:bottom w:val="single" w:sz="8" w:color="7F7F7F"/>
            </w:tcBorders>
          </w:tcPr>
          <w:p>
            <w:pPr>
              <w:ind w:left="480"/>
              <w:spacing w:after="0"/>
              <w:rPr>
                <w:sz w:val="20"/>
                <w:szCs w:val="20"/>
                <w:color w:val="auto"/>
              </w:rPr>
            </w:pPr>
            <w:r>
              <w:rPr>
                <w:rFonts w:ascii="Arial" w:cs="Arial" w:eastAsia="Arial" w:hAnsi="Arial"/>
                <w:sz w:val="15"/>
                <w:szCs w:val="15"/>
                <w:color w:val="auto"/>
              </w:rPr>
              <w:t>composition.</w:t>
            </w:r>
          </w:p>
        </w:tc>
      </w:tr>
      <w:tr>
        <w:trPr>
          <w:trHeight w:val="210"/>
        </w:trPr>
        <w:tc>
          <w:tcPr>
            <w:tcW w:w="3160" w:type="dxa"/>
            <w:vAlign w:val="bottom"/>
          </w:tcPr>
          <w:p>
            <w:pPr>
              <w:ind w:left="80"/>
              <w:spacing w:after="0"/>
              <w:rPr>
                <w:sz w:val="20"/>
                <w:szCs w:val="20"/>
                <w:color w:val="auto"/>
              </w:rPr>
            </w:pPr>
            <w:r>
              <w:rPr>
                <w:rFonts w:ascii="Arial" w:cs="Arial" w:eastAsia="Arial" w:hAnsi="Arial"/>
                <w:sz w:val="15"/>
                <w:szCs w:val="15"/>
                <w:color w:val="00AE4F"/>
              </w:rPr>
              <w:t>Evaluation of Candidates</w:t>
            </w:r>
          </w:p>
        </w:tc>
        <w:tc>
          <w:tcPr>
            <w:tcW w:w="6980" w:type="dxa"/>
            <w:vAlign w:val="bottom"/>
          </w:tcPr>
          <w:p>
            <w:pPr>
              <w:ind w:left="480"/>
              <w:spacing w:after="0"/>
              <w:rPr>
                <w:sz w:val="20"/>
                <w:szCs w:val="20"/>
                <w:color w:val="auto"/>
              </w:rPr>
            </w:pPr>
            <w:r>
              <w:rPr>
                <w:rFonts w:ascii="Arial" w:cs="Arial" w:eastAsia="Arial" w:hAnsi="Arial"/>
                <w:sz w:val="15"/>
                <w:szCs w:val="15"/>
                <w:color w:val="auto"/>
              </w:rPr>
              <w:t>Potential candidates undergo a thorough screening process that includes a review of their</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qualifications, conflicts of interest, independence, backgrounds, and experience. The candidate</w:t>
            </w:r>
          </w:p>
        </w:tc>
      </w:tr>
      <w:tr>
        <w:trPr>
          <w:trHeight w:val="174"/>
        </w:trPr>
        <w:tc>
          <w:tcPr>
            <w:tcW w:w="3160" w:type="dxa"/>
            <w:vAlign w:val="bottom"/>
          </w:tcPr>
          <w:p>
            <w:pPr>
              <w:spacing w:after="0"/>
              <w:rPr>
                <w:sz w:val="15"/>
                <w:szCs w:val="15"/>
                <w:color w:val="auto"/>
              </w:rPr>
            </w:pPr>
          </w:p>
        </w:tc>
        <w:tc>
          <w:tcPr>
            <w:tcW w:w="6980" w:type="dxa"/>
            <w:vAlign w:val="bottom"/>
          </w:tcPr>
          <w:p>
            <w:pPr>
              <w:ind w:left="480"/>
              <w:spacing w:after="0"/>
              <w:rPr>
                <w:sz w:val="20"/>
                <w:szCs w:val="20"/>
                <w:color w:val="auto"/>
              </w:rPr>
            </w:pPr>
            <w:r>
              <w:rPr>
                <w:rFonts w:ascii="Arial" w:cs="Arial" w:eastAsia="Arial" w:hAnsi="Arial"/>
                <w:sz w:val="15"/>
                <w:szCs w:val="15"/>
                <w:color w:val="auto"/>
              </w:rPr>
              <w:t>pool is then narrowed for individual interviews, followed by a comprehensive review of all</w:t>
            </w:r>
          </w:p>
        </w:tc>
      </w:tr>
      <w:tr>
        <w:trPr>
          <w:trHeight w:val="204"/>
        </w:trPr>
        <w:tc>
          <w:tcPr>
            <w:tcW w:w="3160" w:type="dxa"/>
            <w:vAlign w:val="bottom"/>
            <w:tcBorders>
              <w:bottom w:val="single" w:sz="8" w:color="7F7F7F"/>
            </w:tcBorders>
          </w:tcPr>
          <w:p>
            <w:pPr>
              <w:spacing w:after="0"/>
              <w:rPr>
                <w:sz w:val="17"/>
                <w:szCs w:val="17"/>
                <w:color w:val="auto"/>
              </w:rPr>
            </w:pPr>
          </w:p>
        </w:tc>
        <w:tc>
          <w:tcPr>
            <w:tcW w:w="6980" w:type="dxa"/>
            <w:vAlign w:val="bottom"/>
            <w:tcBorders>
              <w:bottom w:val="single" w:sz="8" w:color="7F7F7F"/>
            </w:tcBorders>
          </w:tcPr>
          <w:p>
            <w:pPr>
              <w:ind w:left="480"/>
              <w:spacing w:after="0"/>
              <w:rPr>
                <w:sz w:val="20"/>
                <w:szCs w:val="20"/>
                <w:color w:val="auto"/>
              </w:rPr>
            </w:pPr>
            <w:r>
              <w:rPr>
                <w:rFonts w:ascii="Arial" w:cs="Arial" w:eastAsia="Arial" w:hAnsi="Arial"/>
                <w:sz w:val="15"/>
                <w:szCs w:val="15"/>
                <w:color w:val="auto"/>
              </w:rPr>
              <w:t>interviewed candidates prior to a final nomination decision.</w:t>
            </w:r>
          </w:p>
        </w:tc>
      </w:tr>
      <w:tr>
        <w:trPr>
          <w:trHeight w:val="240"/>
        </w:trPr>
        <w:tc>
          <w:tcPr>
            <w:tcW w:w="3160" w:type="dxa"/>
            <w:vAlign w:val="bottom"/>
            <w:tcBorders>
              <w:bottom w:val="single" w:sz="8" w:color="7F7F7F"/>
            </w:tcBorders>
          </w:tcPr>
          <w:p>
            <w:pPr>
              <w:ind w:left="80"/>
              <w:spacing w:after="0"/>
              <w:rPr>
                <w:sz w:val="20"/>
                <w:szCs w:val="20"/>
                <w:color w:val="auto"/>
              </w:rPr>
            </w:pPr>
            <w:r>
              <w:rPr>
                <w:rFonts w:ascii="Arial" w:cs="Arial" w:eastAsia="Arial" w:hAnsi="Arial"/>
                <w:sz w:val="15"/>
                <w:szCs w:val="15"/>
                <w:color w:val="00AE4F"/>
              </w:rPr>
              <w:t>Recommendation</w:t>
            </w:r>
          </w:p>
        </w:tc>
        <w:tc>
          <w:tcPr>
            <w:tcW w:w="6980" w:type="dxa"/>
            <w:vAlign w:val="bottom"/>
            <w:tcBorders>
              <w:bottom w:val="single" w:sz="8" w:color="7F7F7F"/>
            </w:tcBorders>
          </w:tcPr>
          <w:p>
            <w:pPr>
              <w:ind w:left="480"/>
              <w:spacing w:after="0"/>
              <w:rPr>
                <w:sz w:val="20"/>
                <w:szCs w:val="20"/>
                <w:color w:val="auto"/>
              </w:rPr>
            </w:pPr>
            <w:r>
              <w:rPr>
                <w:rFonts w:ascii="Arial" w:cs="Arial" w:eastAsia="Arial" w:hAnsi="Arial"/>
                <w:sz w:val="15"/>
                <w:szCs w:val="15"/>
                <w:color w:val="auto"/>
              </w:rPr>
              <w:t>The Committee recommends final candidate(s) to the full Board for appointment.</w:t>
            </w:r>
          </w:p>
        </w:tc>
      </w:tr>
      <w:tr>
        <w:trPr>
          <w:trHeight w:val="210"/>
        </w:trPr>
        <w:tc>
          <w:tcPr>
            <w:tcW w:w="3160" w:type="dxa"/>
            <w:vAlign w:val="bottom"/>
          </w:tcPr>
          <w:p>
            <w:pPr>
              <w:ind w:left="80"/>
              <w:spacing w:after="0"/>
              <w:rPr>
                <w:sz w:val="20"/>
                <w:szCs w:val="20"/>
                <w:color w:val="auto"/>
              </w:rPr>
            </w:pPr>
            <w:r>
              <w:rPr>
                <w:rFonts w:ascii="Arial" w:cs="Arial" w:eastAsia="Arial" w:hAnsi="Arial"/>
                <w:sz w:val="15"/>
                <w:szCs w:val="15"/>
                <w:color w:val="00AE4F"/>
              </w:rPr>
              <w:t>Review and Appointment by Full Board</w:t>
            </w:r>
          </w:p>
        </w:tc>
        <w:tc>
          <w:tcPr>
            <w:tcW w:w="6980" w:type="dxa"/>
            <w:vAlign w:val="bottom"/>
          </w:tcPr>
          <w:p>
            <w:pPr>
              <w:ind w:left="480"/>
              <w:spacing w:after="0"/>
              <w:rPr>
                <w:sz w:val="20"/>
                <w:szCs w:val="20"/>
                <w:color w:val="auto"/>
              </w:rPr>
            </w:pPr>
            <w:r>
              <w:rPr>
                <w:rFonts w:ascii="Arial" w:cs="Arial" w:eastAsia="Arial" w:hAnsi="Arial"/>
                <w:sz w:val="15"/>
                <w:szCs w:val="15"/>
                <w:color w:val="auto"/>
              </w:rPr>
              <w:t>The full Board appoints new director(s), who then stand for election by shareholders at the next</w:t>
            </w:r>
          </w:p>
        </w:tc>
      </w:tr>
      <w:tr>
        <w:trPr>
          <w:trHeight w:val="204"/>
        </w:trPr>
        <w:tc>
          <w:tcPr>
            <w:tcW w:w="3160" w:type="dxa"/>
            <w:vAlign w:val="bottom"/>
            <w:tcBorders>
              <w:bottom w:val="single" w:sz="8" w:color="7F7F7F"/>
            </w:tcBorders>
          </w:tcPr>
          <w:p>
            <w:pPr>
              <w:spacing w:after="0"/>
              <w:rPr>
                <w:sz w:val="17"/>
                <w:szCs w:val="17"/>
                <w:color w:val="auto"/>
              </w:rPr>
            </w:pPr>
          </w:p>
        </w:tc>
        <w:tc>
          <w:tcPr>
            <w:tcW w:w="6980" w:type="dxa"/>
            <w:vAlign w:val="bottom"/>
            <w:tcBorders>
              <w:bottom w:val="single" w:sz="8" w:color="7F7F7F"/>
            </w:tcBorders>
          </w:tcPr>
          <w:p>
            <w:pPr>
              <w:ind w:left="480"/>
              <w:spacing w:after="0"/>
              <w:rPr>
                <w:sz w:val="20"/>
                <w:szCs w:val="20"/>
                <w:color w:val="auto"/>
              </w:rPr>
            </w:pPr>
            <w:r>
              <w:rPr>
                <w:rFonts w:ascii="Arial" w:cs="Arial" w:eastAsia="Arial" w:hAnsi="Arial"/>
                <w:sz w:val="15"/>
                <w:szCs w:val="15"/>
                <w:color w:val="auto"/>
              </w:rPr>
              <w:t>Annual Meeting.</w:t>
            </w:r>
          </w:p>
        </w:tc>
      </w:tr>
    </w:tbl>
    <w:p>
      <w:pPr>
        <w:spacing w:after="0" w:line="27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Attendance</w:t>
      </w:r>
    </w:p>
    <w:p>
      <w:pPr>
        <w:spacing w:after="0" w:line="69" w:lineRule="exact"/>
        <w:rPr>
          <w:sz w:val="20"/>
          <w:szCs w:val="20"/>
          <w:color w:val="auto"/>
        </w:rPr>
      </w:pPr>
    </w:p>
    <w:p>
      <w:pPr>
        <w:ind w:left="560" w:right="120"/>
        <w:spacing w:after="0" w:line="269" w:lineRule="auto"/>
        <w:rPr>
          <w:sz w:val="20"/>
          <w:szCs w:val="20"/>
          <w:color w:val="auto"/>
        </w:rPr>
      </w:pPr>
      <w:r>
        <w:rPr>
          <w:rFonts w:ascii="Arial" w:cs="Arial" w:eastAsia="Arial" w:hAnsi="Arial"/>
          <w:sz w:val="14"/>
          <w:szCs w:val="14"/>
          <w:color w:val="auto"/>
        </w:rPr>
        <w:t>We expect directors to attend the Annual Meeting of the Shareholders, all Board meetings, and all meetings of the committees on which they individually serve. All directors attended the 2025 Annual Meeting of Shareholders. The Board held sixteen meetings during 2025. Director attendance averaged</w:t>
      </w:r>
    </w:p>
    <w:p>
      <w:pPr>
        <w:ind w:left="560" w:right="60"/>
        <w:spacing w:after="0" w:line="248" w:lineRule="auto"/>
        <w:rPr>
          <w:sz w:val="20"/>
          <w:szCs w:val="20"/>
          <w:color w:val="auto"/>
        </w:rPr>
      </w:pPr>
      <w:r>
        <w:rPr>
          <w:rFonts w:ascii="Arial" w:cs="Arial" w:eastAsia="Arial" w:hAnsi="Arial"/>
          <w:sz w:val="15"/>
          <w:szCs w:val="15"/>
          <w:color w:val="auto"/>
        </w:rPr>
        <w:t>98.4% of the aggregate number of meetings of the Board and the committees on which they served during 2025. The majority of directors attended 100% of all Board and committee meetings on which they individually served in 2025. The independent directors met in executive sessions at which only they were present at least eleven times during 2025.</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Size of the Board</w:t>
      </w:r>
    </w:p>
    <w:p>
      <w:pPr>
        <w:spacing w:after="0" w:line="81" w:lineRule="exact"/>
        <w:rPr>
          <w:sz w:val="20"/>
          <w:szCs w:val="20"/>
          <w:color w:val="auto"/>
        </w:rPr>
      </w:pPr>
    </w:p>
    <w:p>
      <w:pPr>
        <w:ind w:left="560" w:right="20"/>
        <w:spacing w:after="0" w:line="252" w:lineRule="auto"/>
        <w:rPr>
          <w:sz w:val="20"/>
          <w:szCs w:val="20"/>
          <w:color w:val="auto"/>
        </w:rPr>
      </w:pPr>
      <w:r>
        <w:rPr>
          <w:rFonts w:ascii="Arial" w:cs="Arial" w:eastAsia="Arial" w:hAnsi="Arial"/>
          <w:sz w:val="15"/>
          <w:szCs w:val="15"/>
          <w:color w:val="auto"/>
        </w:rPr>
        <w:t>Under the Company’s Amended and Restated Bylaws, the number of directors constituting the Board may be fixed by the Board within the range of five to eleven directors. The size of the Board should not exceed the number that, as determined by the Board, will permit it to function efficiently in discharging its duties. There are currently eight members of the Board. Election of all director nominees will result in an eleven-member Board immediately following the Annual Meeting.</w:t>
      </w:r>
    </w:p>
    <w:p>
      <w:pPr>
        <w:spacing w:after="0" w:line="93"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Tenure</w:t>
      </w:r>
    </w:p>
    <w:p>
      <w:pPr>
        <w:spacing w:after="0" w:line="69" w:lineRule="exact"/>
        <w:rPr>
          <w:sz w:val="20"/>
          <w:szCs w:val="20"/>
          <w:color w:val="auto"/>
        </w:rPr>
      </w:pPr>
    </w:p>
    <w:p>
      <w:pPr>
        <w:ind w:left="560" w:right="60"/>
        <w:spacing w:after="0" w:line="275" w:lineRule="auto"/>
        <w:rPr>
          <w:sz w:val="20"/>
          <w:szCs w:val="20"/>
          <w:color w:val="auto"/>
        </w:rPr>
      </w:pPr>
      <w:r>
        <w:rPr>
          <w:rFonts w:ascii="Arial" w:cs="Arial" w:eastAsia="Arial" w:hAnsi="Arial"/>
          <w:sz w:val="15"/>
          <w:szCs w:val="15"/>
          <w:color w:val="auto"/>
        </w:rPr>
        <w:t>The Board does not have term or age limits. The Board believes that the contributions and insight of tenured directors into the Company’s operations and strategy outweigh the perceived value of such limits and facilitate Board effectiveness.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Service on Outside Public Company Boards</w:t>
      </w:r>
    </w:p>
    <w:p>
      <w:pPr>
        <w:spacing w:after="0" w:line="69" w:lineRule="exact"/>
        <w:rPr>
          <w:sz w:val="20"/>
          <w:szCs w:val="20"/>
          <w:color w:val="auto"/>
        </w:rPr>
      </w:pPr>
    </w:p>
    <w:p>
      <w:pPr>
        <w:ind w:left="560"/>
        <w:spacing w:after="0" w:line="248" w:lineRule="auto"/>
        <w:rPr>
          <w:sz w:val="20"/>
          <w:szCs w:val="20"/>
          <w:color w:val="auto"/>
        </w:rPr>
      </w:pPr>
      <w:r>
        <w:rPr>
          <w:rFonts w:ascii="Arial" w:cs="Arial" w:eastAsia="Arial" w:hAnsi="Arial"/>
          <w:sz w:val="15"/>
          <w:szCs w:val="15"/>
          <w:color w:val="auto"/>
        </w:rPr>
        <w:t>While there is no specified limit on the number of other public company boards on which a director may serve, the number of board memberships is a consideration, along with any other time commitments a director or nominee may have, in determining his or her ability to serve effectively. Directors must be willing and able to devote sufficient time to carrying out their duties and responsibilities effectively and have the intention to serve an appropriate length of time to make a meaningful contribution to the Board and the Company. A director is expected to engage in discussion with the Chair of the Corporate Governance and Nominating Committee before accepting an invitation to serve on an additional public company board or accepting an invitation to chair a committee of a public company board on which he or she currently serves.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Orientation and Continuing Education</w:t>
      </w:r>
    </w:p>
    <w:p>
      <w:pPr>
        <w:spacing w:after="0" w:line="81" w:lineRule="exact"/>
        <w:rPr>
          <w:sz w:val="20"/>
          <w:szCs w:val="20"/>
          <w:color w:val="auto"/>
        </w:rPr>
      </w:pPr>
    </w:p>
    <w:p>
      <w:pPr>
        <w:ind w:left="560" w:right="100"/>
        <w:spacing w:after="0" w:line="246" w:lineRule="auto"/>
        <w:rPr>
          <w:sz w:val="20"/>
          <w:szCs w:val="20"/>
          <w:color w:val="auto"/>
        </w:rPr>
      </w:pPr>
      <w:r>
        <w:rPr>
          <w:rFonts w:ascii="Arial" w:cs="Arial" w:eastAsia="Arial" w:hAnsi="Arial"/>
          <w:sz w:val="15"/>
          <w:szCs w:val="15"/>
          <w:color w:val="auto"/>
        </w:rPr>
        <w:t>Management, working with the Corporate Governance and Nominating Committee, provides an orientation program for new directors to facilitate integration into their roles. The program acquaints new directors with the Company’s business, history, vision, purpose, strategic direction and plans, competitive landscape, core values, Code of Business Conduct and Ethics, Insider Trading Policy, other corporate governance practices, financial, accounting, and risk management matters, key policies, sustainability strategy, senior leadership, and internal and independent auditors. The program consists of, as appropriate, a comprehensive review of background materials, briefings by senior management, and visits to Company facilities. The Board also developed a mentoring program to provide additional support and resources to new directors. Based on the feedback from our directors, we believe this onboarding approach provides new directors with a strong foundation for understanding our businesses, connects directors with members of management with whom they will interact, and accelerates their effectiveness to engage fully in Board deliberations.</w:t>
      </w:r>
    </w:p>
    <w:p>
      <w:pPr>
        <w:spacing w:after="0" w:line="37" w:lineRule="exact"/>
        <w:rPr>
          <w:sz w:val="20"/>
          <w:szCs w:val="20"/>
          <w:color w:val="auto"/>
        </w:rPr>
      </w:pPr>
    </w:p>
    <w:p>
      <w:pPr>
        <w:ind w:left="560" w:right="80"/>
        <w:spacing w:after="0" w:line="250" w:lineRule="auto"/>
        <w:rPr>
          <w:sz w:val="20"/>
          <w:szCs w:val="20"/>
          <w:color w:val="auto"/>
        </w:rPr>
      </w:pPr>
      <w:r>
        <w:rPr>
          <w:rFonts w:ascii="Arial" w:cs="Arial" w:eastAsia="Arial" w:hAnsi="Arial"/>
          <w:sz w:val="15"/>
          <w:szCs w:val="15"/>
          <w:color w:val="auto"/>
        </w:rPr>
        <w:t>Directors are also encouraged to participate in continuing director education programs to help them stay current on emerging practices and issues and in carrying out their responsibilities. These programs include formal education sessions with management or third-party subject matter experts that may occur as part of regular Board or committee meetings, and participation in industry forums on business, financial, accounting, legal, and other subjects relevant to the Company’s business. The Company reimburses reasonable costs and expenses incurred by directors for continuing education that provides updates on issues and programs relevant to public companies and their directors.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Board, Committee, and Peer Evaluation</w:t>
      </w:r>
    </w:p>
    <w:p>
      <w:pPr>
        <w:spacing w:after="0" w:line="69"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The Board recognizes that a robust and constructive evaluation process is essential to good governance and enhanced effectiveness. The Corporate Governance and Nominating Committee organizes and oversees an annual evaluation by the Board and its committees of their performance. The evaluation facilitates an examination and discussion by the entire Board and each committee of its effectiveness in fulfilling its charter requirements and other responsibilities, its performance as measured against the Company’s Corporate Governance Principles, and areas for improvement. The evaluation also includes individual director assessments, typically in alternating years.</w:t>
      </w:r>
    </w:p>
    <w:p>
      <w:pPr>
        <w:spacing w:after="0" w:line="44" w:lineRule="exact"/>
        <w:rPr>
          <w:sz w:val="20"/>
          <w:szCs w:val="20"/>
          <w:color w:val="auto"/>
        </w:rPr>
      </w:pPr>
    </w:p>
    <w:p>
      <w:pPr>
        <w:ind w:left="560" w:right="140"/>
        <w:spacing w:after="0" w:line="252" w:lineRule="auto"/>
        <w:rPr>
          <w:sz w:val="20"/>
          <w:szCs w:val="20"/>
          <w:color w:val="auto"/>
        </w:rPr>
      </w:pPr>
      <w:r>
        <w:rPr>
          <w:rFonts w:ascii="Arial" w:cs="Arial" w:eastAsia="Arial" w:hAnsi="Arial"/>
          <w:sz w:val="15"/>
          <w:szCs w:val="15"/>
          <w:color w:val="auto"/>
        </w:rPr>
        <w:t>In 2025, the Corporate Governance and Nominating Committee engaged an independent external advisor to conduct Board and committee evaluations. The process included the completion of an online self-evaluation with rated and open-ended questions, with follow-up discussions by the advisor on certain individual responses, as needed. Each of the Board’s then nine directors participated in the process. At that time, Messrs. Layden, C. Hunt, J.K. Hunt, Escudero, and Ms. Brock-Kyle had not been named to the Board.</w:t>
      </w:r>
    </w:p>
    <w:p>
      <w:pPr>
        <w:ind w:left="620"/>
        <w:spacing w:after="0" w:line="224" w:lineRule="auto"/>
        <w:tabs>
          <w:tab w:leader="none" w:pos="1180" w:val="left"/>
        </w:tabs>
        <w:rPr>
          <w:sz w:val="20"/>
          <w:szCs w:val="20"/>
          <w:color w:val="auto"/>
        </w:rPr>
      </w:pPr>
      <w:r>
        <w:rPr>
          <w:rFonts w:ascii="Arial" w:cs="Arial" w:eastAsia="Arial" w:hAnsi="Arial"/>
          <w:sz w:val="40"/>
          <w:szCs w:val="40"/>
          <w:color w:val="auto"/>
          <w:vertAlign w:val="superscript"/>
        </w:rPr>
        <w:t>38 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-196215</wp:posOffset>
            </wp:positionV>
            <wp:extent cx="7620" cy="212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Corporate Governance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typical process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150495</wp:posOffset>
            </wp:positionV>
            <wp:extent cx="204470" cy="13862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4470" cy="1386205"/>
                    </a:xfrm>
                    <a:prstGeom prst="rect">
                      <a:avLst/>
                    </a:prstGeom>
                    <a:noFill/>
                  </pic:spPr>
                </pic:pic>
              </a:graphicData>
            </a:graphic>
          </wp:anchor>
        </w:drawing>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690"/>
        </w:trPr>
        <w:tc>
          <w:tcPr>
            <w:tcW w:w="2900" w:type="dxa"/>
            <w:vAlign w:val="bottom"/>
            <w:shd w:val="clear" w:color="auto" w:fill="EAEAE9"/>
          </w:tcPr>
          <w:p>
            <w:pPr>
              <w:ind w:left="80"/>
              <w:spacing w:after="0"/>
              <w:rPr>
                <w:sz w:val="20"/>
                <w:szCs w:val="20"/>
                <w:color w:val="auto"/>
              </w:rPr>
            </w:pPr>
            <w:r>
              <w:rPr>
                <w:rFonts w:ascii="Arial" w:cs="Arial" w:eastAsia="Arial" w:hAnsi="Arial"/>
                <w:sz w:val="60"/>
                <w:szCs w:val="60"/>
                <w:b w:val="1"/>
                <w:bCs w:val="1"/>
                <w:color w:val="00AE4F"/>
              </w:rPr>
              <w:t>1</w:t>
            </w: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60"/>
                <w:szCs w:val="60"/>
                <w:b w:val="1"/>
                <w:bCs w:val="1"/>
                <w:color w:val="00AE4F"/>
              </w:rPr>
              <w:t>2</w:t>
            </w:r>
          </w:p>
        </w:tc>
      </w:tr>
      <w:tr>
        <w:trPr>
          <w:trHeight w:val="274"/>
        </w:trPr>
        <w:tc>
          <w:tcPr>
            <w:tcW w:w="2900" w:type="dxa"/>
            <w:vAlign w:val="bottom"/>
            <w:shd w:val="clear" w:color="auto" w:fill="EAEAE9"/>
          </w:tcPr>
          <w:p>
            <w:pPr>
              <w:ind w:left="80"/>
              <w:spacing w:after="0"/>
              <w:rPr>
                <w:sz w:val="20"/>
                <w:szCs w:val="20"/>
                <w:color w:val="auto"/>
              </w:rPr>
            </w:pPr>
            <w:r>
              <w:rPr>
                <w:rFonts w:ascii="Arial" w:cs="Arial" w:eastAsia="Arial" w:hAnsi="Arial"/>
                <w:sz w:val="20"/>
                <w:szCs w:val="20"/>
                <w:b w:val="1"/>
                <w:bCs w:val="1"/>
                <w:color w:val="auto"/>
              </w:rPr>
              <w:t>Process is Initiated</w:t>
            </w:r>
          </w:p>
        </w:tc>
        <w:tc>
          <w:tcPr>
            <w:tcW w:w="240" w:type="dxa"/>
            <w:vAlign w:val="bottom"/>
            <w:shd w:val="clear" w:color="auto" w:fill="EAEAE9"/>
          </w:tcPr>
          <w:p>
            <w:pPr>
              <w:spacing w:after="0"/>
              <w:rPr>
                <w:sz w:val="23"/>
                <w:szCs w:val="23"/>
                <w:color w:val="auto"/>
              </w:rPr>
            </w:pPr>
          </w:p>
        </w:tc>
        <w:tc>
          <w:tcPr>
            <w:tcW w:w="7000" w:type="dxa"/>
            <w:vAlign w:val="bottom"/>
            <w:shd w:val="clear" w:color="auto" w:fill="EAEAE9"/>
          </w:tcPr>
          <w:p>
            <w:pPr>
              <w:spacing w:after="0"/>
              <w:rPr>
                <w:sz w:val="20"/>
                <w:szCs w:val="20"/>
                <w:color w:val="auto"/>
              </w:rPr>
            </w:pPr>
            <w:r>
              <w:rPr>
                <w:rFonts w:ascii="Arial" w:cs="Arial" w:eastAsia="Arial" w:hAnsi="Arial"/>
                <w:sz w:val="20"/>
                <w:szCs w:val="20"/>
                <w:b w:val="1"/>
                <w:bCs w:val="1"/>
                <w:color w:val="auto"/>
              </w:rPr>
              <w:t>Evaluation</w:t>
            </w:r>
          </w:p>
        </w:tc>
      </w:tr>
      <w:tr>
        <w:trPr>
          <w:trHeight w:val="360"/>
        </w:trPr>
        <w:tc>
          <w:tcPr>
            <w:tcW w:w="2900" w:type="dxa"/>
            <w:vAlign w:val="bottom"/>
            <w:shd w:val="clear" w:color="auto" w:fill="EAEAE9"/>
          </w:tcPr>
          <w:p>
            <w:pPr>
              <w:ind w:left="80"/>
              <w:spacing w:after="0"/>
              <w:rPr>
                <w:sz w:val="20"/>
                <w:szCs w:val="20"/>
                <w:color w:val="auto"/>
              </w:rPr>
            </w:pPr>
            <w:r>
              <w:rPr>
                <w:rFonts w:ascii="Arial" w:cs="Arial" w:eastAsia="Arial" w:hAnsi="Arial"/>
                <w:sz w:val="15"/>
                <w:szCs w:val="15"/>
                <w:color w:val="auto"/>
              </w:rPr>
              <w:t>Committee Chair initiates annual</w:t>
            </w: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15"/>
                <w:szCs w:val="15"/>
                <w:color w:val="auto"/>
              </w:rPr>
              <w:t>Each director completes an online questionnaire, as distributed by the external advisor, that solicits their</w:t>
            </w:r>
          </w:p>
        </w:tc>
      </w:tr>
      <w:tr>
        <w:trPr>
          <w:trHeight w:val="174"/>
        </w:trPr>
        <w:tc>
          <w:tcPr>
            <w:tcW w:w="2900" w:type="dxa"/>
            <w:vAlign w:val="bottom"/>
            <w:shd w:val="clear" w:color="auto" w:fill="EAEAE9"/>
          </w:tcPr>
          <w:p>
            <w:pPr>
              <w:ind w:left="80"/>
              <w:spacing w:after="0"/>
              <w:rPr>
                <w:sz w:val="20"/>
                <w:szCs w:val="20"/>
                <w:color w:val="auto"/>
              </w:rPr>
            </w:pPr>
            <w:r>
              <w:rPr>
                <w:rFonts w:ascii="Arial" w:cs="Arial" w:eastAsia="Arial" w:hAnsi="Arial"/>
                <w:sz w:val="15"/>
                <w:szCs w:val="15"/>
                <w:color w:val="auto"/>
              </w:rPr>
              <w:t>evaluation process with the help of</w:t>
            </w: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15"/>
                <w:szCs w:val="15"/>
                <w:color w:val="auto"/>
              </w:rPr>
              <w:t>opinions regarding the effectiveness of the Board and each committee on which they serve. The external</w:t>
            </w:r>
          </w:p>
        </w:tc>
      </w:tr>
      <w:tr>
        <w:trPr>
          <w:trHeight w:val="174"/>
        </w:trPr>
        <w:tc>
          <w:tcPr>
            <w:tcW w:w="2900" w:type="dxa"/>
            <w:vAlign w:val="bottom"/>
            <w:shd w:val="clear" w:color="auto" w:fill="EAEAE9"/>
          </w:tcPr>
          <w:p>
            <w:pPr>
              <w:ind w:left="80"/>
              <w:spacing w:after="0"/>
              <w:rPr>
                <w:sz w:val="20"/>
                <w:szCs w:val="20"/>
                <w:color w:val="auto"/>
              </w:rPr>
            </w:pPr>
            <w:r>
              <w:rPr>
                <w:rFonts w:ascii="Arial" w:cs="Arial" w:eastAsia="Arial" w:hAnsi="Arial"/>
                <w:sz w:val="15"/>
                <w:szCs w:val="15"/>
                <w:color w:val="auto"/>
              </w:rPr>
              <w:t>independent external advisor and the</w:t>
            </w: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15"/>
                <w:szCs w:val="15"/>
                <w:color w:val="auto"/>
              </w:rPr>
              <w:t>advisor may have follow-up questions for a director, depending upon the responses provided in the</w:t>
            </w:r>
          </w:p>
        </w:tc>
      </w:tr>
      <w:tr>
        <w:trPr>
          <w:trHeight w:val="174"/>
        </w:trPr>
        <w:tc>
          <w:tcPr>
            <w:tcW w:w="2900" w:type="dxa"/>
            <w:vAlign w:val="bottom"/>
            <w:shd w:val="clear" w:color="auto" w:fill="EAEAE9"/>
          </w:tcPr>
          <w:p>
            <w:pPr>
              <w:ind w:left="80"/>
              <w:spacing w:after="0"/>
              <w:rPr>
                <w:sz w:val="20"/>
                <w:szCs w:val="20"/>
                <w:color w:val="auto"/>
              </w:rPr>
            </w:pPr>
            <w:r>
              <w:rPr>
                <w:rFonts w:ascii="Arial" w:cs="Arial" w:eastAsia="Arial" w:hAnsi="Arial"/>
                <w:sz w:val="15"/>
                <w:szCs w:val="15"/>
                <w:color w:val="auto"/>
              </w:rPr>
              <w:t>Corporate Secretary.</w:t>
            </w: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15"/>
                <w:szCs w:val="15"/>
                <w:color w:val="auto"/>
              </w:rPr>
              <w:t>questionnaire. The process for obtaining feedback on individual director performance occurs during candid</w:t>
            </w:r>
          </w:p>
        </w:tc>
      </w:tr>
      <w:tr>
        <w:trPr>
          <w:trHeight w:val="198"/>
        </w:trPr>
        <w:tc>
          <w:tcPr>
            <w:tcW w:w="2900" w:type="dxa"/>
            <w:vAlign w:val="bottom"/>
            <w:shd w:val="clear" w:color="auto" w:fill="EAEAE9"/>
          </w:tcPr>
          <w:p>
            <w:pPr>
              <w:spacing w:after="0"/>
              <w:rPr>
                <w:sz w:val="17"/>
                <w:szCs w:val="17"/>
                <w:color w:val="auto"/>
              </w:rPr>
            </w:pPr>
          </w:p>
        </w:tc>
        <w:tc>
          <w:tcPr>
            <w:tcW w:w="7240" w:type="dxa"/>
            <w:vAlign w:val="bottom"/>
            <w:gridSpan w:val="2"/>
            <w:shd w:val="clear" w:color="auto" w:fill="EAEAE9"/>
          </w:tcPr>
          <w:p>
            <w:pPr>
              <w:ind w:left="140"/>
              <w:spacing w:after="0"/>
              <w:rPr>
                <w:sz w:val="20"/>
                <w:szCs w:val="20"/>
                <w:color w:val="auto"/>
              </w:rPr>
            </w:pPr>
            <w:r>
              <w:rPr>
                <w:rFonts w:ascii="Arial" w:cs="Arial" w:eastAsia="Arial" w:hAnsi="Arial"/>
                <w:sz w:val="15"/>
                <w:szCs w:val="15"/>
                <w:color w:val="auto"/>
              </w:rPr>
              <w:t>one-on-one interviews between each director and the external advisor, typically in alternating years.</w:t>
            </w:r>
          </w:p>
        </w:tc>
      </w:tr>
      <w:tr>
        <w:trPr>
          <w:trHeight w:val="174"/>
        </w:trPr>
        <w:tc>
          <w:tcPr>
            <w:tcW w:w="2900" w:type="dxa"/>
            <w:vAlign w:val="bottom"/>
            <w:shd w:val="clear" w:color="auto" w:fill="EAEAE9"/>
          </w:tcPr>
          <w:p>
            <w:pPr>
              <w:spacing w:after="0"/>
              <w:rPr>
                <w:sz w:val="15"/>
                <w:szCs w:val="15"/>
                <w:color w:val="auto"/>
              </w:rPr>
            </w:pPr>
          </w:p>
        </w:tc>
        <w:tc>
          <w:tcPr>
            <w:tcW w:w="240" w:type="dxa"/>
            <w:vAlign w:val="bottom"/>
          </w:tcPr>
          <w:p>
            <w:pPr>
              <w:spacing w:after="0"/>
              <w:rPr>
                <w:sz w:val="15"/>
                <w:szCs w:val="15"/>
                <w:color w:val="auto"/>
              </w:rPr>
            </w:pPr>
          </w:p>
        </w:tc>
        <w:tc>
          <w:tcPr>
            <w:tcW w:w="7000" w:type="dxa"/>
            <w:vAlign w:val="bottom"/>
            <w:shd w:val="clear" w:color="auto" w:fill="EAEAE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141605</wp:posOffset>
            </wp:positionV>
            <wp:extent cx="6426835" cy="1921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26835" cy="1921510"/>
                    </a:xfrm>
                    <a:prstGeom prst="rect">
                      <a:avLst/>
                    </a:prstGeom>
                    <a:noFill/>
                  </pic:spPr>
                </pic:pic>
              </a:graphicData>
            </a:graphic>
          </wp:anchor>
        </w:drawing>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690"/>
        </w:trPr>
        <w:tc>
          <w:tcPr>
            <w:tcW w:w="3440" w:type="dxa"/>
            <w:vAlign w:val="bottom"/>
            <w:shd w:val="clear" w:color="auto" w:fill="EAEAE9"/>
          </w:tcPr>
          <w:p>
            <w:pPr>
              <w:ind w:left="80"/>
              <w:spacing w:after="0"/>
              <w:rPr>
                <w:sz w:val="20"/>
                <w:szCs w:val="20"/>
                <w:color w:val="auto"/>
              </w:rPr>
            </w:pPr>
            <w:r>
              <w:rPr>
                <w:rFonts w:ascii="Arial" w:cs="Arial" w:eastAsia="Arial" w:hAnsi="Arial"/>
                <w:sz w:val="60"/>
                <w:szCs w:val="60"/>
                <w:b w:val="1"/>
                <w:bCs w:val="1"/>
                <w:color w:val="00AE4F"/>
              </w:rPr>
              <w:t>3</w:t>
            </w:r>
          </w:p>
        </w:tc>
        <w:tc>
          <w:tcPr>
            <w:tcW w:w="3180" w:type="dxa"/>
            <w:vAlign w:val="bottom"/>
            <w:shd w:val="clear" w:color="auto" w:fill="EAEAE9"/>
          </w:tcPr>
          <w:p>
            <w:pPr>
              <w:ind w:left="220"/>
              <w:spacing w:after="0"/>
              <w:rPr>
                <w:sz w:val="20"/>
                <w:szCs w:val="20"/>
                <w:color w:val="auto"/>
              </w:rPr>
            </w:pPr>
            <w:r>
              <w:rPr>
                <w:rFonts w:ascii="Arial" w:cs="Arial" w:eastAsia="Arial" w:hAnsi="Arial"/>
                <w:sz w:val="60"/>
                <w:szCs w:val="60"/>
                <w:b w:val="1"/>
                <w:bCs w:val="1"/>
                <w:color w:val="00AE4F"/>
              </w:rPr>
              <w:t>4</w:t>
            </w:r>
          </w:p>
        </w:tc>
        <w:tc>
          <w:tcPr>
            <w:tcW w:w="3520" w:type="dxa"/>
            <w:vAlign w:val="bottom"/>
            <w:shd w:val="clear" w:color="auto" w:fill="EAEAE9"/>
          </w:tcPr>
          <w:p>
            <w:pPr>
              <w:ind w:left="160"/>
              <w:spacing w:after="0"/>
              <w:rPr>
                <w:sz w:val="20"/>
                <w:szCs w:val="20"/>
                <w:color w:val="auto"/>
              </w:rPr>
            </w:pPr>
            <w:r>
              <w:rPr>
                <w:rFonts w:ascii="Arial" w:cs="Arial" w:eastAsia="Arial" w:hAnsi="Arial"/>
                <w:sz w:val="60"/>
                <w:szCs w:val="60"/>
                <w:b w:val="1"/>
                <w:bCs w:val="1"/>
                <w:color w:val="00AE4F"/>
              </w:rPr>
              <w:t>5</w:t>
            </w:r>
          </w:p>
        </w:tc>
        <w:tc>
          <w:tcPr>
            <w:tcW w:w="0" w:type="dxa"/>
            <w:vAlign w:val="bottom"/>
          </w:tcPr>
          <w:p>
            <w:pPr>
              <w:spacing w:after="0"/>
              <w:rPr>
                <w:sz w:val="1"/>
                <w:szCs w:val="1"/>
                <w:color w:val="auto"/>
              </w:rPr>
            </w:pPr>
          </w:p>
        </w:tc>
      </w:tr>
      <w:tr>
        <w:trPr>
          <w:trHeight w:val="197"/>
        </w:trPr>
        <w:tc>
          <w:tcPr>
            <w:tcW w:w="3440" w:type="dxa"/>
            <w:vAlign w:val="bottom"/>
          </w:tcPr>
          <w:p>
            <w:pPr>
              <w:ind w:left="80"/>
              <w:spacing w:after="0" w:line="197" w:lineRule="exact"/>
              <w:rPr>
                <w:sz w:val="20"/>
                <w:szCs w:val="20"/>
                <w:color w:val="auto"/>
              </w:rPr>
            </w:pPr>
            <w:r>
              <w:rPr>
                <w:rFonts w:ascii="Arial" w:cs="Arial" w:eastAsia="Arial" w:hAnsi="Arial"/>
                <w:sz w:val="20"/>
                <w:szCs w:val="20"/>
                <w:b w:val="1"/>
                <w:bCs w:val="1"/>
                <w:color w:val="auto"/>
              </w:rPr>
              <w:t>Feedback Analysis</w:t>
            </w:r>
          </w:p>
        </w:tc>
        <w:tc>
          <w:tcPr>
            <w:tcW w:w="3180" w:type="dxa"/>
            <w:vAlign w:val="bottom"/>
          </w:tcPr>
          <w:p>
            <w:pPr>
              <w:ind w:left="220"/>
              <w:spacing w:after="0" w:line="197" w:lineRule="exact"/>
              <w:rPr>
                <w:sz w:val="20"/>
                <w:szCs w:val="20"/>
                <w:color w:val="auto"/>
              </w:rPr>
            </w:pPr>
            <w:r>
              <w:rPr>
                <w:rFonts w:ascii="Arial" w:cs="Arial" w:eastAsia="Arial" w:hAnsi="Arial"/>
                <w:sz w:val="20"/>
                <w:szCs w:val="20"/>
                <w:b w:val="1"/>
                <w:bCs w:val="1"/>
                <w:color w:val="auto"/>
              </w:rPr>
              <w:t>Review and</w:t>
            </w:r>
          </w:p>
        </w:tc>
        <w:tc>
          <w:tcPr>
            <w:tcW w:w="3520" w:type="dxa"/>
            <w:vAlign w:val="bottom"/>
          </w:tcPr>
          <w:p>
            <w:pPr>
              <w:ind w:left="160"/>
              <w:spacing w:after="0" w:line="197" w:lineRule="exact"/>
              <w:rPr>
                <w:sz w:val="20"/>
                <w:szCs w:val="20"/>
                <w:color w:val="auto"/>
              </w:rPr>
            </w:pPr>
            <w:r>
              <w:rPr>
                <w:rFonts w:ascii="Arial" w:cs="Arial" w:eastAsia="Arial" w:hAnsi="Arial"/>
                <w:sz w:val="20"/>
                <w:szCs w:val="20"/>
                <w:b w:val="1"/>
                <w:bCs w:val="1"/>
                <w:color w:val="auto"/>
              </w:rPr>
              <w:t>Follow Up</w:t>
            </w:r>
          </w:p>
        </w:tc>
        <w:tc>
          <w:tcPr>
            <w:tcW w:w="0" w:type="dxa"/>
            <w:vAlign w:val="bottom"/>
          </w:tcPr>
          <w:p>
            <w:pPr>
              <w:spacing w:after="0"/>
              <w:rPr>
                <w:sz w:val="1"/>
                <w:szCs w:val="1"/>
                <w:color w:val="auto"/>
              </w:rPr>
            </w:pPr>
          </w:p>
        </w:tc>
      </w:tr>
      <w:tr>
        <w:trPr>
          <w:trHeight w:val="274"/>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The external advisor aggregates online</w:t>
            </w:r>
          </w:p>
        </w:tc>
        <w:tc>
          <w:tcPr>
            <w:tcW w:w="3180" w:type="dxa"/>
            <w:vAlign w:val="bottom"/>
          </w:tcPr>
          <w:p>
            <w:pPr>
              <w:ind w:left="220"/>
              <w:spacing w:after="0"/>
              <w:rPr>
                <w:sz w:val="20"/>
                <w:szCs w:val="20"/>
                <w:color w:val="auto"/>
              </w:rPr>
            </w:pPr>
            <w:r>
              <w:rPr>
                <w:rFonts w:ascii="Arial" w:cs="Arial" w:eastAsia="Arial" w:hAnsi="Arial"/>
                <w:sz w:val="20"/>
                <w:szCs w:val="20"/>
                <w:b w:val="1"/>
                <w:bCs w:val="1"/>
                <w:color w:val="auto"/>
              </w:rPr>
              <w:t>Present Findings</w:t>
            </w: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Based on evaluation findings, the Board and</w:t>
            </w:r>
          </w:p>
        </w:tc>
        <w:tc>
          <w:tcPr>
            <w:tcW w:w="0" w:type="dxa"/>
            <w:vAlign w:val="bottom"/>
          </w:tcPr>
          <w:p>
            <w:pPr>
              <w:spacing w:after="0"/>
              <w:rPr>
                <w:sz w:val="1"/>
                <w:szCs w:val="1"/>
                <w:color w:val="auto"/>
              </w:rPr>
            </w:pPr>
          </w:p>
        </w:tc>
      </w:tr>
      <w:tr>
        <w:trPr>
          <w:trHeight w:val="137"/>
        </w:trPr>
        <w:tc>
          <w:tcPr>
            <w:tcW w:w="3440" w:type="dxa"/>
            <w:vAlign w:val="bottom"/>
            <w:vMerge w:val="continue"/>
          </w:tcPr>
          <w:p>
            <w:pPr>
              <w:spacing w:after="0"/>
              <w:rPr>
                <w:sz w:val="11"/>
                <w:szCs w:val="11"/>
                <w:color w:val="auto"/>
              </w:rPr>
            </w:pPr>
          </w:p>
        </w:tc>
        <w:tc>
          <w:tcPr>
            <w:tcW w:w="318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80"/>
              <w:spacing w:after="0"/>
              <w:rPr>
                <w:sz w:val="20"/>
                <w:szCs w:val="20"/>
                <w:color w:val="auto"/>
              </w:rPr>
            </w:pPr>
            <w:r>
              <w:rPr>
                <w:rFonts w:ascii="Arial" w:cs="Arial" w:eastAsia="Arial" w:hAnsi="Arial"/>
                <w:sz w:val="15"/>
                <w:szCs w:val="15"/>
                <w:color w:val="auto"/>
              </w:rPr>
              <w:t>evaluation results and comments from any oral</w:t>
            </w: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The Corporate Governance and</w:t>
            </w:r>
          </w:p>
        </w:tc>
        <w:tc>
          <w:tcPr>
            <w:tcW w:w="3520" w:type="dxa"/>
            <w:vAlign w:val="bottom"/>
          </w:tcPr>
          <w:p>
            <w:pPr>
              <w:ind w:left="160"/>
              <w:spacing w:after="0"/>
              <w:rPr>
                <w:sz w:val="20"/>
                <w:szCs w:val="20"/>
                <w:color w:val="auto"/>
              </w:rPr>
            </w:pPr>
            <w:r>
              <w:rPr>
                <w:rFonts w:ascii="Arial" w:cs="Arial" w:eastAsia="Arial" w:hAnsi="Arial"/>
                <w:sz w:val="15"/>
                <w:szCs w:val="15"/>
                <w:color w:val="auto"/>
              </w:rPr>
              <w:t>each committee prepare action plans that</w:t>
            </w: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interviews with directors regarding the full</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prioritize areas that require additional</w:t>
            </w:r>
          </w:p>
        </w:tc>
        <w:tc>
          <w:tcPr>
            <w:tcW w:w="0" w:type="dxa"/>
            <w:vAlign w:val="bottom"/>
          </w:tcPr>
          <w:p>
            <w:pPr>
              <w:spacing w:after="0"/>
              <w:rPr>
                <w:sz w:val="1"/>
                <w:szCs w:val="1"/>
                <w:color w:val="auto"/>
              </w:rPr>
            </w:pPr>
          </w:p>
        </w:tc>
      </w:tr>
      <w:tr>
        <w:trPr>
          <w:trHeight w:val="124"/>
        </w:trPr>
        <w:tc>
          <w:tcPr>
            <w:tcW w:w="3440" w:type="dxa"/>
            <w:vAlign w:val="bottom"/>
            <w:vMerge w:val="continue"/>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Nominating Committee Chair presents the</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Board, any committee on which the director</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consideration. These areas are addressed at</w:t>
            </w:r>
          </w:p>
        </w:tc>
        <w:tc>
          <w:tcPr>
            <w:tcW w:w="0" w:type="dxa"/>
            <w:vAlign w:val="bottom"/>
          </w:tcPr>
          <w:p>
            <w:pPr>
              <w:spacing w:after="0"/>
              <w:rPr>
                <w:sz w:val="1"/>
                <w:szCs w:val="1"/>
                <w:color w:val="auto"/>
              </w:rPr>
            </w:pPr>
          </w:p>
        </w:tc>
      </w:tr>
      <w:tr>
        <w:trPr>
          <w:trHeight w:val="124"/>
        </w:trPr>
        <w:tc>
          <w:tcPr>
            <w:tcW w:w="3440" w:type="dxa"/>
            <w:vAlign w:val="bottom"/>
            <w:vMerge w:val="continue"/>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findings to the full Board and each specific</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serves, and peer feedback. Results are</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subsequent Board and committee meetings and</w:t>
            </w:r>
          </w:p>
        </w:tc>
        <w:tc>
          <w:tcPr>
            <w:tcW w:w="0" w:type="dxa"/>
            <w:vAlign w:val="bottom"/>
          </w:tcPr>
          <w:p>
            <w:pPr>
              <w:spacing w:after="0"/>
              <w:rPr>
                <w:sz w:val="1"/>
                <w:szCs w:val="1"/>
                <w:color w:val="auto"/>
              </w:rPr>
            </w:pPr>
          </w:p>
        </w:tc>
      </w:tr>
      <w:tr>
        <w:trPr>
          <w:trHeight w:val="124"/>
        </w:trPr>
        <w:tc>
          <w:tcPr>
            <w:tcW w:w="3440" w:type="dxa"/>
            <w:vAlign w:val="bottom"/>
            <w:vMerge w:val="continue"/>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committee. Separately, each committee</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compiled on an unattributed basis and analyzed</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reported back to the full Board where</w:t>
            </w:r>
          </w:p>
        </w:tc>
        <w:tc>
          <w:tcPr>
            <w:tcW w:w="0" w:type="dxa"/>
            <w:vAlign w:val="bottom"/>
          </w:tcPr>
          <w:p>
            <w:pPr>
              <w:spacing w:after="0"/>
              <w:rPr>
                <w:sz w:val="1"/>
                <w:szCs w:val="1"/>
                <w:color w:val="auto"/>
              </w:rPr>
            </w:pPr>
          </w:p>
        </w:tc>
      </w:tr>
      <w:tr>
        <w:trPr>
          <w:trHeight w:val="124"/>
        </w:trPr>
        <w:tc>
          <w:tcPr>
            <w:tcW w:w="3440" w:type="dxa"/>
            <w:vAlign w:val="bottom"/>
            <w:vMerge w:val="continue"/>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chair leads a discussion with their</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for any trends, including areas of strength or</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appropriate. The Board and committees regularly</w:t>
            </w:r>
          </w:p>
        </w:tc>
        <w:tc>
          <w:tcPr>
            <w:tcW w:w="0" w:type="dxa"/>
            <w:vAlign w:val="bottom"/>
          </w:tcPr>
          <w:p>
            <w:pPr>
              <w:spacing w:after="0"/>
              <w:rPr>
                <w:sz w:val="1"/>
                <w:szCs w:val="1"/>
                <w:color w:val="auto"/>
              </w:rPr>
            </w:pPr>
          </w:p>
        </w:tc>
      </w:tr>
      <w:tr>
        <w:trPr>
          <w:trHeight w:val="124"/>
        </w:trPr>
        <w:tc>
          <w:tcPr>
            <w:tcW w:w="3440" w:type="dxa"/>
            <w:vAlign w:val="bottom"/>
            <w:vMerge w:val="continue"/>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5"/>
                <w:szCs w:val="15"/>
                <w:color w:val="auto"/>
              </w:rPr>
              <w:t>respective committees on the applicable</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440" w:type="dxa"/>
            <w:vAlign w:val="bottom"/>
            <w:vMerge w:val="restart"/>
          </w:tcPr>
          <w:p>
            <w:pPr>
              <w:ind w:left="80"/>
              <w:spacing w:after="0"/>
              <w:rPr>
                <w:sz w:val="20"/>
                <w:szCs w:val="20"/>
                <w:color w:val="auto"/>
              </w:rPr>
            </w:pPr>
            <w:r>
              <w:rPr>
                <w:rFonts w:ascii="Arial" w:cs="Arial" w:eastAsia="Arial" w:hAnsi="Arial"/>
                <w:sz w:val="15"/>
                <w:szCs w:val="15"/>
                <w:color w:val="auto"/>
              </w:rPr>
              <w:t>those that need improvement. The external</w:t>
            </w:r>
          </w:p>
        </w:tc>
        <w:tc>
          <w:tcPr>
            <w:tcW w:w="3180" w:type="dxa"/>
            <w:vAlign w:val="bottom"/>
            <w:vMerge w:val="continue"/>
          </w:tcPr>
          <w:p>
            <w:pPr>
              <w:spacing w:after="0"/>
              <w:rPr>
                <w:sz w:val="4"/>
                <w:szCs w:val="4"/>
                <w:color w:val="auto"/>
              </w:rPr>
            </w:pPr>
          </w:p>
        </w:tc>
        <w:tc>
          <w:tcPr>
            <w:tcW w:w="3520" w:type="dxa"/>
            <w:vAlign w:val="bottom"/>
            <w:vMerge w:val="restart"/>
          </w:tcPr>
          <w:p>
            <w:pPr>
              <w:ind w:left="160"/>
              <w:spacing w:after="0"/>
              <w:rPr>
                <w:sz w:val="20"/>
                <w:szCs w:val="20"/>
                <w:color w:val="auto"/>
              </w:rPr>
            </w:pPr>
            <w:r>
              <w:rPr>
                <w:rFonts w:ascii="Arial" w:cs="Arial" w:eastAsia="Arial" w:hAnsi="Arial"/>
                <w:sz w:val="15"/>
                <w:szCs w:val="15"/>
                <w:color w:val="auto"/>
              </w:rPr>
              <w:t>monitor the progress of any agreed-upon actions.</w:t>
            </w:r>
          </w:p>
        </w:tc>
        <w:tc>
          <w:tcPr>
            <w:tcW w:w="0" w:type="dxa"/>
            <w:vAlign w:val="bottom"/>
          </w:tcPr>
          <w:p>
            <w:pPr>
              <w:spacing w:after="0"/>
              <w:rPr>
                <w:sz w:val="1"/>
                <w:szCs w:val="1"/>
                <w:color w:val="auto"/>
              </w:rPr>
            </w:pPr>
          </w:p>
        </w:tc>
      </w:tr>
      <w:tr>
        <w:trPr>
          <w:trHeight w:val="147"/>
        </w:trPr>
        <w:tc>
          <w:tcPr>
            <w:tcW w:w="3440" w:type="dxa"/>
            <w:vAlign w:val="bottom"/>
            <w:vMerge w:val="continue"/>
          </w:tcPr>
          <w:p>
            <w:pPr>
              <w:spacing w:after="0"/>
              <w:rPr>
                <w:sz w:val="12"/>
                <w:szCs w:val="12"/>
                <w:color w:val="auto"/>
              </w:rPr>
            </w:pPr>
          </w:p>
        </w:tc>
        <w:tc>
          <w:tcPr>
            <w:tcW w:w="3180" w:type="dxa"/>
            <w:vAlign w:val="bottom"/>
          </w:tcPr>
          <w:p>
            <w:pPr>
              <w:ind w:left="220"/>
              <w:spacing w:after="0" w:line="138" w:lineRule="exact"/>
              <w:rPr>
                <w:sz w:val="20"/>
                <w:szCs w:val="20"/>
                <w:color w:val="auto"/>
              </w:rPr>
            </w:pPr>
            <w:r>
              <w:rPr>
                <w:rFonts w:ascii="Arial" w:cs="Arial" w:eastAsia="Arial" w:hAnsi="Arial"/>
                <w:sz w:val="15"/>
                <w:szCs w:val="15"/>
                <w:color w:val="auto"/>
              </w:rPr>
              <w:t>committee evaluation results and reports</w:t>
            </w: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3340" w:type="dxa"/>
            <w:vAlign w:val="bottom"/>
          </w:tcPr>
          <w:p>
            <w:pPr>
              <w:spacing w:after="0" w:line="160" w:lineRule="exact"/>
              <w:rPr>
                <w:sz w:val="20"/>
                <w:szCs w:val="20"/>
                <w:color w:val="auto"/>
              </w:rPr>
            </w:pPr>
            <w:r>
              <w:rPr>
                <w:rFonts w:ascii="Arial" w:cs="Arial" w:eastAsia="Arial" w:hAnsi="Arial"/>
                <w:sz w:val="15"/>
                <w:szCs w:val="15"/>
                <w:color w:val="auto"/>
              </w:rPr>
              <w:t>advisor shares results with the Corporate</w:t>
            </w:r>
          </w:p>
        </w:tc>
        <w:tc>
          <w:tcPr>
            <w:tcW w:w="6720" w:type="dxa"/>
            <w:vAlign w:val="bottom"/>
            <w:gridSpan w:val="2"/>
            <w:vMerge w:val="restart"/>
          </w:tcPr>
          <w:p>
            <w:pPr>
              <w:ind w:left="240"/>
              <w:spacing w:after="0"/>
              <w:rPr>
                <w:sz w:val="20"/>
                <w:szCs w:val="20"/>
                <w:color w:val="auto"/>
              </w:rPr>
            </w:pPr>
            <w:r>
              <w:rPr>
                <w:rFonts w:ascii="Arial" w:cs="Arial" w:eastAsia="Arial" w:hAnsi="Arial"/>
                <w:sz w:val="15"/>
                <w:szCs w:val="15"/>
                <w:color w:val="auto"/>
              </w:rPr>
              <w:t>on their discussion to the Board.</w:t>
            </w:r>
          </w:p>
        </w:tc>
        <w:tc>
          <w:tcPr>
            <w:tcW w:w="0" w:type="dxa"/>
            <w:vAlign w:val="bottom"/>
          </w:tcPr>
          <w:p>
            <w:pPr>
              <w:spacing w:after="0"/>
              <w:rPr>
                <w:sz w:val="1"/>
                <w:szCs w:val="1"/>
                <w:color w:val="auto"/>
              </w:rPr>
            </w:pPr>
          </w:p>
        </w:tc>
      </w:tr>
      <w:tr>
        <w:trPr>
          <w:trHeight w:val="73"/>
        </w:trPr>
        <w:tc>
          <w:tcPr>
            <w:tcW w:w="3340" w:type="dxa"/>
            <w:vAlign w:val="bottom"/>
            <w:vMerge w:val="restart"/>
          </w:tcPr>
          <w:p>
            <w:pPr>
              <w:spacing w:after="0"/>
              <w:rPr>
                <w:sz w:val="20"/>
                <w:szCs w:val="20"/>
                <w:color w:val="auto"/>
              </w:rPr>
            </w:pPr>
            <w:r>
              <w:rPr>
                <w:rFonts w:ascii="Arial" w:cs="Arial" w:eastAsia="Arial" w:hAnsi="Arial"/>
                <w:sz w:val="15"/>
                <w:szCs w:val="15"/>
                <w:color w:val="auto"/>
              </w:rPr>
              <w:t>Governance and Nominating Committee Chair.</w:t>
            </w:r>
          </w:p>
        </w:tc>
        <w:tc>
          <w:tcPr>
            <w:tcW w:w="6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3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380" w:type="dxa"/>
            <w:vAlign w:val="bottom"/>
            <w:shd w:val="clear" w:color="auto" w:fill="EAEAE9"/>
          </w:tcPr>
          <w:p>
            <w:pPr>
              <w:spacing w:after="0"/>
              <w:rPr>
                <w:sz w:val="13"/>
                <w:szCs w:val="13"/>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60" w:right="160"/>
        <w:spacing w:after="0" w:line="258" w:lineRule="auto"/>
        <w:rPr>
          <w:sz w:val="20"/>
          <w:szCs w:val="20"/>
          <w:color w:val="auto"/>
        </w:rPr>
      </w:pPr>
      <w:r>
        <w:rPr>
          <w:rFonts w:ascii="Arial" w:cs="Arial" w:eastAsia="Arial" w:hAnsi="Arial"/>
          <w:sz w:val="15"/>
          <w:szCs w:val="15"/>
          <w:color w:val="auto"/>
        </w:rPr>
        <w:t>In addition to the annual formal evaluation, our Chairman, CEO, Corporate Secretary, and Committee Chairs routinely communicate with directors to obtain real-time feedback. The Board believes that this continuous feedback, along with the formal evaluation process, contributes to its overall strength and ongoing effectiveness.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actions have been taken by Kelly’s Board and its committees in response to the evaluation process over the years:</w:t>
      </w:r>
    </w:p>
    <w:p>
      <w:pPr>
        <w:spacing w:after="0" w:line="8" w:lineRule="exact"/>
        <w:rPr>
          <w:sz w:val="20"/>
          <w:szCs w:val="20"/>
          <w:color w:val="auto"/>
        </w:rPr>
      </w:pPr>
    </w:p>
    <w:p>
      <w:pPr>
        <w:ind w:left="760" w:hanging="196"/>
        <w:spacing w:after="0"/>
        <w:tabs>
          <w:tab w:leader="none" w:pos="760" w:val="left"/>
        </w:tabs>
        <w:numPr>
          <w:ilvl w:val="0"/>
          <w:numId w:val="7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management with varying degrees of seniority present to the Board and its committees;</w:t>
      </w:r>
    </w:p>
    <w:p>
      <w:pPr>
        <w:spacing w:after="0" w:line="65" w:lineRule="exact"/>
        <w:rPr>
          <w:rFonts w:ascii="Times New Roman" w:cs="Times New Roman" w:eastAsia="Times New Roman" w:hAnsi="Times New Roman"/>
          <w:sz w:val="23"/>
          <w:szCs w:val="23"/>
          <w:color w:val="00AE4F"/>
          <w:vertAlign w:val="superscript"/>
        </w:rPr>
      </w:pPr>
    </w:p>
    <w:p>
      <w:pPr>
        <w:ind w:left="760" w:right="860" w:hanging="196"/>
        <w:spacing w:after="0" w:line="195" w:lineRule="auto"/>
        <w:tabs>
          <w:tab w:leader="none" w:pos="760" w:val="left"/>
        </w:tabs>
        <w:numPr>
          <w:ilvl w:val="0"/>
          <w:numId w:val="7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director education and presentations on emerging risk areas including artificial intelligence, corporate governance, industry disruptors, and competitors;</w:t>
      </w:r>
    </w:p>
    <w:p>
      <w:pPr>
        <w:spacing w:after="0" w:line="1" w:lineRule="exact"/>
        <w:rPr>
          <w:rFonts w:ascii="Times New Roman" w:cs="Times New Roman" w:eastAsia="Times New Roman" w:hAnsi="Times New Roman"/>
          <w:sz w:val="23"/>
          <w:szCs w:val="23"/>
          <w:color w:val="00AE4F"/>
          <w:vertAlign w:val="superscript"/>
        </w:rPr>
      </w:pPr>
    </w:p>
    <w:p>
      <w:pPr>
        <w:ind w:left="760" w:hanging="196"/>
        <w:spacing w:after="0" w:line="225" w:lineRule="auto"/>
        <w:tabs>
          <w:tab w:leader="none" w:pos="760" w:val="left"/>
        </w:tabs>
        <w:numPr>
          <w:ilvl w:val="0"/>
          <w:numId w:val="7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format of Board meetings was enhanced to allow more time for formal and informal discussions among independent directors;</w:t>
      </w:r>
    </w:p>
    <w:p>
      <w:pPr>
        <w:spacing w:after="0" w:line="65"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70"/>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increased opportunities for informal meetings between directors and key executives;</w:t>
      </w:r>
    </w:p>
    <w:p>
      <w:pPr>
        <w:spacing w:after="0" w:line="65" w:lineRule="exact"/>
        <w:rPr>
          <w:rFonts w:ascii="Times New Roman" w:cs="Times New Roman" w:eastAsia="Times New Roman" w:hAnsi="Times New Roman"/>
          <w:sz w:val="21"/>
          <w:szCs w:val="21"/>
          <w:color w:val="00AE4F"/>
          <w:vertAlign w:val="superscript"/>
        </w:rPr>
      </w:pPr>
    </w:p>
    <w:p>
      <w:pPr>
        <w:ind w:left="760" w:hanging="196"/>
        <w:spacing w:after="0" w:line="181" w:lineRule="auto"/>
        <w:tabs>
          <w:tab w:leader="none" w:pos="760" w:val="left"/>
        </w:tabs>
        <w:numPr>
          <w:ilvl w:val="0"/>
          <w:numId w:val="70"/>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increased time for informal director-only gatherings; and</w:t>
      </w:r>
    </w:p>
    <w:p>
      <w:pPr>
        <w:spacing w:after="0" w:line="65" w:lineRule="exact"/>
        <w:rPr>
          <w:rFonts w:ascii="Times New Roman" w:cs="Times New Roman" w:eastAsia="Times New Roman" w:hAnsi="Times New Roman"/>
          <w:sz w:val="21"/>
          <w:szCs w:val="21"/>
          <w:color w:val="00AE4F"/>
          <w:vertAlign w:val="superscript"/>
        </w:rPr>
      </w:pPr>
    </w:p>
    <w:p>
      <w:pPr>
        <w:ind w:left="760" w:hanging="196"/>
        <w:spacing w:after="0" w:line="181" w:lineRule="auto"/>
        <w:tabs>
          <w:tab w:leader="none" w:pos="760" w:val="left"/>
        </w:tabs>
        <w:numPr>
          <w:ilvl w:val="0"/>
          <w:numId w:val="70"/>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Board members added expertise in areas critical to the Company’s business strategy and operations.</w:t>
      </w:r>
    </w:p>
    <w:p>
      <w:pPr>
        <w:spacing w:after="0" w:line="323" w:lineRule="exact"/>
        <w:rPr>
          <w:rFonts w:ascii="Times New Roman" w:cs="Times New Roman" w:eastAsia="Times New Roman" w:hAnsi="Times New Roman"/>
          <w:sz w:val="21"/>
          <w:szCs w:val="21"/>
          <w:color w:val="00AE4F"/>
          <w:vertAlign w:val="superscript"/>
        </w:rPr>
      </w:pPr>
    </w:p>
    <w:p>
      <w:pPr>
        <w:ind w:left="9360" w:hanging="244"/>
        <w:spacing w:after="0"/>
        <w:tabs>
          <w:tab w:leader="none" w:pos="9360" w:val="left"/>
        </w:tabs>
        <w:numPr>
          <w:ilvl w:val="1"/>
          <w:numId w:val="70"/>
        </w:numPr>
        <w:rPr>
          <w:rFonts w:ascii="Arial" w:cs="Arial" w:eastAsia="Arial" w:hAnsi="Arial"/>
          <w:sz w:val="19"/>
          <w:szCs w:val="19"/>
          <w:color w:val="auto"/>
        </w:rPr>
      </w:pPr>
      <w:r>
        <w:rPr>
          <w:rFonts w:ascii="Arial" w:cs="Arial" w:eastAsia="Arial" w:hAnsi="Arial"/>
          <w:sz w:val="1"/>
          <w:szCs w:val="1"/>
          <w:color w:val="auto"/>
        </w:rPr>
        <w:drawing>
          <wp:inline distT="0" distB="0" distL="0" distR="0">
            <wp:extent cx="377825" cy="17335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19"/>
          <w:szCs w:val="19"/>
          <w:color w:val="auto"/>
        </w:rPr>
        <w:t xml:space="preserve">     </w:t>
      </w:r>
      <w:r>
        <w:rPr>
          <w:rFonts w:ascii="Arial" w:cs="Arial" w:eastAsia="Arial" w:hAnsi="Arial"/>
          <w:sz w:val="38"/>
          <w:szCs w:val="38"/>
          <w:color w:val="auto"/>
          <w:vertAlign w:val="super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-260350</wp:posOffset>
            </wp:positionV>
            <wp:extent cx="7620" cy="212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Corporate Governance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Insider Trading Policy</w:t>
      </w:r>
    </w:p>
    <w:p>
      <w:pPr>
        <w:spacing w:after="0" w:line="69"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 to the Company’s Annual Report on Form 10-K.</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Code of Business Conduct and Ethics</w:t>
      </w:r>
    </w:p>
    <w:p>
      <w:pPr>
        <w:spacing w:after="0" w:line="69" w:lineRule="exact"/>
        <w:rPr>
          <w:sz w:val="20"/>
          <w:szCs w:val="20"/>
          <w:color w:val="auto"/>
        </w:rPr>
      </w:pPr>
    </w:p>
    <w:p>
      <w:pPr>
        <w:ind w:left="560" w:right="60"/>
        <w:spacing w:after="0" w:line="244" w:lineRule="auto"/>
        <w:rPr>
          <w:sz w:val="20"/>
          <w:szCs w:val="20"/>
          <w:color w:val="auto"/>
        </w:rPr>
      </w:pPr>
      <w:r>
        <w:rPr>
          <w:rFonts w:ascii="Arial" w:cs="Arial" w:eastAsia="Arial" w:hAnsi="Arial"/>
          <w:sz w:val="15"/>
          <w:szCs w:val="15"/>
          <w:color w:val="auto"/>
        </w:rPr>
        <w:t>The Board is committed to the highest legal and ethical standards and adopted a Code of Business Conduct and Ethics (the “Code of Conduct”) that applies to all directors, officers, and employees. Each year the Company performs a thorough assessment and benchmarking of the Code of Conduct to ensure regulatory compliance and cultural alignment. The Code of Conduct forms the foundation for compliance with corporate policies and procedures and helps individuals recognize and deal with ethical issues, deter wrongdoing, provide mechanisms to report any concerns, promote honest and ethical conduct, provide full, fair, and timely disclosure, comply with applicable law and regulations, and help foster a culture of honesty and accountability. The Code of Conduct addresses conflicts of interest; anti-bribery/anti-corruption; trade compliance; insider trading; corporate opportunities; confidentiality and privacy; external communications; financial reporting and record-keeping; protection and proper use of assets; fair dealing; contract management; acceptable behavior in the workplace; global culture of belonging; corporate sustainability; compliance with laws, rules and regulations; risk tolerance; anti-human trafficking and slavery; health &amp; safety and workplace violence; seeking advice and reporting concerns; outside activities; political contributions; public company reporting requirements; and other policies. The Code of Conduct includes an enforcement mechanism. Each of the Company’s Board members, officers, and employees is required to acknowledge their acceptance of the Code of Conduct.</w:t>
      </w:r>
    </w:p>
    <w:p>
      <w:pPr>
        <w:spacing w:after="0" w:line="56" w:lineRule="exact"/>
        <w:rPr>
          <w:sz w:val="20"/>
          <w:szCs w:val="20"/>
          <w:color w:val="auto"/>
        </w:rPr>
      </w:pPr>
    </w:p>
    <w:p>
      <w:pPr>
        <w:ind w:left="560"/>
        <w:spacing w:after="0" w:line="252" w:lineRule="auto"/>
        <w:rPr>
          <w:sz w:val="20"/>
          <w:szCs w:val="20"/>
          <w:color w:val="auto"/>
        </w:rPr>
      </w:pPr>
      <w:r>
        <w:rPr>
          <w:rFonts w:ascii="Arial" w:cs="Arial" w:eastAsia="Arial" w:hAnsi="Arial"/>
          <w:sz w:val="15"/>
          <w:szCs w:val="15"/>
          <w:color w:val="auto"/>
        </w:rPr>
        <w:t xml:space="preserve">The full text of the Code of Conduct is on the Company’s website at </w:t>
      </w:r>
      <w:r>
        <w:rPr>
          <w:rFonts w:ascii="Arial" w:cs="Arial" w:eastAsia="Arial" w:hAnsi="Arial"/>
          <w:sz w:val="15"/>
          <w:szCs w:val="15"/>
          <w:i w:val="1"/>
          <w:iCs w:val="1"/>
          <w:color w:val="auto"/>
        </w:rPr>
        <w:t>kellyservices.com</w:t>
      </w:r>
      <w:r>
        <w:rPr>
          <w:rFonts w:ascii="Arial" w:cs="Arial" w:eastAsia="Arial" w:hAnsi="Arial"/>
          <w:sz w:val="15"/>
          <w:szCs w:val="15"/>
          <w:color w:val="auto"/>
        </w:rPr>
        <w:t>. This information is also available to any shareholder who requests it from the Company’s Investor Relations department. The Company will disclose future amendments to the Code of Conduct and material waivers of its provisions for its directors and executive officers on its website and/or by filing a current report on Form 8-K within four business days following the date of amendment or waiver, or such earlier period as may be prescribed by Nasdaq or the SEC.</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Related Person Transactions and Certain Relationships</w:t>
      </w:r>
    </w:p>
    <w:p>
      <w:pPr>
        <w:spacing w:after="0" w:line="69" w:lineRule="exact"/>
        <w:rPr>
          <w:sz w:val="20"/>
          <w:szCs w:val="20"/>
          <w:color w:val="auto"/>
        </w:rPr>
      </w:pPr>
    </w:p>
    <w:p>
      <w:pPr>
        <w:ind w:left="560" w:right="80"/>
        <w:spacing w:after="0" w:line="246" w:lineRule="auto"/>
        <w:rPr>
          <w:sz w:val="20"/>
          <w:szCs w:val="20"/>
          <w:color w:val="auto"/>
        </w:rPr>
      </w:pPr>
      <w:r>
        <w:rPr>
          <w:rFonts w:ascii="Arial" w:cs="Arial" w:eastAsia="Arial" w:hAnsi="Arial"/>
          <w:sz w:val="15"/>
          <w:szCs w:val="15"/>
          <w:color w:val="auto"/>
        </w:rPr>
        <w:t>Pursuant to the Company’s Code of Conduct, any situation that involves, or may reasonably be expected to involve, a conflict of interest with the Company must be disclosed immediately to the Vice President of Internal Audit or the General Counsel. In addition, directors, executives, and other senior officers must complete a quarterly questionnaire that solicits information regarding any transactions or relationships between themselves, or their immediate family members, and the Company of the types described in Item 404(a) of SEC Regulation S-K (“Related Party Transactions”). Directors, executives, and senior officers must seek a determination and obtain prior authorization or approval of any potential conflict of interest (including any Related Party Transaction) from the independent Audit Committee. The Audit Committee, according to its charter, is tasked, among other things, with the responsibility to review Related Party Transactions and other potential conflicts of interest involving directors and executive and senior officers. The Company maintains a formal written policy addressing the reporting, review, and approval or ratification of transactions with related persons.</w:t>
      </w:r>
    </w:p>
    <w:p>
      <w:pPr>
        <w:spacing w:after="0" w:line="74" w:lineRule="exact"/>
        <w:rPr>
          <w:sz w:val="20"/>
          <w:szCs w:val="20"/>
          <w:color w:val="auto"/>
        </w:rPr>
      </w:pPr>
    </w:p>
    <w:p>
      <w:pPr>
        <w:ind w:left="560"/>
        <w:spacing w:after="0" w:line="269" w:lineRule="auto"/>
        <w:rPr>
          <w:sz w:val="20"/>
          <w:szCs w:val="20"/>
          <w:color w:val="auto"/>
        </w:rPr>
      </w:pPr>
      <w:r>
        <w:rPr>
          <w:rFonts w:ascii="Arial" w:cs="Arial" w:eastAsia="Arial" w:hAnsi="Arial"/>
          <w:sz w:val="14"/>
          <w:szCs w:val="14"/>
          <w:i w:val="1"/>
          <w:iCs w:val="1"/>
          <w:color w:val="auto"/>
        </w:rPr>
        <w:t xml:space="preserve">Arrangements with Controlling Stockholder. </w:t>
      </w:r>
      <w:r>
        <w:rPr>
          <w:rFonts w:ascii="Arial" w:cs="Arial" w:eastAsia="Arial" w:hAnsi="Arial"/>
          <w:sz w:val="14"/>
          <w:szCs w:val="14"/>
          <w:color w:val="auto"/>
        </w:rPr>
        <w:t>On January 30, 2026, in connection with Hunt becoming the Company’s controlling stockholder,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entered into a letter agreement with Hunt providing for certain governance-related arrangements (including the right to designate four (4) members of the Board of Directors, James Christopher Hunt as Chairman of the Board, Angela Brock-Kyle, Edward Escudero, and James K. Hunt, Lead Director, and the inclusion in this Proxy Statement of Proposal 3, among other things. A copy of the letter agreement is filed as an exhibit to the Company’s Current Report on Form 8-K filed on January 30, 2026. In connection with the same transaction, the Company entered into a registration rights agreement with Hunt, providing Hunt with customary demand and piggyback registration rights with respect to shares of the Company’s common stock held by Hunt.</w:t>
      </w:r>
    </w:p>
    <w:p>
      <w:pPr>
        <w:spacing w:after="0" w:line="2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40 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Director Compensation</w:t>
      </w:r>
    </w:p>
    <w:p>
      <w:pPr>
        <w:spacing w:after="0" w:line="314" w:lineRule="exact"/>
        <w:rPr>
          <w:sz w:val="20"/>
          <w:szCs w:val="20"/>
          <w:color w:val="auto"/>
        </w:rPr>
      </w:pPr>
    </w:p>
    <w:p>
      <w:pPr>
        <w:ind w:left="560" w:right="60"/>
        <w:spacing w:after="0" w:line="250" w:lineRule="auto"/>
        <w:rPr>
          <w:sz w:val="20"/>
          <w:szCs w:val="20"/>
          <w:color w:val="auto"/>
        </w:rPr>
      </w:pPr>
      <w:r>
        <w:rPr>
          <w:rFonts w:ascii="Arial" w:cs="Arial" w:eastAsia="Arial" w:hAnsi="Arial"/>
          <w:sz w:val="15"/>
          <w:szCs w:val="15"/>
          <w:color w:val="auto"/>
        </w:rPr>
        <w:t>Our approach to director compensation is to appropriately compensate our non-employee directors for the time, expertise, and effort required to serve as a director of a large, complex company and to align the interests of directors with those of shareholders. Compensation levels for our non-employee directors are periodically reviewed for market competitiveness. Non-employee directors receive compensation payments after election by shareholders at the Annual Meeting. Non-employee directors who begin their Board or committee chair service other than at the Annual Meeting receive a prorated amount of annual compensation based on timing of appointment.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Director Compensation Design</w:t>
      </w:r>
    </w:p>
    <w:p>
      <w:pPr>
        <w:spacing w:after="0" w:line="69" w:lineRule="exact"/>
        <w:rPr>
          <w:sz w:val="20"/>
          <w:szCs w:val="20"/>
          <w:color w:val="auto"/>
        </w:rPr>
      </w:pPr>
    </w:p>
    <w:p>
      <w:pPr>
        <w:ind w:left="560" w:right="80"/>
        <w:spacing w:after="0" w:line="265" w:lineRule="auto"/>
        <w:rPr>
          <w:sz w:val="20"/>
          <w:szCs w:val="20"/>
          <w:color w:val="auto"/>
        </w:rPr>
      </w:pPr>
      <w:r>
        <w:rPr>
          <w:rFonts w:ascii="Arial" w:cs="Arial" w:eastAsia="Arial" w:hAnsi="Arial"/>
          <w:sz w:val="14"/>
          <w:szCs w:val="14"/>
          <w:color w:val="auto"/>
        </w:rPr>
        <w:t>The Compensation and Talent Management Committee reviews market benchmarking of non-employee director compensation annually. In 2025, the Compensation Committee engaged its independent compensation consultant to evaluate its non-employee Director compensation, which was last increased in 2024. The consultant conducted a comprehensive review of the most recent proxy filings of the Company’s peer group and general industry data of comparably sized companies to assess the market competitiveness of the Company’s non-employee directors’ compensation. At its meeting following the 2025 Annual Meeting of Shareholders, the Compensation and Talent Management Committee recommended to the Board of Directors that the cash and equity portion of retainers paid to the non-employee Directors, effective beginning May 8, 2025, remain unchanged. The additional retainers associated with the Board leadership positions of Chair of the Audit Committee, Chair of the Compensation and Talent Management Committee, and Chair of the Corporate Governance &amp; Nominating Committee were also maintained. The compensation of our non-employee directors will next be reviewed in 2026, with the assistance of our compensation consultant. The following table illustrates our 2025 non-employee director compensation: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gridSpan w:val="2"/>
          </w:tcPr>
          <w:p>
            <w:pPr>
              <w:jc w:val="right"/>
              <w:spacing w:after="0"/>
              <w:rPr>
                <w:sz w:val="20"/>
                <w:szCs w:val="20"/>
                <w:color w:val="auto"/>
              </w:rPr>
            </w:pPr>
            <w:r>
              <w:rPr>
                <w:rFonts w:ascii="Arial" w:cs="Arial" w:eastAsia="Arial" w:hAnsi="Arial"/>
                <w:sz w:val="13"/>
                <w:szCs w:val="13"/>
                <w:b w:val="1"/>
                <w:bCs w:val="1"/>
                <w:color w:val="00AE4F"/>
              </w:rPr>
              <w:t>Board Leadership Positions -</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2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00AE4F"/>
              </w:rPr>
              <w:t>Annual Base Retainer</w:t>
            </w: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3"/>
                <w:szCs w:val="13"/>
                <w:b w:val="1"/>
                <w:bCs w:val="1"/>
                <w:color w:val="00AE4F"/>
              </w:rPr>
              <w:t>Additional Retainer (Committee Chairs)</w:t>
            </w:r>
          </w:p>
        </w:tc>
      </w:tr>
      <w:tr>
        <w:trPr>
          <w:trHeight w:val="134"/>
        </w:trPr>
        <w:tc>
          <w:tcPr>
            <w:tcW w:w="2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00AE4F"/>
              </w:rPr>
              <w:t>Compensation &amp;</w:t>
            </w:r>
          </w:p>
        </w:tc>
        <w:tc>
          <w:tcPr>
            <w:tcW w:w="160" w:type="dxa"/>
            <w:vAlign w:val="bottom"/>
          </w:tcPr>
          <w:p>
            <w:pPr>
              <w:spacing w:after="0"/>
              <w:rPr>
                <w:sz w:val="11"/>
                <w:szCs w:val="11"/>
                <w:color w:val="auto"/>
              </w:rPr>
            </w:pPr>
          </w:p>
        </w:tc>
        <w:tc>
          <w:tcPr>
            <w:tcW w:w="1240" w:type="dxa"/>
            <w:vAlign w:val="bottom"/>
          </w:tcPr>
          <w:p>
            <w:pPr>
              <w:jc w:val="center"/>
              <w:ind w:right="354"/>
              <w:spacing w:after="0" w:line="134" w:lineRule="exact"/>
              <w:rPr>
                <w:sz w:val="20"/>
                <w:szCs w:val="20"/>
                <w:color w:val="auto"/>
              </w:rPr>
            </w:pPr>
            <w:r>
              <w:rPr>
                <w:rFonts w:ascii="Arial" w:cs="Arial" w:eastAsia="Arial" w:hAnsi="Arial"/>
                <w:sz w:val="13"/>
                <w:szCs w:val="13"/>
                <w:b w:val="1"/>
                <w:bCs w:val="1"/>
                <w:color w:val="00AE4F"/>
                <w:w w:val="99"/>
              </w:rPr>
              <w:t>Corporate</w:t>
            </w:r>
          </w:p>
        </w:tc>
      </w:tr>
      <w:tr>
        <w:trPr>
          <w:trHeight w:val="149"/>
        </w:trPr>
        <w:tc>
          <w:tcPr>
            <w:tcW w:w="2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jc w:val="center"/>
              <w:ind w:right="574"/>
              <w:spacing w:after="0"/>
              <w:rPr>
                <w:sz w:val="20"/>
                <w:szCs w:val="20"/>
                <w:color w:val="auto"/>
              </w:rPr>
            </w:pPr>
            <w:r>
              <w:rPr>
                <w:rFonts w:ascii="Arial" w:cs="Arial" w:eastAsia="Arial" w:hAnsi="Arial"/>
                <w:sz w:val="13"/>
                <w:szCs w:val="13"/>
                <w:b w:val="1"/>
                <w:bCs w:val="1"/>
                <w:color w:val="00AE4F"/>
                <w:w w:val="99"/>
              </w:rPr>
              <w:t>Talent</w:t>
            </w: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00AE4F"/>
              </w:rPr>
              <w:t>  Governance &amp;</w:t>
            </w:r>
          </w:p>
        </w:tc>
      </w:tr>
      <w:tr>
        <w:trPr>
          <w:trHeight w:val="149"/>
        </w:trPr>
        <w:tc>
          <w:tcPr>
            <w:tcW w:w="262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00AE4F"/>
              </w:rPr>
              <w:t>Non-Employee</w:t>
            </w:r>
          </w:p>
        </w:tc>
        <w:tc>
          <w:tcPr>
            <w:tcW w:w="1340" w:type="dxa"/>
            <w:vAlign w:val="bottom"/>
            <w:gridSpan w:val="2"/>
          </w:tcPr>
          <w:p>
            <w:pPr>
              <w:ind w:left="260"/>
              <w:spacing w:after="0"/>
              <w:rPr>
                <w:sz w:val="20"/>
                <w:szCs w:val="20"/>
                <w:color w:val="auto"/>
              </w:rPr>
            </w:pPr>
            <w:r>
              <w:rPr>
                <w:rFonts w:ascii="Arial" w:cs="Arial" w:eastAsia="Arial" w:hAnsi="Arial"/>
                <w:sz w:val="13"/>
                <w:szCs w:val="13"/>
                <w:b w:val="1"/>
                <w:bCs w:val="1"/>
                <w:color w:val="00AE4F"/>
              </w:rPr>
              <w:t>Chairman of</w:t>
            </w:r>
          </w:p>
        </w:tc>
        <w:tc>
          <w:tcPr>
            <w:tcW w:w="460" w:type="dxa"/>
            <w:vAlign w:val="bottom"/>
          </w:tcPr>
          <w:p>
            <w:pPr>
              <w:spacing w:after="0"/>
              <w:rPr>
                <w:sz w:val="12"/>
                <w:szCs w:val="12"/>
                <w:color w:val="auto"/>
              </w:rPr>
            </w:pPr>
          </w:p>
        </w:tc>
        <w:tc>
          <w:tcPr>
            <w:tcW w:w="680" w:type="dxa"/>
            <w:vAlign w:val="bottom"/>
          </w:tcPr>
          <w:p>
            <w:pPr>
              <w:jc w:val="right"/>
              <w:ind w:right="194"/>
              <w:spacing w:after="0"/>
              <w:rPr>
                <w:sz w:val="20"/>
                <w:szCs w:val="20"/>
                <w:color w:val="auto"/>
              </w:rPr>
            </w:pPr>
            <w:r>
              <w:rPr>
                <w:rFonts w:ascii="Arial" w:cs="Arial" w:eastAsia="Arial" w:hAnsi="Arial"/>
                <w:sz w:val="13"/>
                <w:szCs w:val="13"/>
                <w:b w:val="1"/>
                <w:bCs w:val="1"/>
                <w:color w:val="00AE4F"/>
              </w:rPr>
              <w:t>Audit</w:t>
            </w:r>
          </w:p>
        </w:tc>
        <w:tc>
          <w:tcPr>
            <w:tcW w:w="700" w:type="dxa"/>
            <w:vAlign w:val="bottom"/>
          </w:tcPr>
          <w:p>
            <w:pPr>
              <w:spacing w:after="0"/>
              <w:rPr>
                <w:sz w:val="12"/>
                <w:szCs w:val="12"/>
                <w:color w:val="auto"/>
              </w:rPr>
            </w:pPr>
          </w:p>
        </w:tc>
        <w:tc>
          <w:tcPr>
            <w:tcW w:w="1500" w:type="dxa"/>
            <w:vAlign w:val="bottom"/>
          </w:tcPr>
          <w:p>
            <w:pPr>
              <w:jc w:val="center"/>
              <w:ind w:right="594"/>
              <w:spacing w:after="0"/>
              <w:rPr>
                <w:sz w:val="20"/>
                <w:szCs w:val="20"/>
                <w:color w:val="auto"/>
              </w:rPr>
            </w:pPr>
            <w:r>
              <w:rPr>
                <w:rFonts w:ascii="Arial" w:cs="Arial" w:eastAsia="Arial" w:hAnsi="Arial"/>
                <w:sz w:val="13"/>
                <w:szCs w:val="13"/>
                <w:b w:val="1"/>
                <w:bCs w:val="1"/>
                <w:color w:val="00AE4F"/>
              </w:rPr>
              <w:t>Management</w:t>
            </w:r>
          </w:p>
        </w:tc>
        <w:tc>
          <w:tcPr>
            <w:tcW w:w="160" w:type="dxa"/>
            <w:vAlign w:val="bottom"/>
          </w:tcPr>
          <w:p>
            <w:pPr>
              <w:spacing w:after="0"/>
              <w:rPr>
                <w:sz w:val="12"/>
                <w:szCs w:val="12"/>
                <w:color w:val="auto"/>
              </w:rPr>
            </w:pPr>
          </w:p>
        </w:tc>
        <w:tc>
          <w:tcPr>
            <w:tcW w:w="1240" w:type="dxa"/>
            <w:vAlign w:val="bottom"/>
          </w:tcPr>
          <w:p>
            <w:pPr>
              <w:jc w:val="center"/>
              <w:ind w:right="354"/>
              <w:spacing w:after="0"/>
              <w:rPr>
                <w:sz w:val="20"/>
                <w:szCs w:val="20"/>
                <w:color w:val="auto"/>
              </w:rPr>
            </w:pPr>
            <w:r>
              <w:rPr>
                <w:rFonts w:ascii="Arial" w:cs="Arial" w:eastAsia="Arial" w:hAnsi="Arial"/>
                <w:sz w:val="13"/>
                <w:szCs w:val="13"/>
                <w:b w:val="1"/>
                <w:bCs w:val="1"/>
                <w:color w:val="00AE4F"/>
              </w:rPr>
              <w:t>Nominating</w:t>
            </w:r>
          </w:p>
        </w:tc>
      </w:tr>
      <w:tr>
        <w:trPr>
          <w:trHeight w:val="180"/>
        </w:trPr>
        <w:tc>
          <w:tcPr>
            <w:tcW w:w="2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00AE4F"/>
              </w:rPr>
              <w:t>Directors</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00AE4F"/>
                <w:w w:val="98"/>
              </w:rPr>
              <w:t>the Board</w:t>
            </w: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00AE4F"/>
              </w:rPr>
              <w:t xml:space="preserve">  Committee </w:t>
            </w:r>
          </w:p>
        </w:tc>
        <w:tc>
          <w:tcPr>
            <w:tcW w:w="7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594"/>
              <w:spacing w:after="0"/>
              <w:rPr>
                <w:sz w:val="20"/>
                <w:szCs w:val="20"/>
                <w:color w:val="auto"/>
              </w:rPr>
            </w:pPr>
            <w:r>
              <w:rPr>
                <w:rFonts w:ascii="Arial" w:cs="Arial" w:eastAsia="Arial" w:hAnsi="Arial"/>
                <w:sz w:val="13"/>
                <w:szCs w:val="13"/>
                <w:b w:val="1"/>
                <w:bCs w:val="1"/>
                <w:color w:val="00AE4F"/>
              </w:rPr>
              <w:t>Committee</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34"/>
              <w:spacing w:after="0"/>
              <w:rPr>
                <w:sz w:val="20"/>
                <w:szCs w:val="20"/>
                <w:color w:val="auto"/>
              </w:rPr>
            </w:pPr>
            <w:r>
              <w:rPr>
                <w:rFonts w:ascii="Arial" w:cs="Arial" w:eastAsia="Arial" w:hAnsi="Arial"/>
                <w:sz w:val="13"/>
                <w:szCs w:val="13"/>
                <w:b w:val="1"/>
                <w:bCs w:val="1"/>
                <w:color w:val="00AE4F"/>
              </w:rPr>
              <w:t>Committee</w:t>
            </w:r>
          </w:p>
        </w:tc>
      </w:tr>
      <w:tr>
        <w:trPr>
          <w:trHeight w:val="209"/>
        </w:trPr>
        <w:tc>
          <w:tcPr>
            <w:tcW w:w="2620" w:type="dxa"/>
            <w:vAlign w:val="bottom"/>
          </w:tcPr>
          <w:p>
            <w:pPr>
              <w:ind w:left="60"/>
              <w:spacing w:after="0"/>
              <w:rPr>
                <w:sz w:val="20"/>
                <w:szCs w:val="20"/>
                <w:color w:val="auto"/>
              </w:rPr>
            </w:pPr>
            <w:r>
              <w:rPr>
                <w:rFonts w:ascii="Arial" w:cs="Arial" w:eastAsia="Arial" w:hAnsi="Arial"/>
                <w:sz w:val="13"/>
                <w:szCs w:val="13"/>
                <w:color w:val="auto"/>
              </w:rPr>
              <w:t>Cash</w:t>
            </w:r>
          </w:p>
        </w:tc>
        <w:tc>
          <w:tcPr>
            <w:tcW w:w="360" w:type="dxa"/>
            <w:vAlign w:val="bottom"/>
          </w:tcPr>
          <w:p>
            <w:pPr>
              <w:ind w:left="240"/>
              <w:spacing w:after="0"/>
              <w:rPr>
                <w:sz w:val="20"/>
                <w:szCs w:val="20"/>
                <w:color w:val="auto"/>
              </w:rPr>
            </w:pPr>
            <w:r>
              <w:rPr>
                <w:rFonts w:ascii="Arial" w:cs="Arial" w:eastAsia="Arial" w:hAnsi="Arial"/>
                <w:sz w:val="13"/>
                <w:szCs w:val="13"/>
                <w:color w:val="auto"/>
              </w:rPr>
              <w:t>$</w:t>
            </w:r>
          </w:p>
        </w:tc>
        <w:tc>
          <w:tcPr>
            <w:tcW w:w="1080" w:type="dxa"/>
            <w:vAlign w:val="bottom"/>
          </w:tcPr>
          <w:p>
            <w:pPr>
              <w:ind w:left="320"/>
              <w:spacing w:after="0"/>
              <w:rPr>
                <w:sz w:val="20"/>
                <w:szCs w:val="20"/>
                <w:color w:val="auto"/>
              </w:rPr>
            </w:pPr>
            <w:r>
              <w:rPr>
                <w:rFonts w:ascii="Arial" w:cs="Arial" w:eastAsia="Arial" w:hAnsi="Arial"/>
                <w:sz w:val="13"/>
                <w:szCs w:val="13"/>
                <w:color w:val="auto"/>
              </w:rPr>
              <w:t>100,000</w:t>
            </w:r>
          </w:p>
        </w:tc>
        <w:tc>
          <w:tcPr>
            <w:tcW w:w="340" w:type="dxa"/>
            <w:vAlign w:val="bottom"/>
          </w:tcPr>
          <w:p>
            <w:pPr>
              <w:ind w:left="26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150,000</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20,000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494"/>
              <w:spacing w:after="0"/>
              <w:rPr>
                <w:sz w:val="20"/>
                <w:szCs w:val="20"/>
                <w:color w:val="auto"/>
              </w:rPr>
            </w:pPr>
            <w:r>
              <w:rPr>
                <w:rFonts w:ascii="Arial" w:cs="Arial" w:eastAsia="Arial" w:hAnsi="Arial"/>
                <w:sz w:val="13"/>
                <w:szCs w:val="13"/>
                <w:color w:val="auto"/>
              </w:rPr>
              <w:t>15,000</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54"/>
              <w:spacing w:after="0"/>
              <w:rPr>
                <w:sz w:val="20"/>
                <w:szCs w:val="20"/>
                <w:color w:val="auto"/>
              </w:rPr>
            </w:pPr>
            <w:r>
              <w:rPr>
                <w:rFonts w:ascii="Arial" w:cs="Arial" w:eastAsia="Arial" w:hAnsi="Arial"/>
                <w:sz w:val="13"/>
                <w:szCs w:val="13"/>
                <w:color w:val="auto"/>
              </w:rPr>
              <w:t>15,000</w:t>
            </w:r>
          </w:p>
        </w:tc>
      </w:tr>
      <w:tr>
        <w:trPr>
          <w:trHeight w:val="45"/>
        </w:trPr>
        <w:tc>
          <w:tcPr>
            <w:tcW w:w="26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5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r>
      <w:tr>
        <w:trPr>
          <w:trHeight w:val="208"/>
        </w:trPr>
        <w:tc>
          <w:tcPr>
            <w:tcW w:w="2620" w:type="dxa"/>
            <w:vAlign w:val="bottom"/>
          </w:tcPr>
          <w:p>
            <w:pPr>
              <w:ind w:left="60"/>
              <w:spacing w:after="0"/>
              <w:rPr>
                <w:sz w:val="20"/>
                <w:szCs w:val="20"/>
                <w:color w:val="auto"/>
              </w:rPr>
            </w:pPr>
            <w:r>
              <w:rPr>
                <w:rFonts w:ascii="Arial" w:cs="Arial" w:eastAsia="Arial" w:hAnsi="Arial"/>
                <w:sz w:val="13"/>
                <w:szCs w:val="13"/>
                <w:color w:val="auto"/>
              </w:rPr>
              <w:t>Equity (Kelly Class A Stock – $ Value)</w:t>
            </w:r>
          </w:p>
        </w:tc>
        <w:tc>
          <w:tcPr>
            <w:tcW w:w="360" w:type="dxa"/>
            <w:vAlign w:val="bottom"/>
          </w:tcPr>
          <w:p>
            <w:pPr>
              <w:ind w:left="240"/>
              <w:spacing w:after="0"/>
              <w:rPr>
                <w:sz w:val="20"/>
                <w:szCs w:val="20"/>
                <w:color w:val="auto"/>
              </w:rPr>
            </w:pPr>
            <w:r>
              <w:rPr>
                <w:rFonts w:ascii="Arial" w:cs="Arial" w:eastAsia="Arial" w:hAnsi="Arial"/>
                <w:sz w:val="13"/>
                <w:szCs w:val="13"/>
                <w:color w:val="auto"/>
              </w:rPr>
              <w:t>$</w:t>
            </w:r>
          </w:p>
        </w:tc>
        <w:tc>
          <w:tcPr>
            <w:tcW w:w="1080" w:type="dxa"/>
            <w:vAlign w:val="bottom"/>
          </w:tcPr>
          <w:p>
            <w:pPr>
              <w:ind w:left="320"/>
              <w:spacing w:after="0"/>
              <w:rPr>
                <w:sz w:val="20"/>
                <w:szCs w:val="20"/>
                <w:color w:val="auto"/>
              </w:rPr>
            </w:pPr>
            <w:r>
              <w:rPr>
                <w:rFonts w:ascii="Arial" w:cs="Arial" w:eastAsia="Arial" w:hAnsi="Arial"/>
                <w:sz w:val="13"/>
                <w:szCs w:val="13"/>
                <w:color w:val="auto"/>
              </w:rPr>
              <w:t>150,000</w:t>
            </w:r>
          </w:p>
        </w:tc>
        <w:tc>
          <w:tcPr>
            <w:tcW w:w="340" w:type="dxa"/>
            <w:vAlign w:val="bottom"/>
          </w:tcPr>
          <w:p>
            <w:pPr>
              <w:ind w:left="26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200,000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240" w:type="dxa"/>
            <w:vAlign w:val="bottom"/>
          </w:tcPr>
          <w:p>
            <w:pPr>
              <w:jc w:val="right"/>
              <w:ind w:right="254"/>
              <w:spacing w:after="0"/>
              <w:rPr>
                <w:sz w:val="20"/>
                <w:szCs w:val="20"/>
                <w:color w:val="auto"/>
              </w:rPr>
            </w:pPr>
            <w:r>
              <w:rPr>
                <w:rFonts w:ascii="Arial" w:cs="Arial" w:eastAsia="Arial" w:hAnsi="Arial"/>
                <w:sz w:val="13"/>
                <w:szCs w:val="13"/>
                <w:color w:val="auto"/>
              </w:rPr>
              <w:t>—</w:t>
            </w:r>
          </w:p>
        </w:tc>
      </w:tr>
      <w:tr>
        <w:trPr>
          <w:trHeight w:val="45"/>
        </w:trPr>
        <w:tc>
          <w:tcPr>
            <w:tcW w:w="26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5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r>
      <w:tr>
        <w:trPr>
          <w:trHeight w:val="208"/>
        </w:trPr>
        <w:tc>
          <w:tcPr>
            <w:tcW w:w="2620" w:type="dxa"/>
            <w:vAlign w:val="bottom"/>
          </w:tcPr>
          <w:p>
            <w:pPr>
              <w:ind w:left="60"/>
              <w:spacing w:after="0"/>
              <w:rPr>
                <w:sz w:val="20"/>
                <w:szCs w:val="20"/>
                <w:color w:val="auto"/>
              </w:rPr>
            </w:pPr>
            <w:r>
              <w:rPr>
                <w:rFonts w:ascii="Arial" w:cs="Arial" w:eastAsia="Arial" w:hAnsi="Arial"/>
                <w:sz w:val="13"/>
                <w:szCs w:val="13"/>
                <w:color w:val="auto"/>
              </w:rPr>
              <w:t>Total</w:t>
            </w:r>
          </w:p>
        </w:tc>
        <w:tc>
          <w:tcPr>
            <w:tcW w:w="360" w:type="dxa"/>
            <w:vAlign w:val="bottom"/>
          </w:tcPr>
          <w:p>
            <w:pPr>
              <w:ind w:left="240"/>
              <w:spacing w:after="0"/>
              <w:rPr>
                <w:sz w:val="20"/>
                <w:szCs w:val="20"/>
                <w:color w:val="auto"/>
              </w:rPr>
            </w:pPr>
            <w:r>
              <w:rPr>
                <w:rFonts w:ascii="Arial" w:cs="Arial" w:eastAsia="Arial" w:hAnsi="Arial"/>
                <w:sz w:val="13"/>
                <w:szCs w:val="13"/>
                <w:color w:val="auto"/>
              </w:rPr>
              <w:t>$</w:t>
            </w:r>
          </w:p>
        </w:tc>
        <w:tc>
          <w:tcPr>
            <w:tcW w:w="1080" w:type="dxa"/>
            <w:vAlign w:val="bottom"/>
          </w:tcPr>
          <w:p>
            <w:pPr>
              <w:ind w:left="320"/>
              <w:spacing w:after="0"/>
              <w:rPr>
                <w:sz w:val="20"/>
                <w:szCs w:val="20"/>
                <w:color w:val="auto"/>
              </w:rPr>
            </w:pPr>
            <w:r>
              <w:rPr>
                <w:rFonts w:ascii="Arial" w:cs="Arial" w:eastAsia="Arial" w:hAnsi="Arial"/>
                <w:sz w:val="13"/>
                <w:szCs w:val="13"/>
                <w:color w:val="auto"/>
              </w:rPr>
              <w:t>250,000</w:t>
            </w:r>
          </w:p>
        </w:tc>
        <w:tc>
          <w:tcPr>
            <w:tcW w:w="340" w:type="dxa"/>
            <w:vAlign w:val="bottom"/>
          </w:tcPr>
          <w:p>
            <w:pPr>
              <w:ind w:left="26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350,000</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20,000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494"/>
              <w:spacing w:after="0"/>
              <w:rPr>
                <w:sz w:val="20"/>
                <w:szCs w:val="20"/>
                <w:color w:val="auto"/>
              </w:rPr>
            </w:pPr>
            <w:r>
              <w:rPr>
                <w:rFonts w:ascii="Arial" w:cs="Arial" w:eastAsia="Arial" w:hAnsi="Arial"/>
                <w:sz w:val="13"/>
                <w:szCs w:val="13"/>
                <w:color w:val="auto"/>
              </w:rPr>
              <w:t>15,000</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54"/>
              <w:spacing w:after="0"/>
              <w:rPr>
                <w:sz w:val="20"/>
                <w:szCs w:val="20"/>
                <w:color w:val="auto"/>
              </w:rPr>
            </w:pPr>
            <w:r>
              <w:rPr>
                <w:rFonts w:ascii="Arial" w:cs="Arial" w:eastAsia="Arial" w:hAnsi="Arial"/>
                <w:sz w:val="13"/>
                <w:szCs w:val="13"/>
                <w:color w:val="auto"/>
              </w:rPr>
              <w:t>15,000</w:t>
            </w:r>
          </w:p>
        </w:tc>
      </w:tr>
      <w:tr>
        <w:trPr>
          <w:trHeight w:val="45"/>
        </w:trPr>
        <w:tc>
          <w:tcPr>
            <w:tcW w:w="26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5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r>
    </w:tbl>
    <w:p>
      <w:pPr>
        <w:spacing w:after="0" w:line="186" w:lineRule="exact"/>
        <w:rPr>
          <w:sz w:val="20"/>
          <w:szCs w:val="20"/>
          <w:color w:val="auto"/>
        </w:rPr>
      </w:pPr>
    </w:p>
    <w:p>
      <w:pPr>
        <w:ind w:left="560" w:right="40"/>
        <w:spacing w:after="0" w:line="252" w:lineRule="auto"/>
        <w:rPr>
          <w:sz w:val="20"/>
          <w:szCs w:val="20"/>
          <w:color w:val="auto"/>
        </w:rPr>
      </w:pPr>
      <w:r>
        <w:rPr>
          <w:rFonts w:ascii="Arial" w:cs="Arial" w:eastAsia="Arial" w:hAnsi="Arial"/>
          <w:sz w:val="15"/>
          <w:szCs w:val="15"/>
          <w:color w:val="auto"/>
        </w:rPr>
        <w:t>Under the Company’s 2025 Equity Incentive Plan (“EIP”), the Board of Directors must periodically determine the percentage of the base retainer that will be issued to non-employee directors in shares of Class A Common Stock. At the meeting of the Board following the 2025 Annual Meeting of Shareholders, the Board determined that $150,000 of the base retainer would be issued in shares (60%) and $100,000 of the base retainer would be paid in cash (40%). The equity portion of $200,000 and the cash portion of $150,000 were maintained for the Chairman of the Board.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Stock Ownership Requirements</w:t>
      </w:r>
    </w:p>
    <w:p>
      <w:pPr>
        <w:spacing w:after="0" w:line="69" w:lineRule="exact"/>
        <w:rPr>
          <w:sz w:val="20"/>
          <w:szCs w:val="20"/>
          <w:color w:val="auto"/>
        </w:rPr>
      </w:pPr>
    </w:p>
    <w:p>
      <w:pPr>
        <w:ind w:left="560" w:right="20"/>
        <w:spacing w:after="0" w:line="258" w:lineRule="auto"/>
        <w:rPr>
          <w:sz w:val="20"/>
          <w:szCs w:val="20"/>
          <w:color w:val="auto"/>
        </w:rPr>
      </w:pPr>
      <w:r>
        <w:rPr>
          <w:rFonts w:ascii="Arial" w:cs="Arial" w:eastAsia="Arial" w:hAnsi="Arial"/>
          <w:sz w:val="15"/>
          <w:szCs w:val="15"/>
          <w:color w:val="auto"/>
        </w:rPr>
        <w:t>Non-employee directors are subject to a stock ownership requirement that is a minimum fair market value of four times the value of the cash portion of the annual base retainer (which currently equates to $400,000). Although there is no fixed compliance period, new directors are expected to meet the ownership requirements within five years of their appointment date.</w:t>
      </w:r>
    </w:p>
    <w:p>
      <w:pPr>
        <w:spacing w:after="0" w:line="87"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80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Director Compensation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Non-Employee Directors Deferred Compensation Plan</w:t>
      </w:r>
    </w:p>
    <w:p>
      <w:pPr>
        <w:spacing w:after="0" w:line="69" w:lineRule="exact"/>
        <w:rPr>
          <w:sz w:val="20"/>
          <w:szCs w:val="20"/>
          <w:color w:val="auto"/>
        </w:rPr>
      </w:pPr>
    </w:p>
    <w:p>
      <w:pPr>
        <w:ind w:left="560" w:right="160"/>
        <w:spacing w:after="0" w:line="246" w:lineRule="auto"/>
        <w:rPr>
          <w:sz w:val="20"/>
          <w:szCs w:val="20"/>
          <w:color w:val="auto"/>
        </w:rPr>
      </w:pPr>
      <w:r>
        <w:rPr>
          <w:rFonts w:ascii="Arial" w:cs="Arial" w:eastAsia="Arial" w:hAnsi="Arial"/>
          <w:sz w:val="15"/>
          <w:szCs w:val="15"/>
          <w:color w:val="auto"/>
        </w:rPr>
        <w:t>The Company established the Non-Employee Directors Deferred Compensation Plan (“DDCP”), which provides non-employee directors with the opportunity to defer all or a portion of all fees payable to them, pursuant to a valid deferral election. The DDCP is a non-qualified plan that allows for the deferral of all or a portion of annual cash payments to a notional account with investment fund choices that mirror those provided to participants in the Company’s Management Retirement Plan (“MRP”). In addition to those fund choices, the Plan also includes the option to defer annual cash payments into Company common stock units. Non-employee directors may also elect to defer all or a portion of their annual stock retainer into Company common stock units. Participants may elect to receive distributions from their DDCP account at the time they cease to be a director of the Company or at a future date that is between one and ten years following the date they cease to be a director of the Company. Non-employee directors can elect to have distributions from the DDCP made in either a lump sum or in annual installment payments made over a two-to-ten-year period.</w:t>
      </w:r>
    </w:p>
    <w:p>
      <w:pPr>
        <w:spacing w:after="0" w:line="37"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5"/>
          <w:szCs w:val="15"/>
          <w:color w:val="auto"/>
        </w:rPr>
        <w:t>The following table sets forth the compensation paid during 2025 to the Company’s non-employee directors. Neither Mr. Quigley nor Mr. Layden received compensation for their services as a director in 2025. Messrs. Quigley and Layden’s compensation as President and Chief Executive Officer are disclosed in the Compensation Discussion &amp; Analysis section of this Proxy Statement.</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2025 Director Compensation</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60" w:type="dxa"/>
            <w:vAlign w:val="bottom"/>
          </w:tcPr>
          <w:p>
            <w:pPr>
              <w:jc w:val="center"/>
              <w:ind w:left="2"/>
              <w:spacing w:after="0"/>
              <w:rPr>
                <w:sz w:val="20"/>
                <w:szCs w:val="20"/>
                <w:color w:val="auto"/>
              </w:rPr>
            </w:pPr>
            <w:r>
              <w:rPr>
                <w:rFonts w:ascii="Arial" w:cs="Arial" w:eastAsia="Arial" w:hAnsi="Arial"/>
                <w:sz w:val="13"/>
                <w:szCs w:val="13"/>
                <w:b w:val="1"/>
                <w:bCs w:val="1"/>
                <w:color w:val="00AE4F"/>
              </w:rPr>
              <w:t>Change in Pension</w:t>
            </w: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9"/>
        </w:trPr>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tcPr>
          <w:p>
            <w:pPr>
              <w:jc w:val="center"/>
              <w:ind w:left="2"/>
              <w:spacing w:after="0"/>
              <w:rPr>
                <w:sz w:val="20"/>
                <w:szCs w:val="20"/>
                <w:color w:val="auto"/>
              </w:rPr>
            </w:pPr>
            <w:r>
              <w:rPr>
                <w:rFonts w:ascii="Arial" w:cs="Arial" w:eastAsia="Arial" w:hAnsi="Arial"/>
                <w:sz w:val="13"/>
                <w:szCs w:val="13"/>
                <w:b w:val="1"/>
                <w:bCs w:val="1"/>
                <w:color w:val="00AE4F"/>
              </w:rPr>
              <w:t>Value and</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00AE4F"/>
              </w:rPr>
              <w:t>Nonqualified</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1460" w:type="dxa"/>
            <w:vAlign w:val="bottom"/>
          </w:tcPr>
          <w:p>
            <w:pPr>
              <w:jc w:val="right"/>
              <w:ind w:right="114"/>
              <w:spacing w:after="0"/>
              <w:rPr>
                <w:sz w:val="20"/>
                <w:szCs w:val="20"/>
                <w:color w:val="auto"/>
              </w:rPr>
            </w:pPr>
            <w:r>
              <w:rPr>
                <w:rFonts w:ascii="Arial" w:cs="Arial" w:eastAsia="Arial" w:hAnsi="Arial"/>
                <w:sz w:val="13"/>
                <w:szCs w:val="13"/>
                <w:b w:val="1"/>
                <w:bCs w:val="1"/>
                <w:color w:val="00AE4F"/>
              </w:rPr>
              <w:t>Fees Earned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00AE4F"/>
              </w:rPr>
              <w:t>Non-Equity</w:t>
            </w:r>
          </w:p>
        </w:tc>
        <w:tc>
          <w:tcPr>
            <w:tcW w:w="1560" w:type="dxa"/>
            <w:vAlign w:val="bottom"/>
          </w:tcPr>
          <w:p>
            <w:pPr>
              <w:jc w:val="center"/>
              <w:ind w:left="2"/>
              <w:spacing w:after="0"/>
              <w:rPr>
                <w:sz w:val="20"/>
                <w:szCs w:val="20"/>
                <w:color w:val="auto"/>
              </w:rPr>
            </w:pPr>
            <w:r>
              <w:rPr>
                <w:rFonts w:ascii="Arial" w:cs="Arial" w:eastAsia="Arial" w:hAnsi="Arial"/>
                <w:sz w:val="13"/>
                <w:szCs w:val="13"/>
                <w:b w:val="1"/>
                <w:bCs w:val="1"/>
                <w:color w:val="00AE4F"/>
              </w:rPr>
              <w:t>Deferred</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3"/>
        </w:trPr>
        <w:tc>
          <w:tcPr>
            <w:tcW w:w="1960" w:type="dxa"/>
            <w:vAlign w:val="bottom"/>
          </w:tcPr>
          <w:p>
            <w:pPr>
              <w:spacing w:after="0"/>
              <w:rPr>
                <w:sz w:val="12"/>
                <w:szCs w:val="12"/>
                <w:color w:val="auto"/>
              </w:rPr>
            </w:pPr>
          </w:p>
        </w:tc>
        <w:tc>
          <w:tcPr>
            <w:tcW w:w="146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00AE4F"/>
              </w:rPr>
              <w:t>or Paid in</w:t>
            </w:r>
          </w:p>
        </w:tc>
        <w:tc>
          <w:tcPr>
            <w:tcW w:w="90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00AE4F"/>
              </w:rPr>
              <w:t>Stock</w:t>
            </w:r>
          </w:p>
        </w:tc>
        <w:tc>
          <w:tcPr>
            <w:tcW w:w="860" w:type="dxa"/>
            <w:vAlign w:val="bottom"/>
          </w:tcPr>
          <w:p>
            <w:pPr>
              <w:ind w:left="220"/>
              <w:spacing w:after="0" w:line="144" w:lineRule="exact"/>
              <w:rPr>
                <w:sz w:val="20"/>
                <w:szCs w:val="20"/>
                <w:color w:val="auto"/>
              </w:rPr>
            </w:pPr>
            <w:r>
              <w:rPr>
                <w:rFonts w:ascii="Arial" w:cs="Arial" w:eastAsia="Arial" w:hAnsi="Arial"/>
                <w:sz w:val="13"/>
                <w:szCs w:val="13"/>
                <w:b w:val="1"/>
                <w:bCs w:val="1"/>
                <w:color w:val="00AE4F"/>
              </w:rPr>
              <w:t>Award</w:t>
            </w: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Incentive Plan</w:t>
            </w:r>
          </w:p>
        </w:tc>
        <w:tc>
          <w:tcPr>
            <w:tcW w:w="156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Compensation</w:t>
            </w:r>
          </w:p>
        </w:tc>
        <w:tc>
          <w:tcPr>
            <w:tcW w:w="1240" w:type="dxa"/>
            <w:vAlign w:val="bottom"/>
          </w:tcPr>
          <w:p>
            <w:pPr>
              <w:ind w:left="340"/>
              <w:spacing w:after="0" w:line="144" w:lineRule="exact"/>
              <w:rPr>
                <w:sz w:val="20"/>
                <w:szCs w:val="20"/>
                <w:color w:val="auto"/>
              </w:rPr>
            </w:pPr>
            <w:r>
              <w:rPr>
                <w:rFonts w:ascii="Arial" w:cs="Arial" w:eastAsia="Arial" w:hAnsi="Arial"/>
                <w:sz w:val="13"/>
                <w:szCs w:val="13"/>
                <w:b w:val="1"/>
                <w:bCs w:val="1"/>
                <w:color w:val="00AE4F"/>
              </w:rPr>
              <w:t>All Other</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7"/>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AE4F"/>
              </w:rPr>
              <w:t>   Name</w:t>
            </w:r>
          </w:p>
        </w:tc>
        <w:tc>
          <w:tcPr>
            <w:tcW w:w="1460" w:type="dxa"/>
            <w:vAlign w:val="bottom"/>
            <w:tcBorders>
              <w:bottom w:val="single" w:sz="8" w:color="auto"/>
            </w:tcBorders>
          </w:tcPr>
          <w:p>
            <w:pPr>
              <w:jc w:val="right"/>
              <w:ind w:right="274"/>
              <w:spacing w:after="0" w:line="186" w:lineRule="exact"/>
              <w:rPr>
                <w:sz w:val="20"/>
                <w:szCs w:val="20"/>
                <w:color w:val="auto"/>
              </w:rPr>
            </w:pPr>
            <w:r>
              <w:rPr>
                <w:rFonts w:ascii="Arial" w:cs="Arial" w:eastAsia="Arial" w:hAnsi="Arial"/>
                <w:sz w:val="13"/>
                <w:szCs w:val="13"/>
                <w:b w:val="1"/>
                <w:bCs w:val="1"/>
                <w:color w:val="00AE4F"/>
              </w:rPr>
              <w:t>Cash</w:t>
            </w:r>
            <w:r>
              <w:rPr>
                <w:rFonts w:ascii="Arial" w:cs="Arial" w:eastAsia="Arial" w:hAnsi="Arial"/>
                <w:sz w:val="19"/>
                <w:szCs w:val="19"/>
                <w:b w:val="1"/>
                <w:bCs w:val="1"/>
                <w:color w:val="00AE4F"/>
                <w:vertAlign w:val="superscript"/>
              </w:rPr>
              <w:t>(1)</w:t>
            </w:r>
          </w:p>
        </w:tc>
        <w:tc>
          <w:tcPr>
            <w:tcW w:w="900" w:type="dxa"/>
            <w:vAlign w:val="bottom"/>
            <w:tcBorders>
              <w:bottom w:val="single" w:sz="8" w:color="auto"/>
            </w:tcBorders>
          </w:tcPr>
          <w:p>
            <w:pPr>
              <w:jc w:val="right"/>
              <w:ind w:right="94"/>
              <w:spacing w:after="0" w:line="186" w:lineRule="exact"/>
              <w:rPr>
                <w:sz w:val="20"/>
                <w:szCs w:val="20"/>
                <w:color w:val="auto"/>
              </w:rPr>
            </w:pPr>
            <w:r>
              <w:rPr>
                <w:rFonts w:ascii="Arial" w:cs="Arial" w:eastAsia="Arial" w:hAnsi="Arial"/>
                <w:sz w:val="13"/>
                <w:szCs w:val="13"/>
                <w:b w:val="1"/>
                <w:bCs w:val="1"/>
                <w:color w:val="00AE4F"/>
              </w:rPr>
              <w:t>Awards</w:t>
            </w:r>
            <w:r>
              <w:rPr>
                <w:rFonts w:ascii="Arial" w:cs="Arial" w:eastAsia="Arial" w:hAnsi="Arial"/>
                <w:sz w:val="19"/>
                <w:szCs w:val="19"/>
                <w:b w:val="1"/>
                <w:bCs w:val="1"/>
                <w:color w:val="00AE4F"/>
                <w:vertAlign w:val="superscript"/>
              </w:rPr>
              <w:t>(2)</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00AE4F"/>
              </w:rPr>
              <w:t>Options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Compensation</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3"/>
                <w:szCs w:val="13"/>
                <w:b w:val="1"/>
                <w:bCs w:val="1"/>
                <w:color w:val="00AE4F"/>
              </w:rPr>
              <w:t>Earnings</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00AE4F"/>
              </w:rPr>
              <w:t>Compensation</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00AE4F"/>
              </w:rPr>
              <w:t>Total</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Gerald S. Adolph</w:t>
            </w:r>
            <w:r>
              <w:rPr>
                <w:rFonts w:ascii="Arial" w:cs="Arial" w:eastAsia="Arial" w:hAnsi="Arial"/>
                <w:sz w:val="19"/>
                <w:szCs w:val="19"/>
                <w:b w:val="1"/>
                <w:bCs w:val="1"/>
                <w:color w:val="auto"/>
                <w:vertAlign w:val="superscript"/>
              </w:rPr>
              <w:t>(3)</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$ 115,000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George S. Corona</w:t>
            </w:r>
            <w:r>
              <w:rPr>
                <w:rFonts w:ascii="Arial" w:cs="Arial" w:eastAsia="Arial" w:hAnsi="Arial"/>
                <w:sz w:val="19"/>
                <w:szCs w:val="19"/>
                <w:b w:val="1"/>
                <w:bCs w:val="1"/>
                <w:color w:val="auto"/>
                <w:vertAlign w:val="superscript"/>
              </w:rPr>
              <w:t>(3)</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$100,000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Robert S. Cubbin</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$ 115,000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Amala Duggirala</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$100,000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InaMarie F. Johnson</w:t>
            </w:r>
            <w:r>
              <w:rPr>
                <w:rFonts w:ascii="Arial" w:cs="Arial" w:eastAsia="Arial" w:hAnsi="Arial"/>
                <w:sz w:val="19"/>
                <w:szCs w:val="19"/>
                <w:b w:val="1"/>
                <w:bCs w:val="1"/>
                <w:color w:val="auto"/>
                <w:vertAlign w:val="superscript"/>
              </w:rPr>
              <w:t>(3)</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$100,000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Terrence B. Larkin</w:t>
            </w:r>
            <w:r>
              <w:rPr>
                <w:rFonts w:ascii="Arial" w:cs="Arial" w:eastAsia="Arial" w:hAnsi="Arial"/>
                <w:sz w:val="19"/>
                <w:szCs w:val="19"/>
                <w:b w:val="1"/>
                <w:bCs w:val="1"/>
                <w:color w:val="auto"/>
                <w:vertAlign w:val="superscript"/>
              </w:rPr>
              <w:t>(3)</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$150,000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$200,000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582"/>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w w:val="97"/>
              </w:rPr>
              <w:t>350,000</w:t>
            </w:r>
          </w:p>
        </w:tc>
      </w:tr>
      <w:tr>
        <w:trPr>
          <w:trHeight w:val="253"/>
        </w:trPr>
        <w:tc>
          <w:tcPr>
            <w:tcW w:w="1960" w:type="dxa"/>
            <w:vAlign w:val="bottom"/>
            <w:tcBorders>
              <w:bottom w:val="single" w:sz="8" w:color="7F7F7F"/>
            </w:tcBorders>
          </w:tcPr>
          <w:p>
            <w:pPr>
              <w:ind w:left="60"/>
              <w:spacing w:after="0"/>
              <w:rPr>
                <w:sz w:val="20"/>
                <w:szCs w:val="20"/>
                <w:color w:val="auto"/>
              </w:rPr>
            </w:pPr>
            <w:r>
              <w:rPr>
                <w:rFonts w:ascii="Arial" w:cs="Arial" w:eastAsia="Arial" w:hAnsi="Arial"/>
                <w:sz w:val="13"/>
                <w:szCs w:val="13"/>
                <w:b w:val="1"/>
                <w:bCs w:val="1"/>
                <w:color w:val="auto"/>
              </w:rPr>
              <w:t>Leslie A. Murphy</w:t>
            </w:r>
          </w:p>
        </w:tc>
        <w:tc>
          <w:tcPr>
            <w:tcW w:w="146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$120,000</w:t>
            </w:r>
          </w:p>
        </w:tc>
        <w:tc>
          <w:tcPr>
            <w:tcW w:w="90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$150,000</w:t>
            </w:r>
          </w:p>
        </w:tc>
        <w:tc>
          <w:tcPr>
            <w:tcW w:w="860" w:type="dxa"/>
            <w:vAlign w:val="bottom"/>
            <w:tcBorders>
              <w:bottom w:val="single" w:sz="8" w:color="7F7F7F"/>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F7F7F"/>
            </w:tcBorders>
          </w:tcPr>
          <w:p>
            <w:pPr>
              <w:ind w:left="60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F7F7F"/>
            </w:tcBorders>
          </w:tcPr>
          <w:p>
            <w:pPr>
              <w:jc w:val="right"/>
              <w:ind w:right="462"/>
              <w:spacing w:after="0" w:line="252" w:lineRule="exact"/>
              <w:rPr>
                <w:sz w:val="20"/>
                <w:szCs w:val="20"/>
                <w:color w:val="auto"/>
              </w:rPr>
            </w:pPr>
            <w:r>
              <w:rPr>
                <w:rFonts w:ascii="Arial" w:cs="Arial" w:eastAsia="Arial" w:hAnsi="Arial"/>
                <w:sz w:val="26"/>
                <w:szCs w:val="26"/>
                <w:color w:val="auto"/>
                <w:vertAlign w:val="subscript"/>
              </w:rPr>
              <w:t>$ 0</w:t>
            </w:r>
            <w:r>
              <w:rPr>
                <w:rFonts w:ascii="Arial" w:cs="Arial" w:eastAsia="Arial" w:hAnsi="Arial"/>
                <w:sz w:val="10"/>
                <w:szCs w:val="10"/>
                <w:color w:val="auto"/>
              </w:rPr>
              <w:t>(4)</w:t>
            </w:r>
          </w:p>
        </w:tc>
        <w:tc>
          <w:tcPr>
            <w:tcW w:w="1240" w:type="dxa"/>
            <w:vAlign w:val="bottom"/>
            <w:tcBorders>
              <w:bottom w:val="single" w:sz="8" w:color="7F7F7F"/>
            </w:tcBorders>
          </w:tcPr>
          <w:p>
            <w:pPr>
              <w:ind w:left="6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w:t>
            </w:r>
          </w:p>
        </w:tc>
      </w:tr>
    </w:tbl>
    <w:p>
      <w:pPr>
        <w:spacing w:after="0" w:line="96" w:lineRule="exact"/>
        <w:rPr>
          <w:sz w:val="20"/>
          <w:szCs w:val="20"/>
          <w:color w:val="auto"/>
        </w:rPr>
      </w:pPr>
    </w:p>
    <w:p>
      <w:pPr>
        <w:ind w:left="860" w:hanging="296"/>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Two of our directors deferred the following amounts from their 2025 cash retainer fee: Mr. Adolph – $115,000 and Ms. Duggirala – $100,000.</w:t>
      </w:r>
    </w:p>
    <w:p>
      <w:pPr>
        <w:spacing w:after="0" w:line="60" w:lineRule="exact"/>
        <w:rPr>
          <w:rFonts w:ascii="Arial" w:cs="Arial" w:eastAsia="Arial" w:hAnsi="Arial"/>
          <w:sz w:val="12"/>
          <w:szCs w:val="12"/>
          <w:color w:val="auto"/>
        </w:rPr>
      </w:pPr>
    </w:p>
    <w:p>
      <w:pPr>
        <w:ind w:left="860" w:right="100" w:hanging="296"/>
        <w:spacing w:after="0" w:line="333" w:lineRule="auto"/>
        <w:tabs>
          <w:tab w:leader="none" w:pos="8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Represents the aggregate fair market value of grants awarded on May 8, 2025. Each director received a grant of 11,971 shares of the Company’s Class A Common Stock having a fair market value of $12.53 per share. Each of Messrs. Adolph, Corona, Cubbin, and Mses. Duggirala, and Johnson deferred 100% of their 2025 annual stock grant into deferred common stock units.</w:t>
      </w:r>
    </w:p>
    <w:p>
      <w:pPr>
        <w:spacing w:after="0" w:line="3" w:lineRule="exact"/>
        <w:rPr>
          <w:rFonts w:ascii="Arial" w:cs="Arial" w:eastAsia="Arial" w:hAnsi="Arial"/>
          <w:sz w:val="10"/>
          <w:szCs w:val="10"/>
          <w:color w:val="auto"/>
        </w:rPr>
      </w:pPr>
    </w:p>
    <w:p>
      <w:pPr>
        <w:ind w:left="860" w:hanging="296"/>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Messrs. Adolph, Corona, Larkin and Ms. Johnson resigned from the Board of Directors effective as of January 30, 2026.</w:t>
      </w:r>
    </w:p>
    <w:p>
      <w:pPr>
        <w:spacing w:after="0" w:line="60" w:lineRule="exact"/>
        <w:rPr>
          <w:rFonts w:ascii="Arial" w:cs="Arial" w:eastAsia="Arial" w:hAnsi="Arial"/>
          <w:sz w:val="12"/>
          <w:szCs w:val="12"/>
          <w:color w:val="auto"/>
        </w:rPr>
      </w:pPr>
    </w:p>
    <w:p>
      <w:pPr>
        <w:ind w:left="860" w:right="220" w:hanging="296"/>
        <w:spacing w:after="0" w:line="238" w:lineRule="auto"/>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amount for each of the following directors was negative: Mr. Adolph ($351,007), Mr. Corona ($198,711), Mr. Cubbin ($291,327), Ms. Duggirala ($110,244), Ms. Johnson ($149,128), and Ms. Murphy ($176,789) and, therefore, is reflected as $0 in the table in accordance with instructions to Item 402(c)(2)(viii) of Regulation S-K.</w:t>
      </w:r>
    </w:p>
    <w:p>
      <w:pPr>
        <w:spacing w:after="0" w:line="4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42 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Beneficial Ownership of Shares</w:t>
      </w:r>
    </w:p>
    <w:p>
      <w:pPr>
        <w:spacing w:after="0" w:line="314" w:lineRule="exact"/>
        <w:rPr>
          <w:sz w:val="20"/>
          <w:szCs w:val="20"/>
          <w:color w:val="auto"/>
        </w:rPr>
      </w:pPr>
    </w:p>
    <w:p>
      <w:pPr>
        <w:ind w:left="560" w:right="120"/>
        <w:spacing w:after="0" w:line="252" w:lineRule="auto"/>
        <w:rPr>
          <w:sz w:val="20"/>
          <w:szCs w:val="20"/>
          <w:color w:val="auto"/>
        </w:rPr>
      </w:pPr>
      <w:r>
        <w:rPr>
          <w:rFonts w:ascii="Arial" w:cs="Arial" w:eastAsia="Arial" w:hAnsi="Arial"/>
          <w:sz w:val="15"/>
          <w:szCs w:val="15"/>
          <w:color w:val="auto"/>
        </w:rPr>
        <w:t>The following table sets forth, as of March 19, 2026, (i) the beneficial ownership of the Company’s Class B Common Stock by each person known by the Company to own beneficially more than 5% of the Class B Common Stock, and (ii) the beneficial ownership of the Company’s Class A and Class B Common Stock by (a) each director (each of whom is a nominee for election as a director at the Annual Meeting), (b) each of the named executive officers, and (c) all directors, and executive officers, as a group.</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00AE4F"/>
              </w:rPr>
              <w:t>Class B Common Stock</w:t>
            </w:r>
          </w:p>
        </w:tc>
        <w:tc>
          <w:tcPr>
            <w:tcW w:w="680" w:type="dxa"/>
            <w:vAlign w:val="bottom"/>
            <w:tcBorders>
              <w:bottom w:val="single" w:sz="8" w:color="auto"/>
            </w:tcBorders>
          </w:tcPr>
          <w:p>
            <w:pPr>
              <w:spacing w:after="0"/>
              <w:rPr>
                <w:sz w:val="15"/>
                <w:szCs w:val="15"/>
                <w:color w:val="auto"/>
              </w:rPr>
            </w:pPr>
          </w:p>
        </w:tc>
      </w:tr>
      <w:tr>
        <w:trPr>
          <w:trHeight w:val="141"/>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00AE4F"/>
                <w:w w:val="99"/>
              </w:rPr>
              <w:t>  Number of Shares and Nature of Beneficial</w:t>
            </w: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1"/>
        </w:trPr>
        <w:tc>
          <w:tcPr>
            <w:tcW w:w="3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00AE4F"/>
              </w:rPr>
              <w:t>   Greater than Five Percent Class B Stockholders</w:t>
            </w: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left="914"/>
              <w:spacing w:after="0" w:line="212" w:lineRule="exact"/>
              <w:rPr>
                <w:sz w:val="20"/>
                <w:szCs w:val="20"/>
                <w:color w:val="auto"/>
              </w:rPr>
            </w:pPr>
            <w:r>
              <w:rPr>
                <w:rFonts w:ascii="Arial" w:cs="Arial" w:eastAsia="Arial" w:hAnsi="Arial"/>
                <w:sz w:val="13"/>
                <w:szCs w:val="13"/>
                <w:b w:val="1"/>
                <w:bCs w:val="1"/>
                <w:color w:val="00AE4F"/>
                <w:w w:val="99"/>
              </w:rPr>
              <w:t>Ownership</w:t>
            </w:r>
            <w:r>
              <w:rPr>
                <w:rFonts w:ascii="Arial" w:cs="Arial" w:eastAsia="Arial" w:hAnsi="Arial"/>
                <w:sz w:val="19"/>
                <w:szCs w:val="19"/>
                <w:b w:val="1"/>
                <w:bCs w:val="1"/>
                <w:color w:val="00AE4F"/>
                <w:w w:val="99"/>
                <w:vertAlign w:val="superscript"/>
              </w:rPr>
              <w:t>(1)</w:t>
            </w:r>
          </w:p>
        </w:tc>
        <w:tc>
          <w:tcPr>
            <w:tcW w:w="10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00AE4F"/>
              </w:rPr>
              <w:t xml:space="preserve">            Percent of Class             </w:t>
            </w: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Hunt Equity Opportunities, LLC (“Hunt”)</w:t>
            </w:r>
          </w:p>
        </w:tc>
        <w:tc>
          <w:tcPr>
            <w:tcW w:w="2340" w:type="dxa"/>
            <w:vAlign w:val="bottom"/>
            <w:gridSpan w:val="2"/>
          </w:tcPr>
          <w:p>
            <w:pPr>
              <w:jc w:val="center"/>
              <w:ind w:left="1294"/>
              <w:spacing w:after="0"/>
              <w:rPr>
                <w:sz w:val="20"/>
                <w:szCs w:val="20"/>
                <w:color w:val="auto"/>
              </w:rPr>
            </w:pPr>
            <w:r>
              <w:rPr>
                <w:rFonts w:ascii="Arial" w:cs="Arial" w:eastAsia="Arial" w:hAnsi="Arial"/>
                <w:sz w:val="13"/>
                <w:szCs w:val="13"/>
                <w:color w:val="auto"/>
              </w:rPr>
              <w:t>3,039,940</w:t>
            </w:r>
          </w:p>
        </w:tc>
        <w:tc>
          <w:tcPr>
            <w:tcW w:w="1000" w:type="dxa"/>
            <w:vAlign w:val="bottom"/>
          </w:tcPr>
          <w:p>
            <w:pPr>
              <w:spacing w:after="0"/>
              <w:rPr>
                <w:sz w:val="18"/>
                <w:szCs w:val="18"/>
                <w:color w:val="auto"/>
              </w:rPr>
            </w:pPr>
          </w:p>
        </w:tc>
        <w:tc>
          <w:tcPr>
            <w:tcW w:w="2280" w:type="dxa"/>
            <w:vAlign w:val="bottom"/>
          </w:tcPr>
          <w:p>
            <w:pPr>
              <w:jc w:val="right"/>
              <w:ind w:right="234"/>
              <w:spacing w:after="0"/>
              <w:rPr>
                <w:sz w:val="20"/>
                <w:szCs w:val="20"/>
                <w:color w:val="auto"/>
              </w:rPr>
            </w:pPr>
            <w:r>
              <w:rPr>
                <w:rFonts w:ascii="Arial" w:cs="Arial" w:eastAsia="Arial" w:hAnsi="Arial"/>
                <w:sz w:val="13"/>
                <w:szCs w:val="13"/>
                <w:color w:val="auto"/>
              </w:rPr>
              <w:t>92.2%</w:t>
            </w:r>
          </w:p>
        </w:tc>
        <w:tc>
          <w:tcPr>
            <w:tcW w:w="680" w:type="dxa"/>
            <w:vAlign w:val="bottom"/>
          </w:tcPr>
          <w:p>
            <w:pPr>
              <w:spacing w:after="0"/>
              <w:rPr>
                <w:sz w:val="18"/>
                <w:szCs w:val="18"/>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2960" w:type="dxa"/>
            <w:vAlign w:val="bottom"/>
            <w:tcBorders>
              <w:bottom w:val="single" w:sz="8" w:color="7F7F7F"/>
            </w:tcBorders>
            <w:gridSpan w:val="2"/>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401"/>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ind w:left="580"/>
              <w:spacing w:after="0"/>
              <w:rPr>
                <w:sz w:val="20"/>
                <w:szCs w:val="20"/>
                <w:color w:val="auto"/>
              </w:rPr>
            </w:pPr>
            <w:r>
              <w:rPr>
                <w:rFonts w:ascii="Arial" w:cs="Arial" w:eastAsia="Arial" w:hAnsi="Arial"/>
                <w:sz w:val="13"/>
                <w:szCs w:val="13"/>
                <w:b w:val="1"/>
                <w:bCs w:val="1"/>
                <w:color w:val="00AE4F"/>
              </w:rPr>
              <w:t>Class A Common Stock</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00AE4F"/>
              </w:rPr>
              <w:t>Class B Common Stock</w:t>
            </w:r>
          </w:p>
        </w:tc>
        <w:tc>
          <w:tcPr>
            <w:tcW w:w="680" w:type="dxa"/>
            <w:vAlign w:val="bottom"/>
            <w:tcBorders>
              <w:bottom w:val="single" w:sz="8" w:color="auto"/>
            </w:tcBorders>
          </w:tcPr>
          <w:p>
            <w:pPr>
              <w:spacing w:after="0"/>
              <w:rPr>
                <w:sz w:val="24"/>
                <w:szCs w:val="24"/>
                <w:color w:val="auto"/>
              </w:rPr>
            </w:pPr>
          </w:p>
        </w:tc>
      </w:tr>
      <w:tr>
        <w:trPr>
          <w:trHeight w:val="134"/>
        </w:trPr>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340" w:type="dxa"/>
            <w:vAlign w:val="bottom"/>
            <w:gridSpan w:val="2"/>
          </w:tcPr>
          <w:p>
            <w:pPr>
              <w:jc w:val="center"/>
              <w:ind w:right="214"/>
              <w:spacing w:after="0" w:line="134" w:lineRule="exact"/>
              <w:rPr>
                <w:sz w:val="20"/>
                <w:szCs w:val="20"/>
                <w:color w:val="auto"/>
              </w:rPr>
            </w:pPr>
            <w:r>
              <w:rPr>
                <w:rFonts w:ascii="Arial" w:cs="Arial" w:eastAsia="Arial" w:hAnsi="Arial"/>
                <w:sz w:val="13"/>
                <w:szCs w:val="13"/>
                <w:b w:val="1"/>
                <w:bCs w:val="1"/>
                <w:color w:val="00AE4F"/>
              </w:rPr>
              <w:t>Number of Shares and</w:t>
            </w:r>
          </w:p>
        </w:tc>
        <w:tc>
          <w:tcPr>
            <w:tcW w:w="1000" w:type="dxa"/>
            <w:vAlign w:val="bottom"/>
          </w:tcPr>
          <w:p>
            <w:pPr>
              <w:spacing w:after="0"/>
              <w:rPr>
                <w:sz w:val="11"/>
                <w:szCs w:val="11"/>
                <w:color w:val="auto"/>
              </w:rPr>
            </w:pPr>
          </w:p>
        </w:tc>
        <w:tc>
          <w:tcPr>
            <w:tcW w:w="2280" w:type="dxa"/>
            <w:vAlign w:val="bottom"/>
          </w:tcPr>
          <w:p>
            <w:pPr>
              <w:jc w:val="center"/>
              <w:ind w:right="534"/>
              <w:spacing w:after="0" w:line="134" w:lineRule="exact"/>
              <w:rPr>
                <w:sz w:val="20"/>
                <w:szCs w:val="20"/>
                <w:color w:val="auto"/>
              </w:rPr>
            </w:pPr>
            <w:r>
              <w:rPr>
                <w:rFonts w:ascii="Arial" w:cs="Arial" w:eastAsia="Arial" w:hAnsi="Arial"/>
                <w:sz w:val="13"/>
                <w:szCs w:val="13"/>
                <w:b w:val="1"/>
                <w:bCs w:val="1"/>
                <w:color w:val="00AE4F"/>
              </w:rPr>
              <w:t>Number of Shares and</w:t>
            </w:r>
          </w:p>
        </w:tc>
        <w:tc>
          <w:tcPr>
            <w:tcW w:w="680" w:type="dxa"/>
            <w:vAlign w:val="bottom"/>
          </w:tcPr>
          <w:p>
            <w:pPr>
              <w:spacing w:after="0"/>
              <w:rPr>
                <w:sz w:val="11"/>
                <w:szCs w:val="11"/>
                <w:color w:val="auto"/>
              </w:rPr>
            </w:pPr>
          </w:p>
        </w:tc>
      </w:tr>
      <w:tr>
        <w:trPr>
          <w:trHeight w:val="149"/>
        </w:trPr>
        <w:tc>
          <w:tcPr>
            <w:tcW w:w="3840" w:type="dxa"/>
            <w:vAlign w:val="bottom"/>
            <w:gridSpan w:val="3"/>
          </w:tcPr>
          <w:p>
            <w:pPr>
              <w:spacing w:after="0"/>
              <w:rPr>
                <w:sz w:val="20"/>
                <w:szCs w:val="20"/>
                <w:color w:val="auto"/>
              </w:rPr>
            </w:pPr>
            <w:r>
              <w:rPr>
                <w:rFonts w:ascii="Arial" w:cs="Arial" w:eastAsia="Arial" w:hAnsi="Arial"/>
                <w:sz w:val="13"/>
                <w:szCs w:val="13"/>
                <w:b w:val="1"/>
                <w:bCs w:val="1"/>
                <w:color w:val="00AE4F"/>
              </w:rPr>
              <w:t>   Directors, Director Nominees, and Named Executive</w:t>
            </w:r>
          </w:p>
        </w:tc>
        <w:tc>
          <w:tcPr>
            <w:tcW w:w="380" w:type="dxa"/>
            <w:vAlign w:val="bottom"/>
          </w:tcPr>
          <w:p>
            <w:pPr>
              <w:spacing w:after="0"/>
              <w:rPr>
                <w:sz w:val="12"/>
                <w:szCs w:val="12"/>
                <w:color w:val="auto"/>
              </w:rPr>
            </w:pPr>
          </w:p>
        </w:tc>
        <w:tc>
          <w:tcPr>
            <w:tcW w:w="1960" w:type="dxa"/>
            <w:vAlign w:val="bottom"/>
          </w:tcPr>
          <w:p>
            <w:pPr>
              <w:jc w:val="center"/>
              <w:ind w:right="614"/>
              <w:spacing w:after="0"/>
              <w:rPr>
                <w:sz w:val="20"/>
                <w:szCs w:val="20"/>
                <w:color w:val="auto"/>
              </w:rPr>
            </w:pPr>
            <w:r>
              <w:rPr>
                <w:rFonts w:ascii="Arial" w:cs="Arial" w:eastAsia="Arial" w:hAnsi="Arial"/>
                <w:sz w:val="13"/>
                <w:szCs w:val="13"/>
                <w:b w:val="1"/>
                <w:bCs w:val="1"/>
                <w:color w:val="00AE4F"/>
              </w:rPr>
              <w:t>Nature of Beneficial</w:t>
            </w:r>
          </w:p>
        </w:tc>
        <w:tc>
          <w:tcPr>
            <w:tcW w:w="1000" w:type="dxa"/>
            <w:vAlign w:val="bottom"/>
          </w:tcPr>
          <w:p>
            <w:pPr>
              <w:ind w:left="100"/>
              <w:spacing w:after="0"/>
              <w:rPr>
                <w:sz w:val="20"/>
                <w:szCs w:val="20"/>
                <w:color w:val="auto"/>
              </w:rPr>
            </w:pPr>
            <w:r>
              <w:rPr>
                <w:rFonts w:ascii="Arial" w:cs="Arial" w:eastAsia="Arial" w:hAnsi="Arial"/>
                <w:sz w:val="13"/>
                <w:szCs w:val="13"/>
                <w:b w:val="1"/>
                <w:bCs w:val="1"/>
                <w:color w:val="00AE4F"/>
              </w:rPr>
              <w:t>Percent of</w:t>
            </w:r>
          </w:p>
        </w:tc>
        <w:tc>
          <w:tcPr>
            <w:tcW w:w="2280" w:type="dxa"/>
            <w:vAlign w:val="bottom"/>
          </w:tcPr>
          <w:p>
            <w:pPr>
              <w:jc w:val="center"/>
              <w:ind w:right="534"/>
              <w:spacing w:after="0"/>
              <w:rPr>
                <w:sz w:val="20"/>
                <w:szCs w:val="20"/>
                <w:color w:val="auto"/>
              </w:rPr>
            </w:pPr>
            <w:r>
              <w:rPr>
                <w:rFonts w:ascii="Arial" w:cs="Arial" w:eastAsia="Arial" w:hAnsi="Arial"/>
                <w:sz w:val="13"/>
                <w:szCs w:val="13"/>
                <w:b w:val="1"/>
                <w:bCs w:val="1"/>
                <w:color w:val="00AE4F"/>
              </w:rPr>
              <w:t>Nature of Beneficial</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AE4F"/>
              </w:rPr>
              <w:t>Percent of</w:t>
            </w:r>
          </w:p>
        </w:tc>
      </w:tr>
      <w:tr>
        <w:trPr>
          <w:trHeight w:val="180"/>
        </w:trPr>
        <w:tc>
          <w:tcPr>
            <w:tcW w:w="3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00AE4F"/>
              </w:rPr>
              <w:t>   Officers</w:t>
            </w: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614"/>
              <w:spacing w:after="0"/>
              <w:rPr>
                <w:sz w:val="20"/>
                <w:szCs w:val="20"/>
                <w:color w:val="auto"/>
              </w:rPr>
            </w:pPr>
            <w:r>
              <w:rPr>
                <w:rFonts w:ascii="Arial" w:cs="Arial" w:eastAsia="Arial" w:hAnsi="Arial"/>
                <w:sz w:val="13"/>
                <w:szCs w:val="13"/>
                <w:b w:val="1"/>
                <w:bCs w:val="1"/>
                <w:color w:val="00AE4F"/>
              </w:rPr>
              <w:t>Ownership</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00AE4F"/>
              </w:rPr>
              <w:t>Class</w:t>
            </w:r>
          </w:p>
        </w:tc>
        <w:tc>
          <w:tcPr>
            <w:tcW w:w="2280" w:type="dxa"/>
            <w:vAlign w:val="bottom"/>
            <w:tcBorders>
              <w:bottom w:val="single" w:sz="8" w:color="auto"/>
            </w:tcBorders>
          </w:tcPr>
          <w:p>
            <w:pPr>
              <w:jc w:val="center"/>
              <w:ind w:right="534"/>
              <w:spacing w:after="0"/>
              <w:rPr>
                <w:sz w:val="20"/>
                <w:szCs w:val="20"/>
                <w:color w:val="auto"/>
              </w:rPr>
            </w:pPr>
            <w:r>
              <w:rPr>
                <w:rFonts w:ascii="Arial" w:cs="Arial" w:eastAsia="Arial" w:hAnsi="Arial"/>
                <w:sz w:val="13"/>
                <w:szCs w:val="13"/>
                <w:b w:val="1"/>
                <w:bCs w:val="1"/>
                <w:color w:val="00AE4F"/>
              </w:rPr>
              <w:t>Ownership</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Class</w:t>
            </w:r>
          </w:p>
        </w:tc>
      </w:tr>
      <w:tr>
        <w:trPr>
          <w:trHeight w:val="178"/>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b w:val="1"/>
                <w:bCs w:val="1"/>
                <w:color w:val="auto"/>
              </w:rPr>
              <w:t>Directors:</w:t>
            </w:r>
          </w:p>
        </w:tc>
        <w:tc>
          <w:tcPr>
            <w:tcW w:w="380" w:type="dxa"/>
            <w:vAlign w:val="bottom"/>
            <w:tcBorders>
              <w:bottom w:val="single" w:sz="8" w:color="7F7F7F"/>
            </w:tcBorders>
          </w:tcPr>
          <w:p>
            <w:pPr>
              <w:spacing w:after="0"/>
              <w:rPr>
                <w:sz w:val="15"/>
                <w:szCs w:val="15"/>
                <w:color w:val="auto"/>
              </w:rPr>
            </w:pPr>
          </w:p>
        </w:tc>
        <w:tc>
          <w:tcPr>
            <w:tcW w:w="1960" w:type="dxa"/>
            <w:vAlign w:val="bottom"/>
            <w:tcBorders>
              <w:bottom w:val="single" w:sz="8" w:color="7F7F7F"/>
            </w:tcBorders>
          </w:tcPr>
          <w:p>
            <w:pPr>
              <w:spacing w:after="0"/>
              <w:rPr>
                <w:sz w:val="15"/>
                <w:szCs w:val="15"/>
                <w:color w:val="auto"/>
              </w:rPr>
            </w:pPr>
          </w:p>
        </w:tc>
        <w:tc>
          <w:tcPr>
            <w:tcW w:w="1000" w:type="dxa"/>
            <w:vAlign w:val="bottom"/>
            <w:tcBorders>
              <w:bottom w:val="single" w:sz="8" w:color="7F7F7F"/>
            </w:tcBorders>
          </w:tcPr>
          <w:p>
            <w:pPr>
              <w:spacing w:after="0"/>
              <w:rPr>
                <w:sz w:val="15"/>
                <w:szCs w:val="15"/>
                <w:color w:val="auto"/>
              </w:rPr>
            </w:pPr>
          </w:p>
        </w:tc>
        <w:tc>
          <w:tcPr>
            <w:tcW w:w="2280" w:type="dxa"/>
            <w:vAlign w:val="bottom"/>
            <w:tcBorders>
              <w:bottom w:val="single" w:sz="8" w:color="7F7F7F"/>
            </w:tcBorders>
          </w:tcPr>
          <w:p>
            <w:pPr>
              <w:spacing w:after="0"/>
              <w:rPr>
                <w:sz w:val="15"/>
                <w:szCs w:val="15"/>
                <w:color w:val="auto"/>
              </w:rPr>
            </w:pPr>
          </w:p>
        </w:tc>
        <w:tc>
          <w:tcPr>
            <w:tcW w:w="680" w:type="dxa"/>
            <w:vAlign w:val="bottom"/>
            <w:tcBorders>
              <w:bottom w:val="single" w:sz="8" w:color="7F7F7F"/>
            </w:tcBorders>
          </w:tcPr>
          <w:p>
            <w:pPr>
              <w:spacing w:after="0"/>
              <w:rPr>
                <w:sz w:val="15"/>
                <w:szCs w:val="15"/>
                <w:color w:val="auto"/>
              </w:rPr>
            </w:pPr>
          </w:p>
        </w:tc>
      </w:tr>
      <w:tr>
        <w:trPr>
          <w:trHeight w:val="254"/>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Angela Brock-Kyle</w:t>
            </w:r>
            <w:r>
              <w:rPr>
                <w:rFonts w:ascii="Arial" w:cs="Arial" w:eastAsia="Arial" w:hAnsi="Arial"/>
                <w:sz w:val="19"/>
                <w:szCs w:val="19"/>
                <w:color w:val="auto"/>
                <w:vertAlign w:val="superscript"/>
              </w:rPr>
              <w:t>(3)</w:t>
            </w:r>
          </w:p>
        </w:tc>
        <w:tc>
          <w:tcPr>
            <w:tcW w:w="2340" w:type="dxa"/>
            <w:vAlign w:val="bottom"/>
            <w:tcBorders>
              <w:bottom w:val="single" w:sz="8" w:color="7F7F7F"/>
            </w:tcBorders>
            <w:gridSpan w:val="2"/>
          </w:tcPr>
          <w:p>
            <w:pPr>
              <w:jc w:val="right"/>
              <w:ind w:right="534"/>
              <w:spacing w:after="0"/>
              <w:rPr>
                <w:sz w:val="20"/>
                <w:szCs w:val="20"/>
                <w:color w:val="auto"/>
              </w:rPr>
            </w:pPr>
            <w:r>
              <w:rPr>
                <w:rFonts w:ascii="Arial" w:cs="Arial" w:eastAsia="Arial" w:hAnsi="Arial"/>
                <w:sz w:val="13"/>
                <w:szCs w:val="13"/>
                <w:color w:val="auto"/>
              </w:rPr>
              <w:t>6,887</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Robert S. Cubbin</w:t>
            </w:r>
          </w:p>
        </w:tc>
        <w:tc>
          <w:tcPr>
            <w:tcW w:w="2340" w:type="dxa"/>
            <w:vAlign w:val="bottom"/>
            <w:tcBorders>
              <w:bottom w:val="single" w:sz="8" w:color="7F7F7F"/>
            </w:tcBorders>
            <w:gridSpan w:val="2"/>
          </w:tcPr>
          <w:p>
            <w:pPr>
              <w:jc w:val="right"/>
              <w:ind w:right="414"/>
              <w:spacing w:after="0"/>
              <w:rPr>
                <w:sz w:val="20"/>
                <w:szCs w:val="20"/>
                <w:color w:val="auto"/>
              </w:rPr>
            </w:pPr>
            <w:r>
              <w:rPr>
                <w:rFonts w:ascii="Arial" w:cs="Arial" w:eastAsia="Arial" w:hAnsi="Arial"/>
                <w:sz w:val="13"/>
                <w:szCs w:val="13"/>
                <w:color w:val="auto"/>
              </w:rPr>
              <w:t>75,663</w:t>
            </w:r>
            <w:r>
              <w:rPr>
                <w:rFonts w:ascii="Arial" w:cs="Arial" w:eastAsia="Arial" w:hAnsi="Arial"/>
                <w:sz w:val="19"/>
                <w:szCs w:val="19"/>
                <w:color w:val="auto"/>
                <w:vertAlign w:val="superscript"/>
              </w:rPr>
              <w:t>(2)</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Amala Duggirala</w:t>
            </w:r>
          </w:p>
        </w:tc>
        <w:tc>
          <w:tcPr>
            <w:tcW w:w="2340" w:type="dxa"/>
            <w:vAlign w:val="bottom"/>
            <w:tcBorders>
              <w:bottom w:val="single" w:sz="8" w:color="7F7F7F"/>
            </w:tcBorders>
            <w:gridSpan w:val="2"/>
          </w:tcPr>
          <w:p>
            <w:pPr>
              <w:jc w:val="right"/>
              <w:ind w:right="414"/>
              <w:spacing w:after="0"/>
              <w:rPr>
                <w:sz w:val="20"/>
                <w:szCs w:val="20"/>
                <w:color w:val="auto"/>
              </w:rPr>
            </w:pPr>
            <w:r>
              <w:rPr>
                <w:rFonts w:ascii="Arial" w:cs="Arial" w:eastAsia="Arial" w:hAnsi="Arial"/>
                <w:sz w:val="13"/>
                <w:szCs w:val="13"/>
                <w:color w:val="auto"/>
              </w:rPr>
              <w:t>38,757</w:t>
            </w:r>
            <w:r>
              <w:rPr>
                <w:rFonts w:ascii="Arial" w:cs="Arial" w:eastAsia="Arial" w:hAnsi="Arial"/>
                <w:sz w:val="19"/>
                <w:szCs w:val="19"/>
                <w:color w:val="auto"/>
                <w:vertAlign w:val="superscript"/>
              </w:rPr>
              <w:t>(2)</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Edward Escudero</w:t>
            </w:r>
            <w:r>
              <w:rPr>
                <w:rFonts w:ascii="Arial" w:cs="Arial" w:eastAsia="Arial" w:hAnsi="Arial"/>
                <w:sz w:val="19"/>
                <w:szCs w:val="19"/>
                <w:color w:val="auto"/>
                <w:vertAlign w:val="superscript"/>
              </w:rPr>
              <w:t>(3)</w:t>
            </w:r>
          </w:p>
        </w:tc>
        <w:tc>
          <w:tcPr>
            <w:tcW w:w="2340" w:type="dxa"/>
            <w:vAlign w:val="bottom"/>
            <w:tcBorders>
              <w:bottom w:val="single" w:sz="8" w:color="7F7F7F"/>
            </w:tcBorders>
            <w:gridSpan w:val="2"/>
          </w:tcPr>
          <w:p>
            <w:pPr>
              <w:jc w:val="right"/>
              <w:ind w:right="534"/>
              <w:spacing w:after="0"/>
              <w:rPr>
                <w:sz w:val="20"/>
                <w:szCs w:val="20"/>
                <w:color w:val="auto"/>
              </w:rPr>
            </w:pPr>
            <w:r>
              <w:rPr>
                <w:rFonts w:ascii="Arial" w:cs="Arial" w:eastAsia="Arial" w:hAnsi="Arial"/>
                <w:sz w:val="13"/>
                <w:szCs w:val="13"/>
                <w:color w:val="auto"/>
              </w:rPr>
              <w:t>6,887</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James Chrisotpher Hunt</w:t>
            </w:r>
            <w:r>
              <w:rPr>
                <w:rFonts w:ascii="Arial" w:cs="Arial" w:eastAsia="Arial" w:hAnsi="Arial"/>
                <w:sz w:val="19"/>
                <w:szCs w:val="19"/>
                <w:color w:val="auto"/>
                <w:vertAlign w:val="superscript"/>
              </w:rPr>
              <w:t>(3)</w:t>
            </w:r>
          </w:p>
        </w:tc>
        <w:tc>
          <w:tcPr>
            <w:tcW w:w="2340" w:type="dxa"/>
            <w:vAlign w:val="bottom"/>
            <w:tcBorders>
              <w:bottom w:val="single" w:sz="8" w:color="7F7F7F"/>
            </w:tcBorders>
            <w:gridSpan w:val="2"/>
          </w:tcPr>
          <w:p>
            <w:pPr>
              <w:jc w:val="right"/>
              <w:ind w:right="534"/>
              <w:spacing w:after="0"/>
              <w:rPr>
                <w:sz w:val="20"/>
                <w:szCs w:val="20"/>
                <w:color w:val="auto"/>
              </w:rPr>
            </w:pPr>
            <w:r>
              <w:rPr>
                <w:rFonts w:ascii="Arial" w:cs="Arial" w:eastAsia="Arial" w:hAnsi="Arial"/>
                <w:sz w:val="13"/>
                <w:szCs w:val="13"/>
                <w:color w:val="auto"/>
              </w:rPr>
              <w:t>35,181</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James K. Hunt</w:t>
            </w:r>
            <w:r>
              <w:rPr>
                <w:rFonts w:ascii="Arial" w:cs="Arial" w:eastAsia="Arial" w:hAnsi="Arial"/>
                <w:sz w:val="19"/>
                <w:szCs w:val="19"/>
                <w:color w:val="auto"/>
                <w:vertAlign w:val="superscript"/>
              </w:rPr>
              <w:t>(3)</w:t>
            </w:r>
          </w:p>
        </w:tc>
        <w:tc>
          <w:tcPr>
            <w:tcW w:w="2340" w:type="dxa"/>
            <w:vAlign w:val="bottom"/>
            <w:tcBorders>
              <w:bottom w:val="single" w:sz="8" w:color="7F7F7F"/>
            </w:tcBorders>
            <w:gridSpan w:val="2"/>
          </w:tcPr>
          <w:p>
            <w:pPr>
              <w:jc w:val="right"/>
              <w:ind w:right="534"/>
              <w:spacing w:after="0"/>
              <w:rPr>
                <w:sz w:val="20"/>
                <w:szCs w:val="20"/>
                <w:color w:val="auto"/>
              </w:rPr>
            </w:pPr>
            <w:r>
              <w:rPr>
                <w:rFonts w:ascii="Arial" w:cs="Arial" w:eastAsia="Arial" w:hAnsi="Arial"/>
                <w:sz w:val="13"/>
                <w:szCs w:val="13"/>
                <w:color w:val="auto"/>
              </w:rPr>
              <w:t>3,732</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Leslie A. Murphy</w:t>
            </w:r>
          </w:p>
        </w:tc>
        <w:tc>
          <w:tcPr>
            <w:tcW w:w="2340" w:type="dxa"/>
            <w:vAlign w:val="bottom"/>
            <w:tcBorders>
              <w:bottom w:val="single" w:sz="8" w:color="7F7F7F"/>
            </w:tcBorders>
            <w:gridSpan w:val="2"/>
          </w:tcPr>
          <w:p>
            <w:pPr>
              <w:jc w:val="right"/>
              <w:ind w:right="414"/>
              <w:spacing w:after="0"/>
              <w:rPr>
                <w:sz w:val="20"/>
                <w:szCs w:val="20"/>
                <w:color w:val="auto"/>
              </w:rPr>
            </w:pPr>
            <w:r>
              <w:rPr>
                <w:rFonts w:ascii="Arial" w:cs="Arial" w:eastAsia="Arial" w:hAnsi="Arial"/>
                <w:sz w:val="13"/>
                <w:szCs w:val="13"/>
                <w:color w:val="auto"/>
              </w:rPr>
              <w:t>68,781</w:t>
            </w:r>
            <w:r>
              <w:rPr>
                <w:rFonts w:ascii="Arial" w:cs="Arial" w:eastAsia="Arial" w:hAnsi="Arial"/>
                <w:sz w:val="19"/>
                <w:szCs w:val="19"/>
                <w:color w:val="auto"/>
                <w:vertAlign w:val="superscript"/>
              </w:rPr>
              <w:t>(2)</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Ryan B. McCrory</w:t>
            </w: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Michael J. Wartell</w:t>
            </w: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George H. Young III</w:t>
            </w: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14"/>
        </w:trPr>
        <w:tc>
          <w:tcPr>
            <w:tcW w:w="3840" w:type="dxa"/>
            <w:vAlign w:val="bottom"/>
            <w:gridSpan w:val="3"/>
          </w:tcPr>
          <w:p>
            <w:pPr>
              <w:ind w:left="60"/>
              <w:spacing w:after="0"/>
              <w:rPr>
                <w:sz w:val="20"/>
                <w:szCs w:val="20"/>
                <w:color w:val="auto"/>
              </w:rPr>
            </w:pPr>
            <w:r>
              <w:rPr>
                <w:rFonts w:ascii="Arial" w:cs="Arial" w:eastAsia="Arial" w:hAnsi="Arial"/>
                <w:sz w:val="13"/>
                <w:szCs w:val="13"/>
                <w:b w:val="1"/>
                <w:bCs w:val="1"/>
                <w:color w:val="auto"/>
              </w:rPr>
              <w:t>Named Executive Officers:</w:t>
            </w: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gridSpan w:val="2"/>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Christopher D. Layden (also a director)</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372,513</w:t>
            </w: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gridSpan w:val="2"/>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Troy R. Anderson</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229,486</w:t>
            </w: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gridSpan w:val="2"/>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53"/>
        </w:trPr>
        <w:tc>
          <w:tcPr>
            <w:tcW w:w="3840" w:type="dxa"/>
            <w:vAlign w:val="bottom"/>
            <w:tcBorders>
              <w:bottom w:val="single" w:sz="8" w:color="7F7F7F"/>
            </w:tcBorders>
            <w:gridSpan w:val="3"/>
          </w:tcPr>
          <w:p>
            <w:pPr>
              <w:ind w:left="60"/>
              <w:spacing w:after="0"/>
              <w:rPr>
                <w:sz w:val="20"/>
                <w:szCs w:val="20"/>
                <w:color w:val="auto"/>
              </w:rPr>
            </w:pPr>
            <w:r>
              <w:rPr>
                <w:rFonts w:ascii="Arial" w:cs="Arial" w:eastAsia="Arial" w:hAnsi="Arial"/>
                <w:sz w:val="13"/>
                <w:szCs w:val="13"/>
                <w:color w:val="auto"/>
              </w:rPr>
              <w:t xml:space="preserve">Tammy L. Browning </w:t>
            </w:r>
            <w:r>
              <w:rPr>
                <w:rFonts w:ascii="Arial" w:cs="Arial" w:eastAsia="Arial" w:hAnsi="Arial"/>
                <w:sz w:val="19"/>
                <w:szCs w:val="19"/>
                <w:color w:val="auto"/>
                <w:vertAlign w:val="superscript"/>
              </w:rPr>
              <w:t>(4)</w:t>
            </w:r>
          </w:p>
        </w:tc>
        <w:tc>
          <w:tcPr>
            <w:tcW w:w="2340" w:type="dxa"/>
            <w:vAlign w:val="bottom"/>
            <w:tcBorders>
              <w:bottom w:val="single" w:sz="8" w:color="7F7F7F"/>
            </w:tcBorders>
            <w:gridSpan w:val="2"/>
          </w:tcPr>
          <w:p>
            <w:pPr>
              <w:jc w:val="right"/>
              <w:ind w:right="534"/>
              <w:spacing w:after="0"/>
              <w:rPr>
                <w:sz w:val="20"/>
                <w:szCs w:val="20"/>
                <w:color w:val="auto"/>
              </w:rPr>
            </w:pPr>
            <w:r>
              <w:rPr>
                <w:rFonts w:ascii="Arial" w:cs="Arial" w:eastAsia="Arial" w:hAnsi="Arial"/>
                <w:sz w:val="13"/>
                <w:szCs w:val="13"/>
                <w:color w:val="auto"/>
              </w:rPr>
              <w:t>110,830</w:t>
            </w:r>
          </w:p>
        </w:tc>
        <w:tc>
          <w:tcPr>
            <w:tcW w:w="1000" w:type="dxa"/>
            <w:vAlign w:val="bottom"/>
            <w:tcBorders>
              <w:bottom w:val="single" w:sz="8" w:color="7F7F7F"/>
            </w:tcBorders>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Borders>
              <w:bottom w:val="single" w:sz="8" w:color="7F7F7F"/>
            </w:tcBorders>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78"/>
              </w:rPr>
              <w:t>*</w:t>
            </w: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Vanessa P. Williams</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113,340</w:t>
            </w: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gridSpan w:val="2"/>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Nicola M. Soares</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76,992</w:t>
            </w: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17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Former Executives</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4"/>
        </w:trPr>
        <w:tc>
          <w:tcPr>
            <w:tcW w:w="60" w:type="dxa"/>
            <w:vAlign w:val="bottom"/>
            <w:tcBorders>
              <w:bottom w:val="single" w:sz="8" w:color="7F7F7F"/>
            </w:tcBorders>
          </w:tcPr>
          <w:p>
            <w:pPr>
              <w:spacing w:after="0"/>
              <w:rPr>
                <w:sz w:val="4"/>
                <w:szCs w:val="4"/>
                <w:color w:val="auto"/>
              </w:rPr>
            </w:pPr>
          </w:p>
        </w:tc>
        <w:tc>
          <w:tcPr>
            <w:tcW w:w="1120" w:type="dxa"/>
            <w:vAlign w:val="bottom"/>
            <w:tcBorders>
              <w:top w:val="single" w:sz="8" w:color="auto"/>
              <w:bottom w:val="single" w:sz="8" w:color="7F7F7F"/>
            </w:tcBorders>
          </w:tcPr>
          <w:p>
            <w:pPr>
              <w:spacing w:after="0"/>
              <w:rPr>
                <w:sz w:val="4"/>
                <w:szCs w:val="4"/>
                <w:color w:val="auto"/>
              </w:rPr>
            </w:pPr>
          </w:p>
        </w:tc>
        <w:tc>
          <w:tcPr>
            <w:tcW w:w="266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28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r>
      <w:tr>
        <w:trPr>
          <w:trHeight w:val="208"/>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Peter W. Quigley</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465,176</w:t>
            </w:r>
          </w:p>
        </w:tc>
        <w:tc>
          <w:tcPr>
            <w:tcW w:w="1000" w:type="dxa"/>
            <w:vAlign w:val="bottom"/>
          </w:tcPr>
          <w:p>
            <w:pPr>
              <w:jc w:val="center"/>
              <w:ind w:right="94"/>
              <w:spacing w:after="0"/>
              <w:rPr>
                <w:sz w:val="20"/>
                <w:szCs w:val="20"/>
                <w:color w:val="auto"/>
              </w:rPr>
            </w:pPr>
            <w:r>
              <w:rPr>
                <w:rFonts w:ascii="Arial" w:cs="Arial" w:eastAsia="Arial" w:hAnsi="Arial"/>
                <w:sz w:val="13"/>
                <w:szCs w:val="13"/>
                <w:color w:val="auto"/>
                <w:w w:val="78"/>
              </w:rPr>
              <w:t>*</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680" w:type="dxa"/>
            <w:vAlign w:val="bottom"/>
          </w:tcPr>
          <w:p>
            <w:pPr>
              <w:jc w:val="center"/>
              <w:spacing w:after="0"/>
              <w:rPr>
                <w:sz w:val="20"/>
                <w:szCs w:val="20"/>
                <w:color w:val="auto"/>
              </w:rPr>
            </w:pPr>
            <w:r>
              <w:rPr>
                <w:rFonts w:ascii="Arial" w:cs="Arial" w:eastAsia="Arial" w:hAnsi="Arial"/>
                <w:sz w:val="13"/>
                <w:szCs w:val="13"/>
                <w:color w:val="auto"/>
                <w:w w:val="78"/>
              </w:rPr>
              <w:t>*</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r>
        <w:trPr>
          <w:trHeight w:val="183"/>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All directors, director nominees, and executive</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4"/>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officers as a Group (20 persons)</w:t>
            </w:r>
          </w:p>
        </w:tc>
        <w:tc>
          <w:tcPr>
            <w:tcW w:w="2340" w:type="dxa"/>
            <w:vAlign w:val="bottom"/>
            <w:gridSpan w:val="2"/>
          </w:tcPr>
          <w:p>
            <w:pPr>
              <w:jc w:val="right"/>
              <w:ind w:right="534"/>
              <w:spacing w:after="0"/>
              <w:rPr>
                <w:sz w:val="20"/>
                <w:szCs w:val="20"/>
                <w:color w:val="auto"/>
              </w:rPr>
            </w:pPr>
            <w:r>
              <w:rPr>
                <w:rFonts w:ascii="Arial" w:cs="Arial" w:eastAsia="Arial" w:hAnsi="Arial"/>
                <w:sz w:val="13"/>
                <w:szCs w:val="13"/>
                <w:color w:val="auto"/>
              </w:rPr>
              <w:t>1,805,710</w:t>
            </w:r>
          </w:p>
        </w:tc>
        <w:tc>
          <w:tcPr>
            <w:tcW w:w="1000" w:type="dxa"/>
            <w:vAlign w:val="bottom"/>
          </w:tcPr>
          <w:p>
            <w:pPr>
              <w:jc w:val="center"/>
              <w:ind w:right="114"/>
              <w:spacing w:after="0"/>
              <w:rPr>
                <w:sz w:val="20"/>
                <w:szCs w:val="20"/>
                <w:color w:val="auto"/>
              </w:rPr>
            </w:pPr>
            <w:r>
              <w:rPr>
                <w:rFonts w:ascii="Arial" w:cs="Arial" w:eastAsia="Arial" w:hAnsi="Arial"/>
                <w:sz w:val="13"/>
                <w:szCs w:val="13"/>
                <w:color w:val="auto"/>
                <w:w w:val="99"/>
              </w:rPr>
              <w:t>5.4</w:t>
            </w:r>
          </w:p>
        </w:tc>
        <w:tc>
          <w:tcPr>
            <w:tcW w:w="2280" w:type="dxa"/>
            <w:vAlign w:val="bottom"/>
          </w:tcPr>
          <w:p>
            <w:pPr>
              <w:jc w:val="right"/>
              <w:ind w:right="674"/>
              <w:spacing w:after="0"/>
              <w:rPr>
                <w:sz w:val="20"/>
                <w:szCs w:val="20"/>
                <w:color w:val="auto"/>
              </w:rPr>
            </w:pPr>
            <w:r>
              <w:rPr>
                <w:rFonts w:ascii="Arial" w:cs="Arial" w:eastAsia="Arial" w:hAnsi="Arial"/>
                <w:sz w:val="13"/>
                <w:szCs w:val="13"/>
                <w:color w:val="auto"/>
              </w:rPr>
              <w:t>700</w:t>
            </w: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45"/>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6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r>
    </w:tbl>
    <w:p>
      <w:pPr>
        <w:spacing w:after="0" w:line="96" w:lineRule="exact"/>
        <w:rPr>
          <w:sz w:val="20"/>
          <w:szCs w:val="20"/>
          <w:color w:val="auto"/>
        </w:rPr>
      </w:pPr>
    </w:p>
    <w:p>
      <w:pPr>
        <w:ind w:left="860" w:right="40" w:hanging="296"/>
        <w:spacing w:after="0" w:line="222" w:lineRule="auto"/>
        <w:tabs>
          <w:tab w:leader="none" w:pos="8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This information is based on the Schedule 13D/A filed with the SEC on January 30, 2026, on behalf of the Terence E. Adderley Revocable Trust K (“Trust K”) and the three co-trustees of Trust K. On January 9, 2026, Trust K entered into a Share Purchase Agreement with Hunt, pursuant to which Trust K agreed to sell to Hunt 3,039,940 shares of Class B Stock (representing all of the shares of Class B Stock beneficially owned by Trust K). The Share Sale closed on January 30, 2026, resulting in Hunt becoming the controlling shareholder of Kelly with 92.2% of the Class B Common Stock (see also the Schedule 13D filed with the SEC on January 30, 2026, on behalf of Hunt). As a result of the sale, Trust K, and Trustees, Mr. Larsen and Mr. Parfet no longer beneficially own any shares of Class B Stock. After completion of the Share Sale, Trustee Mr. Curoe no longer is deemed the beneficial owner of Trust K’s shares of Class B Stock, but he may continue to be deemed the beneficial owner of an additional 42,825 shares of Class B Stock held by trusts other than Trust K where Mr. Curoe acts as trustee or co-trustee, including ten trusts holding 100 shares of Class B Stock each, and one trust holding 41,825 shares of Class B Stock.</w:t>
      </w:r>
    </w:p>
    <w:p>
      <w:pPr>
        <w:spacing w:after="0" w:line="49" w:lineRule="exact"/>
        <w:rPr>
          <w:rFonts w:ascii="Arial" w:cs="Arial" w:eastAsia="Arial" w:hAnsi="Arial"/>
          <w:sz w:val="12"/>
          <w:szCs w:val="12"/>
          <w:color w:val="auto"/>
        </w:rPr>
      </w:pPr>
    </w:p>
    <w:p>
      <w:pPr>
        <w:ind w:left="860" w:right="140" w:hanging="296"/>
        <w:spacing w:after="0" w:line="238" w:lineRule="auto"/>
        <w:tabs>
          <w:tab w:leader="none" w:pos="8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Includes 64,833 shares for Mr. Cubbin, 38,757 shares for Ms. Duggirala, and 37,304 shares for Ms. Murphy indirectly held in the Company’s Non-Employee Directors Deferred Compensation Plan.</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72"/>
        </w:numPr>
        <w:rPr>
          <w:rFonts w:ascii="Arial" w:cs="Arial" w:eastAsia="Arial" w:hAnsi="Arial"/>
          <w:sz w:val="10"/>
          <w:szCs w:val="10"/>
          <w:color w:val="auto"/>
        </w:rPr>
      </w:pPr>
      <w:r>
        <w:rPr>
          <w:rFonts w:ascii="Arial" w:cs="Arial" w:eastAsia="Arial" w:hAnsi="Arial"/>
          <w:sz w:val="10"/>
          <w:szCs w:val="10"/>
          <w:color w:val="auto"/>
        </w:rPr>
        <w:t>Messrs. James Christopher Hunt, James K. Hunt and Edward Escudero, and Ms. Angela Brock-Kyle were appointed to the Company’s Board of Directors effective as of January 30, 2026.</w:t>
      </w:r>
    </w:p>
    <w:p>
      <w:pPr>
        <w:spacing w:after="0" w:line="83" w:lineRule="exact"/>
        <w:rPr>
          <w:rFonts w:ascii="Arial" w:cs="Arial" w:eastAsia="Arial" w:hAnsi="Arial"/>
          <w:sz w:val="10"/>
          <w:szCs w:val="10"/>
          <w:color w:val="auto"/>
        </w:rPr>
      </w:pPr>
    </w:p>
    <w:p>
      <w:pPr>
        <w:ind w:left="860" w:hanging="296"/>
        <w:spacing w:after="0"/>
        <w:tabs>
          <w:tab w:leader="none" w:pos="8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Ms. Browning separated from the company effective as of March 6, 2026.</w:t>
      </w:r>
    </w:p>
    <w:p>
      <w:pPr>
        <w:spacing w:after="0" w:line="112" w:lineRule="exact"/>
        <w:rPr>
          <w:rFonts w:ascii="Arial" w:cs="Arial" w:eastAsia="Arial" w:hAnsi="Arial"/>
          <w:sz w:val="12"/>
          <w:szCs w:val="12"/>
          <w:color w:val="auto"/>
        </w:rPr>
      </w:pPr>
    </w:p>
    <w:p>
      <w:pPr>
        <w:ind w:left="9360" w:hanging="244"/>
        <w:spacing w:after="0"/>
        <w:tabs>
          <w:tab w:leader="none" w:pos="9360" w:val="left"/>
        </w:tabs>
        <w:numPr>
          <w:ilvl w:val="2"/>
          <w:numId w:val="72"/>
        </w:numPr>
        <w:rPr>
          <w:rFonts w:ascii="Arial" w:cs="Arial" w:eastAsia="Arial" w:hAnsi="Arial"/>
          <w:sz w:val="19"/>
          <w:szCs w:val="19"/>
          <w:color w:val="auto"/>
        </w:rPr>
      </w:pPr>
      <w:r>
        <w:rPr>
          <w:rFonts w:ascii="Arial" w:cs="Arial" w:eastAsia="Arial" w:hAnsi="Arial"/>
          <w:sz w:val="1"/>
          <w:szCs w:val="1"/>
          <w:color w:val="auto"/>
        </w:rPr>
        <w:drawing>
          <wp:inline distT="0" distB="0" distL="0" distR="0">
            <wp:extent cx="377825" cy="17335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19"/>
          <w:szCs w:val="19"/>
          <w:color w:val="auto"/>
        </w:rPr>
        <w:t xml:space="preserve">     </w:t>
      </w:r>
      <w:r>
        <w:rPr>
          <w:rFonts w:ascii="Arial" w:cs="Arial" w:eastAsia="Arial" w:hAnsi="Arial"/>
          <w:sz w:val="38"/>
          <w:szCs w:val="38"/>
          <w:color w:val="auto"/>
          <w:vertAlign w:val="superscript"/>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-260350</wp:posOffset>
            </wp:positionV>
            <wp:extent cx="7620" cy="212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right="880"/>
        <w:spacing w:after="0" w:line="286" w:lineRule="auto"/>
        <w:rPr>
          <w:sz w:val="20"/>
          <w:szCs w:val="20"/>
          <w:color w:val="auto"/>
        </w:rPr>
      </w:pPr>
      <w:r>
        <w:rPr>
          <w:rFonts w:ascii="Arial" w:cs="Arial" w:eastAsia="Arial" w:hAnsi="Arial"/>
          <w:sz w:val="30"/>
          <w:szCs w:val="30"/>
          <w:b w:val="1"/>
          <w:bCs w:val="1"/>
          <w:color w:val="auto"/>
        </w:rPr>
        <w:t>Proposal 2 – Advisory Vote to Approve the Company’s Executive Compensation</w:t>
      </w:r>
    </w:p>
    <w:p>
      <w:pPr>
        <w:spacing w:after="0" w:line="184" w:lineRule="exact"/>
        <w:rPr>
          <w:sz w:val="20"/>
          <w:szCs w:val="20"/>
          <w:color w:val="auto"/>
        </w:rPr>
      </w:pPr>
    </w:p>
    <w:p>
      <w:pPr>
        <w:ind w:left="560"/>
        <w:spacing w:after="0" w:line="269" w:lineRule="auto"/>
        <w:rPr>
          <w:sz w:val="20"/>
          <w:szCs w:val="20"/>
          <w:color w:val="auto"/>
        </w:rPr>
      </w:pPr>
      <w:r>
        <w:rPr>
          <w:rFonts w:ascii="Arial" w:cs="Arial" w:eastAsia="Arial" w:hAnsi="Arial"/>
          <w:sz w:val="14"/>
          <w:szCs w:val="14"/>
          <w:color w:val="auto"/>
        </w:rPr>
        <w:t>As described in the following Compensation Discussion and Analysis, our executive compensation programs are designed to align the interests of our executive officers with those of our shareholders by tying a significant portion of the compensation they receive to Company performance, and by providing a competitive level of compensation in order to attract, retain, and reward executive officers who are critical to the long-term success of our business. Under these programs, our named executive officers are rewarded for the Company’s financial performance, individual performance, and long-term value creation, as well as to facilitate retention, and reflect market realities. Please read the Compensation Discussion and Analysis for additional details about our executive compensation programs, including information about the fiscal year 2025 compensation of our named executive officers.</w:t>
      </w:r>
    </w:p>
    <w:p>
      <w:pPr>
        <w:spacing w:after="0" w:line="21" w:lineRule="exact"/>
        <w:rPr>
          <w:sz w:val="20"/>
          <w:szCs w:val="20"/>
          <w:color w:val="auto"/>
        </w:rPr>
      </w:pPr>
    </w:p>
    <w:p>
      <w:pPr>
        <w:ind w:left="560" w:right="80"/>
        <w:spacing w:after="0" w:line="258" w:lineRule="auto"/>
        <w:rPr>
          <w:sz w:val="20"/>
          <w:szCs w:val="20"/>
          <w:color w:val="auto"/>
        </w:rPr>
      </w:pPr>
      <w:r>
        <w:rPr>
          <w:rFonts w:ascii="Arial" w:cs="Arial" w:eastAsia="Arial" w:hAnsi="Arial"/>
          <w:sz w:val="15"/>
          <w:szCs w:val="15"/>
          <w:color w:val="auto"/>
        </w:rPr>
        <w:t>As required by Section 14A of the Exchange Act, this proposal, commonly referred to as a “say-on-pay” proposal, seeks a shareholder advisory vote on our named executive officers’ compensation, as disclosed in this Proxy Statement pursuant to Item 402 of Regulation S-K and in the Compensation Discussion and Analysis, through the following resolution:</w:t>
      </w:r>
    </w:p>
    <w:p>
      <w:pPr>
        <w:spacing w:after="0" w:line="27" w:lineRule="exact"/>
        <w:rPr>
          <w:sz w:val="20"/>
          <w:szCs w:val="20"/>
          <w:color w:val="auto"/>
        </w:rPr>
      </w:pPr>
    </w:p>
    <w:p>
      <w:pPr>
        <w:ind w:left="560" w:right="240"/>
        <w:spacing w:after="0" w:line="258" w:lineRule="auto"/>
        <w:rPr>
          <w:sz w:val="20"/>
          <w:szCs w:val="20"/>
          <w:color w:val="auto"/>
        </w:rPr>
      </w:pPr>
      <w:r>
        <w:rPr>
          <w:rFonts w:ascii="Arial" w:cs="Arial" w:eastAsia="Arial" w:hAnsi="Arial"/>
          <w:sz w:val="15"/>
          <w:szCs w:val="15"/>
          <w:color w:val="auto"/>
        </w:rPr>
        <w:t>“RESOLVED, that the Company’s shareholders approve, on an advisory basis, the compensation of the named executive officers, as disclosed in the Company’s Proxy Statement for the 2026 Annual Meeting of Shareholders pursuant to the compensation disclosure rules of the SEC, including the Compensation Discussion and Analysis, the 2025 Summary Compensation Table, and the other related tables and disclosure.”</w:t>
      </w:r>
    </w:p>
    <w:p>
      <w:pPr>
        <w:spacing w:after="0" w:line="39" w:lineRule="exact"/>
        <w:rPr>
          <w:sz w:val="20"/>
          <w:szCs w:val="20"/>
          <w:color w:val="auto"/>
        </w:rPr>
      </w:pPr>
    </w:p>
    <w:p>
      <w:pPr>
        <w:ind w:left="560" w:right="140"/>
        <w:spacing w:after="0" w:line="252" w:lineRule="auto"/>
        <w:rPr>
          <w:sz w:val="20"/>
          <w:szCs w:val="20"/>
          <w:color w:val="auto"/>
        </w:rPr>
      </w:pPr>
      <w:r>
        <w:rPr>
          <w:rFonts w:ascii="Arial" w:cs="Arial" w:eastAsia="Arial" w:hAnsi="Arial"/>
          <w:sz w:val="15"/>
          <w:szCs w:val="15"/>
          <w:color w:val="auto"/>
        </w:rPr>
        <w:t>The say-on-pay vote is advisory and, therefore, not binding on the Company. Our Board of Directors and our Compensation and Talent Management Committee value the opinions of our shareholders and consider the result of the advisory vote in designing and evaluating our executive compensation programs.</w:t>
      </w:r>
    </w:p>
    <w:p>
      <w:pPr>
        <w:spacing w:after="0" w:line="1"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44 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-211455</wp:posOffset>
            </wp:positionV>
            <wp:extent cx="7620" cy="212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00"/>
          </w:cols>
          <w:pgMar w:left="320" w:top="454"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29"/>
          <w:szCs w:val="29"/>
          <w:b w:val="1"/>
          <w:bCs w:val="1"/>
          <w:color w:val="auto"/>
        </w:rPr>
        <w:t>Compensation Discussion and Analysis</w:t>
      </w:r>
    </w:p>
    <w:p>
      <w:pPr>
        <w:sectPr>
          <w:pgSz w:w="11900" w:h="16838" w:orient="portrait"/>
          <w:cols w:equalWidth="0" w:num="1">
            <w:col w:w="10680"/>
          </w:cols>
          <w:pgMar w:left="320" w:top="454" w:right="8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60"/>
        <w:spacing w:after="0" w:line="247" w:lineRule="auto"/>
        <w:rPr>
          <w:sz w:val="20"/>
          <w:szCs w:val="20"/>
          <w:color w:val="auto"/>
        </w:rPr>
      </w:pPr>
      <w:r>
        <w:rPr>
          <w:rFonts w:ascii="Arial" w:cs="Arial" w:eastAsia="Arial" w:hAnsi="Arial"/>
          <w:sz w:val="15"/>
          <w:szCs w:val="15"/>
          <w:color w:val="auto"/>
        </w:rPr>
        <w:t>The Compensation Discussion and Analysis section of this Proxy Statement provides an overview of our executive compensation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108585</wp:posOffset>
            </wp:positionV>
            <wp:extent cx="3079750" cy="45523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79750" cy="4552315"/>
                    </a:xfrm>
                    <a:prstGeom prst="rect">
                      <a:avLst/>
                    </a:prstGeom>
                    <a:noFill/>
                  </pic:spPr>
                </pic:pic>
              </a:graphicData>
            </a:graphic>
          </wp:anchor>
        </w:drawing>
      </w:r>
    </w:p>
    <w:p>
      <w:pPr>
        <w:spacing w:after="0" w:line="224" w:lineRule="exact"/>
        <w:rPr>
          <w:sz w:val="20"/>
          <w:szCs w:val="20"/>
          <w:color w:val="auto"/>
        </w:rPr>
      </w:pPr>
    </w:p>
    <w:p>
      <w:pPr>
        <w:ind w:left="560"/>
        <w:spacing w:after="0"/>
        <w:tabs>
          <w:tab w:leader="none" w:pos="800" w:val="left"/>
          <w:tab w:leader="none" w:pos="492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20"/>
          <w:szCs w:val="20"/>
          <w:b w:val="1"/>
          <w:bCs w:val="1"/>
          <w:color w:val="auto"/>
        </w:rPr>
        <w:t>2025 Named Executive Officers</w:t>
      </w:r>
      <w:r>
        <w:rPr>
          <w:sz w:val="20"/>
          <w:szCs w:val="20"/>
          <w:color w:val="auto"/>
        </w:rPr>
        <w:tab/>
      </w:r>
      <w:r>
        <w:rPr>
          <w:rFonts w:ascii="Arial" w:cs="Arial" w:eastAsia="Arial" w:hAnsi="Arial"/>
          <w:sz w:val="15"/>
          <w:szCs w:val="15"/>
          <w:color w:val="auto"/>
        </w:rPr>
        <w:t xml:space="preserve">    </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Our named executive officers for 2025, as defined by the</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SEC, were as follows:</w:t>
      </w:r>
    </w:p>
    <w:p>
      <w:pPr>
        <w:spacing w:after="0" w:line="359"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Christopher D. Layden</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President and Chief</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Troy R. Anderson</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Executive Vice President</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and Chief Financial Officer</w:t>
      </w:r>
    </w:p>
    <w:p>
      <w:pPr>
        <w:spacing w:after="0" w:line="200" w:lineRule="exact"/>
        <w:rPr>
          <w:sz w:val="20"/>
          <w:szCs w:val="20"/>
          <w:color w:val="auto"/>
        </w:rPr>
      </w:pPr>
    </w:p>
    <w:p>
      <w:pPr>
        <w:spacing w:after="0" w:line="333"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*Tammy L. Browning</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Senior Vice President</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Group President, Enterprise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Talent Management</w:t>
      </w:r>
    </w:p>
    <w:p>
      <w:pPr>
        <w:spacing w:after="0" w:line="200" w:lineRule="exact"/>
        <w:rPr>
          <w:sz w:val="20"/>
          <w:szCs w:val="20"/>
          <w:color w:val="auto"/>
        </w:rPr>
      </w:pPr>
    </w:p>
    <w:p>
      <w:pPr>
        <w:spacing w:after="0" w:line="246" w:lineRule="exact"/>
        <w:rPr>
          <w:sz w:val="20"/>
          <w:szCs w:val="20"/>
          <w:color w:val="auto"/>
        </w:rPr>
      </w:pPr>
    </w:p>
    <w:p>
      <w:pPr>
        <w:ind w:left="2120" w:right="1200"/>
        <w:spacing w:after="0" w:line="252" w:lineRule="auto"/>
        <w:rPr>
          <w:sz w:val="20"/>
          <w:szCs w:val="20"/>
          <w:color w:val="auto"/>
        </w:rPr>
      </w:pPr>
      <w:r>
        <w:rPr>
          <w:rFonts w:ascii="Arial" w:cs="Arial" w:eastAsia="Arial" w:hAnsi="Arial"/>
          <w:sz w:val="15"/>
          <w:szCs w:val="15"/>
          <w:b w:val="1"/>
          <w:bCs w:val="1"/>
          <w:color w:val="auto"/>
        </w:rPr>
        <w:t xml:space="preserve">Vanessa P. Williams </w:t>
      </w:r>
      <w:r>
        <w:rPr>
          <w:rFonts w:ascii="Arial" w:cs="Arial" w:eastAsia="Arial" w:hAnsi="Arial"/>
          <w:sz w:val="15"/>
          <w:szCs w:val="15"/>
          <w:color w:val="auto"/>
        </w:rPr>
        <w:t>Executive Vice President, General Counsel and Corporate Secretary</w:t>
      </w:r>
    </w:p>
    <w:p>
      <w:pPr>
        <w:spacing w:after="0" w:line="200" w:lineRule="exact"/>
        <w:rPr>
          <w:sz w:val="20"/>
          <w:szCs w:val="20"/>
          <w:color w:val="auto"/>
        </w:rPr>
      </w:pPr>
    </w:p>
    <w:p>
      <w:pPr>
        <w:spacing w:after="0" w:line="316"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Nicola M. Soares</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Senior Vice President and</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President Education</w:t>
      </w:r>
    </w:p>
    <w:p>
      <w:pPr>
        <w:spacing w:after="0" w:line="384"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Peter W. Quigley</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Former Chief Executive Officer</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The Compensation Discussion and Analysis is organized in the following sections: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CD&amp;A 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20" w:type="dxa"/>
            <w:vAlign w:val="bottom"/>
            <w:gridSpan w:val="23"/>
          </w:tcPr>
          <w:p>
            <w:pPr>
              <w:spacing w:after="0"/>
              <w:rPr>
                <w:sz w:val="20"/>
                <w:szCs w:val="20"/>
                <w:color w:val="auto"/>
              </w:rPr>
            </w:pPr>
            <w:r>
              <w:rPr>
                <w:rFonts w:ascii="Arial" w:cs="Arial" w:eastAsia="Arial" w:hAnsi="Arial"/>
                <w:sz w:val="15"/>
                <w:szCs w:val="15"/>
                <w:b w:val="1"/>
                <w:bCs w:val="1"/>
                <w:color w:val="0000EE"/>
              </w:rPr>
              <w:t>2025 Named Executive Officers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AE4F"/>
              </w:rPr>
              <w:t>45</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44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600" w:type="dxa"/>
            <w:vAlign w:val="bottom"/>
            <w:tcBorders>
              <w:bottom w:val="single" w:sz="8" w:color="00AE4F"/>
            </w:tcBorders>
          </w:tcPr>
          <w:p>
            <w:pPr>
              <w:spacing w:after="0"/>
              <w:rPr>
                <w:sz w:val="5"/>
                <w:szCs w:val="5"/>
                <w:color w:val="auto"/>
              </w:rPr>
            </w:pPr>
          </w:p>
        </w:tc>
        <w:tc>
          <w:tcPr>
            <w:tcW w:w="18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20" w:type="dxa"/>
            <w:vAlign w:val="bottom"/>
            <w:gridSpan w:val="23"/>
          </w:tcPr>
          <w:p>
            <w:pPr>
              <w:spacing w:after="0" w:line="141" w:lineRule="exact"/>
              <w:rPr>
                <w:sz w:val="20"/>
                <w:szCs w:val="20"/>
                <w:color w:val="auto"/>
              </w:rPr>
            </w:pPr>
            <w:r>
              <w:rPr>
                <w:rFonts w:ascii="Arial" w:cs="Arial" w:eastAsia="Arial" w:hAnsi="Arial"/>
                <w:sz w:val="15"/>
                <w:szCs w:val="15"/>
                <w:b w:val="1"/>
                <w:bCs w:val="1"/>
                <w:color w:val="0000EE"/>
              </w:rPr>
              <w:t>Executive Summary</w:t>
            </w:r>
          </w:p>
        </w:tc>
        <w:tc>
          <w:tcPr>
            <w:tcW w:w="420" w:type="dxa"/>
            <w:vAlign w:val="bottom"/>
          </w:tcPr>
          <w:p>
            <w:pPr>
              <w:jc w:val="right"/>
              <w:spacing w:after="0" w:line="141" w:lineRule="exact"/>
              <w:rPr>
                <w:sz w:val="20"/>
                <w:szCs w:val="20"/>
                <w:color w:val="auto"/>
              </w:rPr>
            </w:pPr>
            <w:r>
              <w:rPr>
                <w:rFonts w:ascii="Arial" w:cs="Arial" w:eastAsia="Arial" w:hAnsi="Arial"/>
                <w:sz w:val="15"/>
                <w:szCs w:val="15"/>
                <w:b w:val="1"/>
                <w:bCs w:val="1"/>
                <w:color w:val="00AE4F"/>
              </w:rPr>
              <w:t>47</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bottom w:val="single" w:sz="8" w:color="00AE4F"/>
            </w:tcBorders>
          </w:tcPr>
          <w:p>
            <w:pPr>
              <w:spacing w:after="0"/>
              <w:rPr>
                <w:sz w:val="5"/>
                <w:szCs w:val="5"/>
                <w:color w:val="auto"/>
              </w:rPr>
            </w:pPr>
          </w:p>
        </w:tc>
        <w:tc>
          <w:tcPr>
            <w:tcW w:w="18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34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44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600" w:type="dxa"/>
            <w:vAlign w:val="bottom"/>
            <w:tcBorders>
              <w:bottom w:val="single" w:sz="8" w:color="00AE4F"/>
            </w:tcBorders>
          </w:tcPr>
          <w:p>
            <w:pPr>
              <w:spacing w:after="0"/>
              <w:rPr>
                <w:sz w:val="5"/>
                <w:szCs w:val="5"/>
                <w:color w:val="auto"/>
              </w:rPr>
            </w:pPr>
          </w:p>
        </w:tc>
        <w:tc>
          <w:tcPr>
            <w:tcW w:w="18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60" w:type="dxa"/>
            <w:vAlign w:val="bottom"/>
            <w:tcBorders>
              <w:bottom w:val="single" w:sz="8" w:color="0000EE"/>
            </w:tcBorders>
            <w:gridSpan w:val="21"/>
          </w:tcPr>
          <w:p>
            <w:pPr>
              <w:spacing w:after="0" w:line="141" w:lineRule="exact"/>
              <w:rPr>
                <w:sz w:val="20"/>
                <w:szCs w:val="20"/>
                <w:color w:val="auto"/>
              </w:rPr>
            </w:pPr>
            <w:r>
              <w:rPr>
                <w:rFonts w:ascii="Arial" w:cs="Arial" w:eastAsia="Arial" w:hAnsi="Arial"/>
                <w:sz w:val="15"/>
                <w:szCs w:val="15"/>
                <w:color w:val="0000EE"/>
                <w:w w:val="98"/>
              </w:rPr>
              <w:t>Key Executive Compensation Program Highlights for Fiscal 2025</w:t>
            </w:r>
          </w:p>
        </w:tc>
        <w:tc>
          <w:tcPr>
            <w:tcW w:w="260" w:type="dxa"/>
            <w:vAlign w:val="bottom"/>
            <w:gridSpan w:val="2"/>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bottom w:val="single" w:sz="8" w:color="0000EE"/>
            </w:tcBorders>
            <w:gridSpan w:val="9"/>
          </w:tcPr>
          <w:p>
            <w:pPr>
              <w:spacing w:after="0"/>
              <w:rPr>
                <w:sz w:val="20"/>
                <w:szCs w:val="20"/>
                <w:color w:val="auto"/>
              </w:rPr>
            </w:pPr>
            <w:r>
              <w:rPr>
                <w:rFonts w:ascii="Arial" w:cs="Arial" w:eastAsia="Arial" w:hAnsi="Arial"/>
                <w:sz w:val="15"/>
                <w:szCs w:val="15"/>
                <w:color w:val="0000EE"/>
                <w:w w:val="97"/>
              </w:rPr>
              <w:t>Annual Say on Pay Vote</w:t>
            </w:r>
          </w:p>
        </w:tc>
        <w:tc>
          <w:tcPr>
            <w:tcW w:w="292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5"/>
                <w:szCs w:val="15"/>
                <w:b w:val="1"/>
                <w:bCs w:val="1"/>
                <w:color w:val="0000EE"/>
              </w:rPr>
              <w:t>Compensation Practices and Policies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AE4F"/>
              </w:rPr>
              <w:t>49</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440" w:type="dxa"/>
            <w:vAlign w:val="bottom"/>
            <w:tcBorders>
              <w:top w:val="single" w:sz="8" w:color="0000EE"/>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600" w:type="dxa"/>
            <w:vAlign w:val="bottom"/>
            <w:tcBorders>
              <w:bottom w:val="single" w:sz="8" w:color="00AE4F"/>
            </w:tcBorders>
          </w:tcPr>
          <w:p>
            <w:pPr>
              <w:spacing w:after="0"/>
              <w:rPr>
                <w:sz w:val="5"/>
                <w:szCs w:val="5"/>
                <w:color w:val="auto"/>
              </w:rPr>
            </w:pPr>
          </w:p>
        </w:tc>
        <w:tc>
          <w:tcPr>
            <w:tcW w:w="18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gridSpan w:val="23"/>
          </w:tcPr>
          <w:p>
            <w:pPr>
              <w:spacing w:after="0" w:line="154" w:lineRule="exact"/>
              <w:rPr>
                <w:sz w:val="20"/>
                <w:szCs w:val="20"/>
                <w:color w:val="auto"/>
              </w:rPr>
            </w:pPr>
            <w:r>
              <w:rPr>
                <w:rFonts w:ascii="Arial" w:cs="Arial" w:eastAsia="Arial" w:hAnsi="Arial"/>
                <w:sz w:val="15"/>
                <w:szCs w:val="15"/>
                <w:b w:val="1"/>
                <w:bCs w:val="1"/>
                <w:color w:val="0000EE"/>
              </w:rPr>
              <w:t>Executive Compensation Philosophy, Objectives, and Design</w:t>
            </w:r>
          </w:p>
        </w:tc>
        <w:tc>
          <w:tcPr>
            <w:tcW w:w="420" w:type="dxa"/>
            <w:vAlign w:val="bottom"/>
          </w:tcPr>
          <w:p>
            <w:pPr>
              <w:jc w:val="right"/>
              <w:spacing w:after="0" w:line="154" w:lineRule="exact"/>
              <w:rPr>
                <w:sz w:val="20"/>
                <w:szCs w:val="20"/>
                <w:color w:val="auto"/>
              </w:rPr>
            </w:pPr>
            <w:r>
              <w:rPr>
                <w:rFonts w:ascii="Arial" w:cs="Arial" w:eastAsia="Arial" w:hAnsi="Arial"/>
                <w:sz w:val="15"/>
                <w:szCs w:val="15"/>
                <w:b w:val="1"/>
                <w:bCs w:val="1"/>
                <w:color w:val="00AE4F"/>
              </w:rPr>
              <w:t>50</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440" w:type="dxa"/>
            <w:vAlign w:val="bottom"/>
            <w:tcBorders>
              <w:top w:val="single" w:sz="8" w:color="0000EE"/>
              <w:bottom w:val="single" w:sz="8" w:color="00AE4F"/>
            </w:tcBorders>
          </w:tcPr>
          <w:p>
            <w:pPr>
              <w:spacing w:after="0"/>
              <w:rPr>
                <w:sz w:val="5"/>
                <w:szCs w:val="5"/>
                <w:color w:val="auto"/>
              </w:rPr>
            </w:pPr>
          </w:p>
        </w:tc>
        <w:tc>
          <w:tcPr>
            <w:tcW w:w="100" w:type="dxa"/>
            <w:vAlign w:val="bottom"/>
            <w:tcBorders>
              <w:top w:val="single" w:sz="8" w:color="0000EE"/>
              <w:bottom w:val="single" w:sz="8" w:color="00AE4F"/>
            </w:tcBorders>
          </w:tcPr>
          <w:p>
            <w:pPr>
              <w:spacing w:after="0"/>
              <w:rPr>
                <w:sz w:val="5"/>
                <w:szCs w:val="5"/>
                <w:color w:val="auto"/>
              </w:rPr>
            </w:pPr>
          </w:p>
        </w:tc>
        <w:tc>
          <w:tcPr>
            <w:tcW w:w="60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160" w:type="dxa"/>
            <w:vAlign w:val="bottom"/>
            <w:tcBorders>
              <w:top w:val="single" w:sz="8" w:color="0000EE"/>
              <w:bottom w:val="single" w:sz="8" w:color="00AE4F"/>
            </w:tcBorders>
          </w:tcPr>
          <w:p>
            <w:pPr>
              <w:spacing w:after="0"/>
              <w:rPr>
                <w:sz w:val="5"/>
                <w:szCs w:val="5"/>
                <w:color w:val="auto"/>
              </w:rPr>
            </w:pPr>
          </w:p>
        </w:tc>
        <w:tc>
          <w:tcPr>
            <w:tcW w:w="260" w:type="dxa"/>
            <w:vAlign w:val="bottom"/>
            <w:tcBorders>
              <w:top w:val="single" w:sz="8" w:color="0000EE"/>
              <w:bottom w:val="single" w:sz="8" w:color="00AE4F"/>
            </w:tcBorders>
          </w:tcPr>
          <w:p>
            <w:pPr>
              <w:spacing w:after="0"/>
              <w:rPr>
                <w:sz w:val="5"/>
                <w:szCs w:val="5"/>
                <w:color w:val="auto"/>
              </w:rPr>
            </w:pPr>
          </w:p>
        </w:tc>
        <w:tc>
          <w:tcPr>
            <w:tcW w:w="100" w:type="dxa"/>
            <w:vAlign w:val="bottom"/>
            <w:tcBorders>
              <w:top w:val="single" w:sz="8" w:color="0000EE"/>
              <w:bottom w:val="single" w:sz="8" w:color="00AE4F"/>
            </w:tcBorders>
          </w:tcPr>
          <w:p>
            <w:pPr>
              <w:spacing w:after="0"/>
              <w:rPr>
                <w:sz w:val="5"/>
                <w:szCs w:val="5"/>
                <w:color w:val="auto"/>
              </w:rPr>
            </w:pPr>
          </w:p>
        </w:tc>
        <w:tc>
          <w:tcPr>
            <w:tcW w:w="16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gridSpan w:val="23"/>
          </w:tcPr>
          <w:p>
            <w:pPr>
              <w:spacing w:after="0" w:line="154" w:lineRule="exact"/>
              <w:rPr>
                <w:sz w:val="20"/>
                <w:szCs w:val="20"/>
                <w:color w:val="auto"/>
              </w:rPr>
            </w:pPr>
            <w:r>
              <w:rPr>
                <w:rFonts w:ascii="Arial" w:cs="Arial" w:eastAsia="Arial" w:hAnsi="Arial"/>
                <w:sz w:val="15"/>
                <w:szCs w:val="15"/>
                <w:b w:val="1"/>
                <w:bCs w:val="1"/>
                <w:color w:val="0000EE"/>
              </w:rPr>
              <w:t>Process for Determining Executive Compensation</w:t>
            </w:r>
          </w:p>
        </w:tc>
        <w:tc>
          <w:tcPr>
            <w:tcW w:w="420" w:type="dxa"/>
            <w:vAlign w:val="bottom"/>
          </w:tcPr>
          <w:p>
            <w:pPr>
              <w:jc w:val="right"/>
              <w:spacing w:after="0" w:line="154" w:lineRule="exact"/>
              <w:rPr>
                <w:sz w:val="20"/>
                <w:szCs w:val="20"/>
                <w:color w:val="auto"/>
              </w:rPr>
            </w:pPr>
            <w:r>
              <w:rPr>
                <w:rFonts w:ascii="Arial" w:cs="Arial" w:eastAsia="Arial" w:hAnsi="Arial"/>
                <w:sz w:val="15"/>
                <w:szCs w:val="15"/>
                <w:b w:val="1"/>
                <w:bCs w:val="1"/>
                <w:color w:val="00AE4F"/>
              </w:rPr>
              <w:t>52</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440" w:type="dxa"/>
            <w:vAlign w:val="bottom"/>
            <w:tcBorders>
              <w:top w:val="single" w:sz="8" w:color="0000EE"/>
              <w:bottom w:val="single" w:sz="8" w:color="00AE4F"/>
            </w:tcBorders>
          </w:tcPr>
          <w:p>
            <w:pPr>
              <w:spacing w:after="0"/>
              <w:rPr>
                <w:sz w:val="5"/>
                <w:szCs w:val="5"/>
                <w:color w:val="auto"/>
              </w:rPr>
            </w:pPr>
          </w:p>
        </w:tc>
        <w:tc>
          <w:tcPr>
            <w:tcW w:w="100" w:type="dxa"/>
            <w:vAlign w:val="bottom"/>
            <w:tcBorders>
              <w:top w:val="single" w:sz="8" w:color="0000EE"/>
              <w:bottom w:val="single" w:sz="8" w:color="00AE4F"/>
            </w:tcBorders>
          </w:tcPr>
          <w:p>
            <w:pPr>
              <w:spacing w:after="0"/>
              <w:rPr>
                <w:sz w:val="5"/>
                <w:szCs w:val="5"/>
                <w:color w:val="auto"/>
              </w:rPr>
            </w:pPr>
          </w:p>
        </w:tc>
        <w:tc>
          <w:tcPr>
            <w:tcW w:w="60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40" w:type="dxa"/>
            <w:vAlign w:val="bottom"/>
            <w:tcBorders>
              <w:bottom w:val="single" w:sz="8" w:color="0000EE"/>
            </w:tcBorders>
            <w:gridSpan w:val="15"/>
          </w:tcPr>
          <w:p>
            <w:pPr>
              <w:spacing w:after="0" w:line="141" w:lineRule="exact"/>
              <w:rPr>
                <w:sz w:val="20"/>
                <w:szCs w:val="20"/>
                <w:color w:val="auto"/>
              </w:rPr>
            </w:pPr>
            <w:r>
              <w:rPr>
                <w:rFonts w:ascii="Arial" w:cs="Arial" w:eastAsia="Arial" w:hAnsi="Arial"/>
                <w:sz w:val="15"/>
                <w:szCs w:val="15"/>
                <w:color w:val="0000EE"/>
                <w:w w:val="98"/>
              </w:rPr>
              <w:t>Role of the Independent Compensation Consultant</w:t>
            </w:r>
          </w:p>
        </w:tc>
        <w:tc>
          <w:tcPr>
            <w:tcW w:w="1180" w:type="dxa"/>
            <w:vAlign w:val="bottom"/>
            <w:gridSpan w:val="8"/>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7"/>
              </w:rPr>
              <w:t>Role of Management</w:t>
            </w:r>
          </w:p>
        </w:tc>
        <w:tc>
          <w:tcPr>
            <w:tcW w:w="3140" w:type="dxa"/>
            <w:vAlign w:val="bottom"/>
            <w:gridSpan w:val="17"/>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7"/>
              </w:rPr>
              <w:t>Comparator Data</w:t>
            </w:r>
          </w:p>
        </w:tc>
        <w:tc>
          <w:tcPr>
            <w:tcW w:w="338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5"/>
                <w:szCs w:val="15"/>
                <w:color w:val="0000EE"/>
              </w:rPr>
              <w:t>Senior Officer Performance Reviews and Succession Planning</w:t>
            </w:r>
          </w:p>
        </w:tc>
        <w:tc>
          <w:tcPr>
            <w:tcW w:w="4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100" w:type="dxa"/>
            <w:vAlign w:val="bottom"/>
            <w:tcBorders>
              <w:top w:val="single" w:sz="8" w:color="0000EE"/>
            </w:tcBorders>
            <w:gridSpan w:val="20"/>
          </w:tcPr>
          <w:p>
            <w:pPr>
              <w:spacing w:after="0"/>
              <w:rPr>
                <w:sz w:val="20"/>
                <w:szCs w:val="20"/>
                <w:color w:val="auto"/>
              </w:rPr>
            </w:pPr>
            <w:r>
              <w:rPr>
                <w:rFonts w:ascii="Arial" w:cs="Arial" w:eastAsia="Arial" w:hAnsi="Arial"/>
                <w:sz w:val="15"/>
                <w:szCs w:val="15"/>
                <w:b w:val="1"/>
                <w:bCs w:val="1"/>
                <w:color w:val="0000EE"/>
              </w:rPr>
              <w:t>Compensation Programs:</w:t>
            </w:r>
          </w:p>
        </w:tc>
        <w:tc>
          <w:tcPr>
            <w:tcW w:w="420" w:type="dxa"/>
            <w:vAlign w:val="bottom"/>
            <w:gridSpan w:val="3"/>
          </w:tcPr>
          <w:p>
            <w:pPr>
              <w:spacing w:after="0"/>
              <w:rPr>
                <w:sz w:val="20"/>
                <w:szCs w:val="20"/>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00AE4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gridSpan w:val="23"/>
          </w:tcPr>
          <w:p>
            <w:pPr>
              <w:spacing w:after="0" w:line="154" w:lineRule="exact"/>
              <w:rPr>
                <w:sz w:val="20"/>
                <w:szCs w:val="20"/>
                <w:color w:val="auto"/>
              </w:rPr>
            </w:pPr>
            <w:r>
              <w:rPr>
                <w:rFonts w:ascii="Arial" w:cs="Arial" w:eastAsia="Arial" w:hAnsi="Arial"/>
                <w:sz w:val="15"/>
                <w:szCs w:val="15"/>
                <w:b w:val="1"/>
                <w:bCs w:val="1"/>
                <w:color w:val="0000EE"/>
              </w:rPr>
              <w:t>Decisions and Actions in 2025</w:t>
            </w: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44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600" w:type="dxa"/>
            <w:vAlign w:val="bottom"/>
            <w:tcBorders>
              <w:bottom w:val="single" w:sz="8" w:color="00AE4F"/>
            </w:tcBorders>
          </w:tcPr>
          <w:p>
            <w:pPr>
              <w:spacing w:after="0"/>
              <w:rPr>
                <w:sz w:val="5"/>
                <w:szCs w:val="5"/>
                <w:color w:val="auto"/>
              </w:rPr>
            </w:pPr>
          </w:p>
        </w:tc>
        <w:tc>
          <w:tcPr>
            <w:tcW w:w="18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5"/>
                <w:szCs w:val="15"/>
                <w:color w:val="0000EE"/>
                <w:w w:val="96"/>
              </w:rPr>
              <w:t>Base Salary</w:t>
            </w:r>
          </w:p>
        </w:tc>
        <w:tc>
          <w:tcPr>
            <w:tcW w:w="3720" w:type="dxa"/>
            <w:vAlign w:val="bottom"/>
            <w:gridSpan w:val="21"/>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w w:val="96"/>
              </w:rPr>
              <w:t>Long-Term Incentives</w:t>
            </w:r>
          </w:p>
        </w:tc>
        <w:tc>
          <w:tcPr>
            <w:tcW w:w="3100" w:type="dxa"/>
            <w:vAlign w:val="bottom"/>
            <w:gridSpan w:val="1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20" w:type="dxa"/>
            <w:vAlign w:val="bottom"/>
            <w:gridSpan w:val="23"/>
          </w:tcPr>
          <w:p>
            <w:pPr>
              <w:spacing w:after="0"/>
              <w:rPr>
                <w:sz w:val="20"/>
                <w:szCs w:val="20"/>
                <w:color w:val="auto"/>
              </w:rPr>
            </w:pPr>
            <w:r>
              <w:rPr>
                <w:rFonts w:ascii="Arial" w:cs="Arial" w:eastAsia="Arial" w:hAnsi="Arial"/>
                <w:sz w:val="15"/>
                <w:szCs w:val="15"/>
                <w:b w:val="1"/>
                <w:bCs w:val="1"/>
                <w:color w:val="0000EE"/>
              </w:rPr>
              <w:t>Governance of Executive Compensation Programs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AE4F"/>
              </w:rPr>
              <w:t>60</w:t>
            </w:r>
          </w:p>
        </w:tc>
        <w:tc>
          <w:tcPr>
            <w:tcW w:w="0" w:type="dxa"/>
            <w:vAlign w:val="bottom"/>
          </w:tcPr>
          <w:p>
            <w:pPr>
              <w:spacing w:after="0"/>
              <w:rPr>
                <w:sz w:val="1"/>
                <w:szCs w:val="1"/>
                <w:color w:val="auto"/>
              </w:rPr>
            </w:pPr>
          </w:p>
        </w:tc>
      </w:tr>
      <w:tr>
        <w:trPr>
          <w:trHeight w:val="67"/>
        </w:trPr>
        <w:tc>
          <w:tcPr>
            <w:tcW w:w="20" w:type="dxa"/>
            <w:vAlign w:val="bottom"/>
            <w:tcBorders>
              <w:bottom w:val="single" w:sz="8" w:color="00AE4F"/>
            </w:tcBorders>
          </w:tcPr>
          <w:p>
            <w:pPr>
              <w:spacing w:after="0"/>
              <w:rPr>
                <w:sz w:val="5"/>
                <w:szCs w:val="5"/>
                <w:color w:val="auto"/>
              </w:rPr>
            </w:pPr>
          </w:p>
        </w:tc>
        <w:tc>
          <w:tcPr>
            <w:tcW w:w="7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14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8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2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200" w:type="dxa"/>
            <w:vAlign w:val="bottom"/>
            <w:tcBorders>
              <w:top w:val="single" w:sz="8" w:color="0000EE"/>
              <w:bottom w:val="single" w:sz="8" w:color="00AE4F"/>
            </w:tcBorders>
          </w:tcPr>
          <w:p>
            <w:pPr>
              <w:spacing w:after="0"/>
              <w:rPr>
                <w:sz w:val="5"/>
                <w:szCs w:val="5"/>
                <w:color w:val="auto"/>
              </w:rPr>
            </w:pPr>
          </w:p>
        </w:tc>
        <w:tc>
          <w:tcPr>
            <w:tcW w:w="34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440" w:type="dxa"/>
            <w:vAlign w:val="bottom"/>
            <w:tcBorders>
              <w:top w:val="single" w:sz="8" w:color="0000EE"/>
              <w:bottom w:val="single" w:sz="8" w:color="00AE4F"/>
            </w:tcBorders>
          </w:tcPr>
          <w:p>
            <w:pPr>
              <w:spacing w:after="0"/>
              <w:rPr>
                <w:sz w:val="5"/>
                <w:szCs w:val="5"/>
                <w:color w:val="auto"/>
              </w:rPr>
            </w:pPr>
          </w:p>
        </w:tc>
        <w:tc>
          <w:tcPr>
            <w:tcW w:w="100" w:type="dxa"/>
            <w:vAlign w:val="bottom"/>
            <w:tcBorders>
              <w:top w:val="single" w:sz="8" w:color="0000EE"/>
              <w:bottom w:val="single" w:sz="8" w:color="00AE4F"/>
            </w:tcBorders>
          </w:tcPr>
          <w:p>
            <w:pPr>
              <w:spacing w:after="0"/>
              <w:rPr>
                <w:sz w:val="5"/>
                <w:szCs w:val="5"/>
                <w:color w:val="auto"/>
              </w:rPr>
            </w:pPr>
          </w:p>
        </w:tc>
        <w:tc>
          <w:tcPr>
            <w:tcW w:w="600" w:type="dxa"/>
            <w:vAlign w:val="bottom"/>
            <w:tcBorders>
              <w:top w:val="single" w:sz="8" w:color="0000EE"/>
              <w:bottom w:val="single" w:sz="8" w:color="00AE4F"/>
            </w:tcBorders>
          </w:tcPr>
          <w:p>
            <w:pPr>
              <w:spacing w:after="0"/>
              <w:rPr>
                <w:sz w:val="5"/>
                <w:szCs w:val="5"/>
                <w:color w:val="auto"/>
              </w:rPr>
            </w:pPr>
          </w:p>
        </w:tc>
        <w:tc>
          <w:tcPr>
            <w:tcW w:w="180" w:type="dxa"/>
            <w:vAlign w:val="bottom"/>
            <w:tcBorders>
              <w:top w:val="single" w:sz="8" w:color="0000EE"/>
              <w:bottom w:val="single" w:sz="8" w:color="00AE4F"/>
            </w:tcBorders>
          </w:tcPr>
          <w:p>
            <w:pPr>
              <w:spacing w:after="0"/>
              <w:rPr>
                <w:sz w:val="5"/>
                <w:szCs w:val="5"/>
                <w:color w:val="auto"/>
              </w:rPr>
            </w:pPr>
          </w:p>
        </w:tc>
        <w:tc>
          <w:tcPr>
            <w:tcW w:w="60" w:type="dxa"/>
            <w:vAlign w:val="bottom"/>
            <w:tcBorders>
              <w:top w:val="single" w:sz="8" w:color="0000EE"/>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260" w:type="dxa"/>
            <w:vAlign w:val="bottom"/>
            <w:tcBorders>
              <w:bottom w:val="single" w:sz="8" w:color="00AE4F"/>
            </w:tcBorders>
          </w:tcPr>
          <w:p>
            <w:pPr>
              <w:spacing w:after="0"/>
              <w:rPr>
                <w:sz w:val="5"/>
                <w:szCs w:val="5"/>
                <w:color w:val="auto"/>
              </w:rPr>
            </w:pPr>
          </w:p>
        </w:tc>
        <w:tc>
          <w:tcPr>
            <w:tcW w:w="100" w:type="dxa"/>
            <w:vAlign w:val="bottom"/>
            <w:tcBorders>
              <w:bottom w:val="single" w:sz="8" w:color="00AE4F"/>
            </w:tcBorders>
          </w:tcPr>
          <w:p>
            <w:pPr>
              <w:spacing w:after="0"/>
              <w:rPr>
                <w:sz w:val="5"/>
                <w:szCs w:val="5"/>
                <w:color w:val="auto"/>
              </w:rPr>
            </w:pPr>
          </w:p>
        </w:tc>
        <w:tc>
          <w:tcPr>
            <w:tcW w:w="160" w:type="dxa"/>
            <w:vAlign w:val="bottom"/>
            <w:tcBorders>
              <w:bottom w:val="single" w:sz="8" w:color="00AE4F"/>
            </w:tcBorders>
          </w:tcPr>
          <w:p>
            <w:pPr>
              <w:spacing w:after="0"/>
              <w:rPr>
                <w:sz w:val="5"/>
                <w:szCs w:val="5"/>
                <w:color w:val="auto"/>
              </w:rPr>
            </w:pPr>
          </w:p>
        </w:tc>
        <w:tc>
          <w:tcPr>
            <w:tcW w:w="60" w:type="dxa"/>
            <w:vAlign w:val="bottom"/>
            <w:tcBorders>
              <w:bottom w:val="single" w:sz="8" w:color="00AE4F"/>
            </w:tcBorders>
          </w:tcPr>
          <w:p>
            <w:pPr>
              <w:spacing w:after="0"/>
              <w:rPr>
                <w:sz w:val="5"/>
                <w:szCs w:val="5"/>
                <w:color w:val="auto"/>
              </w:rPr>
            </w:pPr>
          </w:p>
        </w:tc>
        <w:tc>
          <w:tcPr>
            <w:tcW w:w="200" w:type="dxa"/>
            <w:vAlign w:val="bottom"/>
            <w:tcBorders>
              <w:bottom w:val="single" w:sz="8" w:color="00AE4F"/>
            </w:tcBorders>
          </w:tcPr>
          <w:p>
            <w:pPr>
              <w:spacing w:after="0"/>
              <w:rPr>
                <w:sz w:val="5"/>
                <w:szCs w:val="5"/>
                <w:color w:val="auto"/>
              </w:rPr>
            </w:pPr>
          </w:p>
        </w:tc>
        <w:tc>
          <w:tcPr>
            <w:tcW w:w="420" w:type="dxa"/>
            <w:vAlign w:val="bottom"/>
            <w:tcBorders>
              <w:bottom w:val="single" w:sz="8" w:color="00AE4F"/>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40" w:type="dxa"/>
            <w:vAlign w:val="bottom"/>
            <w:tcBorders>
              <w:bottom w:val="single" w:sz="8" w:color="0000EE"/>
            </w:tcBorders>
            <w:gridSpan w:val="18"/>
          </w:tcPr>
          <w:p>
            <w:pPr>
              <w:spacing w:after="0" w:line="141" w:lineRule="exact"/>
              <w:rPr>
                <w:sz w:val="20"/>
                <w:szCs w:val="20"/>
                <w:color w:val="auto"/>
              </w:rPr>
            </w:pPr>
            <w:r>
              <w:rPr>
                <w:rFonts w:ascii="Arial" w:cs="Arial" w:eastAsia="Arial" w:hAnsi="Arial"/>
                <w:sz w:val="15"/>
                <w:szCs w:val="15"/>
                <w:color w:val="0000EE"/>
                <w:w w:val="98"/>
              </w:rPr>
              <w:t>Executive Stock Ownership and Retention Requirements</w:t>
            </w:r>
          </w:p>
        </w:tc>
        <w:tc>
          <w:tcPr>
            <w:tcW w:w="780" w:type="dxa"/>
            <w:vAlign w:val="bottom"/>
            <w:gridSpan w:val="5"/>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0000EE"/>
            </w:tcBorders>
            <w:gridSpan w:val="17"/>
          </w:tcPr>
          <w:p>
            <w:pPr>
              <w:spacing w:after="0"/>
              <w:rPr>
                <w:sz w:val="20"/>
                <w:szCs w:val="20"/>
                <w:color w:val="auto"/>
              </w:rPr>
            </w:pPr>
            <w:r>
              <w:rPr>
                <w:rFonts w:ascii="Arial" w:cs="Arial" w:eastAsia="Arial" w:hAnsi="Arial"/>
                <w:sz w:val="15"/>
                <w:szCs w:val="15"/>
                <w:color w:val="0000EE"/>
                <w:w w:val="98"/>
              </w:rPr>
              <w:t>Incentive Compensation Recovery (“Clawback”) Policy</w:t>
            </w:r>
          </w:p>
        </w:tc>
        <w:tc>
          <w:tcPr>
            <w:tcW w:w="940" w:type="dxa"/>
            <w:vAlign w:val="bottom"/>
            <w:gridSpan w:val="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w w:val="98"/>
              </w:rPr>
              <w:t>Hedging and Pledging of Shares</w:t>
            </w:r>
          </w:p>
        </w:tc>
        <w:tc>
          <w:tcPr>
            <w:tcW w:w="23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0000EE"/>
                <w:w w:val="97"/>
              </w:rPr>
              <w:t>Retirement Benefits</w:t>
            </w:r>
          </w:p>
        </w:tc>
        <w:tc>
          <w:tcPr>
            <w:tcW w:w="3220" w:type="dxa"/>
            <w:vAlign w:val="bottom"/>
            <w:gridSpan w:val="1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5"/>
                <w:szCs w:val="15"/>
                <w:color w:val="0000EE"/>
              </w:rPr>
              <w:t>Perquisites</w:t>
            </w:r>
          </w:p>
        </w:tc>
        <w:tc>
          <w:tcPr>
            <w:tcW w:w="42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bottom w:val="single" w:sz="8" w:color="0000EE"/>
            </w:tcBorders>
            <w:gridSpan w:val="12"/>
          </w:tcPr>
          <w:p>
            <w:pPr>
              <w:spacing w:after="0"/>
              <w:rPr>
                <w:sz w:val="20"/>
                <w:szCs w:val="20"/>
                <w:color w:val="auto"/>
              </w:rPr>
            </w:pPr>
            <w:r>
              <w:rPr>
                <w:rFonts w:ascii="Arial" w:cs="Arial" w:eastAsia="Arial" w:hAnsi="Arial"/>
                <w:sz w:val="15"/>
                <w:szCs w:val="15"/>
                <w:color w:val="0000EE"/>
                <w:w w:val="97"/>
              </w:rPr>
              <w:t>Senior Executive Severance Plan</w:t>
            </w:r>
          </w:p>
        </w:tc>
        <w:tc>
          <w:tcPr>
            <w:tcW w:w="2320" w:type="dxa"/>
            <w:vAlign w:val="bottom"/>
            <w:gridSpan w:val="11"/>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0000EE"/>
            </w:tcBorders>
            <w:gridSpan w:val="19"/>
          </w:tcPr>
          <w:p>
            <w:pPr>
              <w:spacing w:after="0"/>
              <w:rPr>
                <w:sz w:val="20"/>
                <w:szCs w:val="20"/>
                <w:color w:val="auto"/>
              </w:rPr>
            </w:pPr>
            <w:r>
              <w:rPr>
                <w:rFonts w:ascii="Arial" w:cs="Arial" w:eastAsia="Arial" w:hAnsi="Arial"/>
                <w:sz w:val="15"/>
                <w:szCs w:val="15"/>
                <w:color w:val="0000EE"/>
                <w:w w:val="98"/>
              </w:rPr>
              <w:t>Tax Considerations: Deductibility of Executive Compensation</w:t>
            </w:r>
          </w:p>
        </w:tc>
        <w:tc>
          <w:tcPr>
            <w:tcW w:w="52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20" w:type="dxa"/>
            <w:vAlign w:val="bottom"/>
            <w:gridSpan w:val="23"/>
          </w:tcPr>
          <w:p>
            <w:pPr>
              <w:spacing w:after="0"/>
              <w:rPr>
                <w:sz w:val="20"/>
                <w:szCs w:val="20"/>
                <w:color w:val="auto"/>
              </w:rPr>
            </w:pPr>
            <w:r>
              <w:rPr>
                <w:rFonts w:ascii="Arial" w:cs="Arial" w:eastAsia="Arial" w:hAnsi="Arial"/>
                <w:sz w:val="15"/>
                <w:szCs w:val="15"/>
                <w:b w:val="1"/>
                <w:bCs w:val="1"/>
                <w:color w:val="0000EE"/>
              </w:rPr>
              <w:t>Compensation and Talent Management</w:t>
            </w: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00AE4F"/>
              </w:rPr>
              <w:t>62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Borders>
              <w:top w:val="single" w:sz="8" w:color="0000EE"/>
            </w:tcBorders>
            <w:gridSpan w:val="14"/>
          </w:tcPr>
          <w:p>
            <w:pPr>
              <w:spacing w:after="0" w:line="141" w:lineRule="exact"/>
              <w:rPr>
                <w:sz w:val="20"/>
                <w:szCs w:val="20"/>
                <w:color w:val="auto"/>
              </w:rPr>
            </w:pPr>
            <w:r>
              <w:rPr>
                <w:rFonts w:ascii="Arial" w:cs="Arial" w:eastAsia="Arial" w:hAnsi="Arial"/>
                <w:sz w:val="15"/>
                <w:szCs w:val="15"/>
                <w:b w:val="1"/>
                <w:bCs w:val="1"/>
                <w:color w:val="0000EE"/>
              </w:rPr>
              <w:t>Committee Report</w:t>
            </w:r>
          </w:p>
        </w:tc>
        <w:tc>
          <w:tcPr>
            <w:tcW w:w="1780" w:type="dxa"/>
            <w:vAlign w:val="bottom"/>
            <w:gridSpan w:val="9"/>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00AE4F"/>
            </w:tcBorders>
          </w:tcPr>
          <w:p>
            <w:pPr>
              <w:spacing w:after="0"/>
              <w:rPr>
                <w:sz w:val="6"/>
                <w:szCs w:val="6"/>
                <w:color w:val="auto"/>
              </w:rPr>
            </w:pPr>
          </w:p>
        </w:tc>
        <w:tc>
          <w:tcPr>
            <w:tcW w:w="720" w:type="dxa"/>
            <w:vAlign w:val="bottom"/>
            <w:tcBorders>
              <w:top w:val="single" w:sz="8" w:color="0000EE"/>
              <w:bottom w:val="single" w:sz="8" w:color="00AE4F"/>
            </w:tcBorders>
          </w:tcPr>
          <w:p>
            <w:pPr>
              <w:spacing w:after="0"/>
              <w:rPr>
                <w:sz w:val="6"/>
                <w:szCs w:val="6"/>
                <w:color w:val="auto"/>
              </w:rPr>
            </w:pPr>
          </w:p>
        </w:tc>
        <w:tc>
          <w:tcPr>
            <w:tcW w:w="80" w:type="dxa"/>
            <w:vAlign w:val="bottom"/>
            <w:tcBorders>
              <w:top w:val="single" w:sz="8" w:color="0000EE"/>
              <w:bottom w:val="single" w:sz="8" w:color="00AE4F"/>
            </w:tcBorders>
          </w:tcPr>
          <w:p>
            <w:pPr>
              <w:spacing w:after="0"/>
              <w:rPr>
                <w:sz w:val="6"/>
                <w:szCs w:val="6"/>
                <w:color w:val="auto"/>
              </w:rPr>
            </w:pPr>
          </w:p>
        </w:tc>
        <w:tc>
          <w:tcPr>
            <w:tcW w:w="340" w:type="dxa"/>
            <w:vAlign w:val="bottom"/>
            <w:tcBorders>
              <w:top w:val="single" w:sz="8" w:color="0000EE"/>
              <w:bottom w:val="single" w:sz="8" w:color="00AE4F"/>
            </w:tcBorders>
          </w:tcPr>
          <w:p>
            <w:pPr>
              <w:spacing w:after="0"/>
              <w:rPr>
                <w:sz w:val="6"/>
                <w:szCs w:val="6"/>
                <w:color w:val="auto"/>
              </w:rPr>
            </w:pPr>
          </w:p>
        </w:tc>
        <w:tc>
          <w:tcPr>
            <w:tcW w:w="140" w:type="dxa"/>
            <w:vAlign w:val="bottom"/>
            <w:tcBorders>
              <w:top w:val="single" w:sz="8" w:color="0000EE"/>
              <w:bottom w:val="single" w:sz="8" w:color="00AE4F"/>
            </w:tcBorders>
          </w:tcPr>
          <w:p>
            <w:pPr>
              <w:spacing w:after="0"/>
              <w:rPr>
                <w:sz w:val="6"/>
                <w:szCs w:val="6"/>
                <w:color w:val="auto"/>
              </w:rPr>
            </w:pPr>
          </w:p>
        </w:tc>
        <w:tc>
          <w:tcPr>
            <w:tcW w:w="20" w:type="dxa"/>
            <w:vAlign w:val="bottom"/>
            <w:tcBorders>
              <w:bottom w:val="single" w:sz="8" w:color="00AE4F"/>
            </w:tcBorders>
          </w:tcPr>
          <w:p>
            <w:pPr>
              <w:spacing w:after="0"/>
              <w:rPr>
                <w:sz w:val="6"/>
                <w:szCs w:val="6"/>
                <w:color w:val="auto"/>
              </w:rPr>
            </w:pPr>
          </w:p>
        </w:tc>
        <w:tc>
          <w:tcPr>
            <w:tcW w:w="80" w:type="dxa"/>
            <w:vAlign w:val="bottom"/>
            <w:tcBorders>
              <w:bottom w:val="single" w:sz="8" w:color="00AE4F"/>
            </w:tcBorders>
          </w:tcPr>
          <w:p>
            <w:pPr>
              <w:spacing w:after="0"/>
              <w:rPr>
                <w:sz w:val="6"/>
                <w:szCs w:val="6"/>
                <w:color w:val="auto"/>
              </w:rPr>
            </w:pPr>
          </w:p>
        </w:tc>
        <w:tc>
          <w:tcPr>
            <w:tcW w:w="20" w:type="dxa"/>
            <w:vAlign w:val="bottom"/>
            <w:tcBorders>
              <w:bottom w:val="single" w:sz="8" w:color="00AE4F"/>
            </w:tcBorders>
          </w:tcPr>
          <w:p>
            <w:pPr>
              <w:spacing w:after="0"/>
              <w:rPr>
                <w:sz w:val="6"/>
                <w:szCs w:val="6"/>
                <w:color w:val="auto"/>
              </w:rPr>
            </w:pPr>
          </w:p>
        </w:tc>
        <w:tc>
          <w:tcPr>
            <w:tcW w:w="20" w:type="dxa"/>
            <w:vAlign w:val="bottom"/>
            <w:tcBorders>
              <w:bottom w:val="single" w:sz="8" w:color="00AE4F"/>
            </w:tcBorders>
          </w:tcPr>
          <w:p>
            <w:pPr>
              <w:spacing w:after="0"/>
              <w:rPr>
                <w:sz w:val="6"/>
                <w:szCs w:val="6"/>
                <w:color w:val="auto"/>
              </w:rPr>
            </w:pPr>
          </w:p>
        </w:tc>
        <w:tc>
          <w:tcPr>
            <w:tcW w:w="180" w:type="dxa"/>
            <w:vAlign w:val="bottom"/>
            <w:tcBorders>
              <w:bottom w:val="single" w:sz="8" w:color="00AE4F"/>
            </w:tcBorders>
          </w:tcPr>
          <w:p>
            <w:pPr>
              <w:spacing w:after="0"/>
              <w:rPr>
                <w:sz w:val="6"/>
                <w:szCs w:val="6"/>
                <w:color w:val="auto"/>
              </w:rPr>
            </w:pPr>
          </w:p>
        </w:tc>
        <w:tc>
          <w:tcPr>
            <w:tcW w:w="200" w:type="dxa"/>
            <w:vAlign w:val="bottom"/>
            <w:tcBorders>
              <w:bottom w:val="single" w:sz="8" w:color="00AE4F"/>
            </w:tcBorders>
          </w:tcPr>
          <w:p>
            <w:pPr>
              <w:spacing w:after="0"/>
              <w:rPr>
                <w:sz w:val="6"/>
                <w:szCs w:val="6"/>
                <w:color w:val="auto"/>
              </w:rPr>
            </w:pPr>
          </w:p>
        </w:tc>
        <w:tc>
          <w:tcPr>
            <w:tcW w:w="340" w:type="dxa"/>
            <w:vAlign w:val="bottom"/>
            <w:tcBorders>
              <w:bottom w:val="single" w:sz="8" w:color="00AE4F"/>
            </w:tcBorders>
          </w:tcPr>
          <w:p>
            <w:pPr>
              <w:spacing w:after="0"/>
              <w:rPr>
                <w:sz w:val="6"/>
                <w:szCs w:val="6"/>
                <w:color w:val="auto"/>
              </w:rPr>
            </w:pPr>
          </w:p>
        </w:tc>
        <w:tc>
          <w:tcPr>
            <w:tcW w:w="60" w:type="dxa"/>
            <w:vAlign w:val="bottom"/>
            <w:tcBorders>
              <w:bottom w:val="single" w:sz="8" w:color="00AE4F"/>
            </w:tcBorders>
          </w:tcPr>
          <w:p>
            <w:pPr>
              <w:spacing w:after="0"/>
              <w:rPr>
                <w:sz w:val="6"/>
                <w:szCs w:val="6"/>
                <w:color w:val="auto"/>
              </w:rPr>
            </w:pPr>
          </w:p>
        </w:tc>
        <w:tc>
          <w:tcPr>
            <w:tcW w:w="440" w:type="dxa"/>
            <w:vAlign w:val="bottom"/>
            <w:tcBorders>
              <w:bottom w:val="single" w:sz="8" w:color="00AE4F"/>
            </w:tcBorders>
          </w:tcPr>
          <w:p>
            <w:pPr>
              <w:spacing w:after="0"/>
              <w:rPr>
                <w:sz w:val="6"/>
                <w:szCs w:val="6"/>
                <w:color w:val="auto"/>
              </w:rPr>
            </w:pPr>
          </w:p>
        </w:tc>
        <w:tc>
          <w:tcPr>
            <w:tcW w:w="100" w:type="dxa"/>
            <w:vAlign w:val="bottom"/>
            <w:tcBorders>
              <w:bottom w:val="single" w:sz="8" w:color="00AE4F"/>
            </w:tcBorders>
          </w:tcPr>
          <w:p>
            <w:pPr>
              <w:spacing w:after="0"/>
              <w:rPr>
                <w:sz w:val="6"/>
                <w:szCs w:val="6"/>
                <w:color w:val="auto"/>
              </w:rPr>
            </w:pPr>
          </w:p>
        </w:tc>
        <w:tc>
          <w:tcPr>
            <w:tcW w:w="600" w:type="dxa"/>
            <w:vAlign w:val="bottom"/>
            <w:tcBorders>
              <w:bottom w:val="single" w:sz="8" w:color="00AE4F"/>
            </w:tcBorders>
          </w:tcPr>
          <w:p>
            <w:pPr>
              <w:spacing w:after="0"/>
              <w:rPr>
                <w:sz w:val="6"/>
                <w:szCs w:val="6"/>
                <w:color w:val="auto"/>
              </w:rPr>
            </w:pPr>
          </w:p>
        </w:tc>
        <w:tc>
          <w:tcPr>
            <w:tcW w:w="180" w:type="dxa"/>
            <w:vAlign w:val="bottom"/>
            <w:tcBorders>
              <w:bottom w:val="single" w:sz="8" w:color="00AE4F"/>
            </w:tcBorders>
          </w:tcPr>
          <w:p>
            <w:pPr>
              <w:spacing w:after="0"/>
              <w:rPr>
                <w:sz w:val="6"/>
                <w:szCs w:val="6"/>
                <w:color w:val="auto"/>
              </w:rPr>
            </w:pPr>
          </w:p>
        </w:tc>
        <w:tc>
          <w:tcPr>
            <w:tcW w:w="60" w:type="dxa"/>
            <w:vAlign w:val="bottom"/>
            <w:tcBorders>
              <w:bottom w:val="single" w:sz="8" w:color="00AE4F"/>
            </w:tcBorders>
          </w:tcPr>
          <w:p>
            <w:pPr>
              <w:spacing w:after="0"/>
              <w:rPr>
                <w:sz w:val="6"/>
                <w:szCs w:val="6"/>
                <w:color w:val="auto"/>
              </w:rPr>
            </w:pPr>
          </w:p>
        </w:tc>
        <w:tc>
          <w:tcPr>
            <w:tcW w:w="160" w:type="dxa"/>
            <w:vAlign w:val="bottom"/>
            <w:tcBorders>
              <w:bottom w:val="single" w:sz="8" w:color="00AE4F"/>
            </w:tcBorders>
          </w:tcPr>
          <w:p>
            <w:pPr>
              <w:spacing w:after="0"/>
              <w:rPr>
                <w:sz w:val="6"/>
                <w:szCs w:val="6"/>
                <w:color w:val="auto"/>
              </w:rPr>
            </w:pPr>
          </w:p>
        </w:tc>
        <w:tc>
          <w:tcPr>
            <w:tcW w:w="260" w:type="dxa"/>
            <w:vAlign w:val="bottom"/>
            <w:tcBorders>
              <w:bottom w:val="single" w:sz="8" w:color="00AE4F"/>
            </w:tcBorders>
          </w:tcPr>
          <w:p>
            <w:pPr>
              <w:spacing w:after="0"/>
              <w:rPr>
                <w:sz w:val="6"/>
                <w:szCs w:val="6"/>
                <w:color w:val="auto"/>
              </w:rPr>
            </w:pPr>
          </w:p>
        </w:tc>
        <w:tc>
          <w:tcPr>
            <w:tcW w:w="100" w:type="dxa"/>
            <w:vAlign w:val="bottom"/>
            <w:tcBorders>
              <w:bottom w:val="single" w:sz="8" w:color="00AE4F"/>
            </w:tcBorders>
          </w:tcPr>
          <w:p>
            <w:pPr>
              <w:spacing w:after="0"/>
              <w:rPr>
                <w:sz w:val="6"/>
                <w:szCs w:val="6"/>
                <w:color w:val="auto"/>
              </w:rPr>
            </w:pPr>
          </w:p>
        </w:tc>
        <w:tc>
          <w:tcPr>
            <w:tcW w:w="160" w:type="dxa"/>
            <w:vAlign w:val="bottom"/>
            <w:tcBorders>
              <w:bottom w:val="single" w:sz="8" w:color="00AE4F"/>
            </w:tcBorders>
          </w:tcPr>
          <w:p>
            <w:pPr>
              <w:spacing w:after="0"/>
              <w:rPr>
                <w:sz w:val="6"/>
                <w:szCs w:val="6"/>
                <w:color w:val="auto"/>
              </w:rPr>
            </w:pPr>
          </w:p>
        </w:tc>
        <w:tc>
          <w:tcPr>
            <w:tcW w:w="60" w:type="dxa"/>
            <w:vAlign w:val="bottom"/>
            <w:tcBorders>
              <w:bottom w:val="single" w:sz="8" w:color="00AE4F"/>
            </w:tcBorders>
          </w:tcPr>
          <w:p>
            <w:pPr>
              <w:spacing w:after="0"/>
              <w:rPr>
                <w:sz w:val="6"/>
                <w:szCs w:val="6"/>
                <w:color w:val="auto"/>
              </w:rPr>
            </w:pPr>
          </w:p>
        </w:tc>
        <w:tc>
          <w:tcPr>
            <w:tcW w:w="200" w:type="dxa"/>
            <w:vAlign w:val="bottom"/>
            <w:tcBorders>
              <w:bottom w:val="single" w:sz="8" w:color="00AE4F"/>
            </w:tcBorders>
          </w:tcPr>
          <w:p>
            <w:pPr>
              <w:spacing w:after="0"/>
              <w:rPr>
                <w:sz w:val="6"/>
                <w:szCs w:val="6"/>
                <w:color w:val="auto"/>
              </w:rPr>
            </w:pPr>
          </w:p>
        </w:tc>
        <w:tc>
          <w:tcPr>
            <w:tcW w:w="420" w:type="dxa"/>
            <w:vAlign w:val="bottom"/>
            <w:tcBorders>
              <w:bottom w:val="single" w:sz="8" w:color="00AE4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0"/>
        <w:spacing w:after="0"/>
        <w:tabs>
          <w:tab w:leader="none" w:pos="466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-194945</wp:posOffset>
            </wp:positionV>
            <wp:extent cx="7620" cy="212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2">
            <w:col w:w="5420" w:space="300"/>
            <w:col w:w="4960"/>
          </w:cols>
          <w:pgMar w:left="320" w:top="454" w:right="8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Arial" w:cs="Arial" w:eastAsia="Arial" w:hAnsi="Arial"/>
                <w:sz w:val="12"/>
                <w:szCs w:val="12"/>
                <w:b w:val="1"/>
                <w:bCs w:val="1"/>
                <w:color w:val="auto"/>
              </w:rPr>
              <w:t>Compensation Discussion and Analysis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AE4F"/>
              </w:rPr>
              <w:t>Name</w:t>
            </w:r>
          </w:p>
        </w:tc>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00AE4F"/>
              </w:rPr>
              <w:t>Biographical Information</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Mr. Layden was appointed President and Chief Executive Officer of Kelly in September 2025. Before joining</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b w:val="1"/>
                <w:bCs w:val="1"/>
                <w:color w:val="auto"/>
              </w:rPr>
              <w:t>Christopher D. Layden</w:t>
            </w:r>
          </w:p>
        </w:tc>
        <w:tc>
          <w:tcPr>
            <w:tcW w:w="7580" w:type="dxa"/>
            <w:vAlign w:val="bottom"/>
          </w:tcPr>
          <w:p>
            <w:pPr>
              <w:ind w:left="180"/>
              <w:spacing w:after="0"/>
              <w:rPr>
                <w:sz w:val="20"/>
                <w:szCs w:val="20"/>
                <w:color w:val="auto"/>
              </w:rPr>
            </w:pPr>
            <w:r>
              <w:rPr>
                <w:rFonts w:ascii="Arial" w:cs="Arial" w:eastAsia="Arial" w:hAnsi="Arial"/>
                <w:sz w:val="15"/>
                <w:szCs w:val="15"/>
                <w:color w:val="auto"/>
              </w:rPr>
              <w:t>Kelly, Mr. Layden served as COO at Prolink, a workforce solutions provider specializing in healthcare,</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President and Chief</w:t>
            </w:r>
          </w:p>
        </w:tc>
        <w:tc>
          <w:tcPr>
            <w:tcW w:w="7580" w:type="dxa"/>
            <w:vAlign w:val="bottom"/>
          </w:tcPr>
          <w:p>
            <w:pPr>
              <w:ind w:left="180"/>
              <w:spacing w:after="0"/>
              <w:rPr>
                <w:sz w:val="20"/>
                <w:szCs w:val="20"/>
                <w:color w:val="auto"/>
              </w:rPr>
            </w:pPr>
            <w:r>
              <w:rPr>
                <w:rFonts w:ascii="Arial" w:cs="Arial" w:eastAsia="Arial" w:hAnsi="Arial"/>
                <w:sz w:val="15"/>
                <w:szCs w:val="15"/>
                <w:color w:val="auto"/>
              </w:rPr>
              <w:t>technology, and skilled labor from 2023 to 2025. He also spent nearly two decades at ManpowerGroup in</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Executive Officer</w:t>
            </w:r>
          </w:p>
        </w:tc>
        <w:tc>
          <w:tcPr>
            <w:tcW w:w="7580" w:type="dxa"/>
            <w:vAlign w:val="bottom"/>
          </w:tcPr>
          <w:p>
            <w:pPr>
              <w:ind w:left="180"/>
              <w:spacing w:after="0"/>
              <w:rPr>
                <w:sz w:val="20"/>
                <w:szCs w:val="20"/>
                <w:color w:val="auto"/>
              </w:rPr>
            </w:pPr>
            <w:r>
              <w:rPr>
                <w:rFonts w:ascii="Arial" w:cs="Arial" w:eastAsia="Arial" w:hAnsi="Arial"/>
                <w:sz w:val="15"/>
                <w:szCs w:val="15"/>
                <w:color w:val="auto"/>
              </w:rPr>
              <w:t>various senior leadership roles, including Vice President, General Manager, Global Industry Leader 2022—</w:t>
            </w:r>
          </w:p>
        </w:tc>
        <w:tc>
          <w:tcPr>
            <w:tcW w:w="0" w:type="dxa"/>
            <w:vAlign w:val="bottom"/>
          </w:tcPr>
          <w:p>
            <w:pPr>
              <w:spacing w:after="0"/>
              <w:rPr>
                <w:sz w:val="1"/>
                <w:szCs w:val="1"/>
                <w:color w:val="auto"/>
              </w:rPr>
            </w:pPr>
          </w:p>
        </w:tc>
      </w:tr>
      <w:tr>
        <w:trPr>
          <w:trHeight w:val="174"/>
        </w:trPr>
        <w:tc>
          <w:tcPr>
            <w:tcW w:w="2560" w:type="dxa"/>
            <w:vAlign w:val="bottom"/>
            <w:vMerge w:val="restart"/>
          </w:tcPr>
          <w:p>
            <w:pPr>
              <w:ind w:left="60"/>
              <w:spacing w:after="0"/>
              <w:rPr>
                <w:sz w:val="20"/>
                <w:szCs w:val="20"/>
                <w:color w:val="auto"/>
              </w:rPr>
            </w:pPr>
            <w:r>
              <w:rPr>
                <w:rFonts w:ascii="Arial" w:cs="Arial" w:eastAsia="Arial" w:hAnsi="Arial"/>
                <w:sz w:val="15"/>
                <w:szCs w:val="15"/>
                <w:b w:val="1"/>
                <w:bCs w:val="1"/>
                <w:color w:val="00AE4F"/>
              </w:rPr>
              <w:t xml:space="preserve">Age: </w:t>
            </w:r>
            <w:r>
              <w:rPr>
                <w:rFonts w:ascii="Arial" w:cs="Arial" w:eastAsia="Arial" w:hAnsi="Arial"/>
                <w:sz w:val="15"/>
                <w:szCs w:val="15"/>
                <w:color w:val="000000"/>
              </w:rPr>
              <w:t>42</w:t>
            </w:r>
          </w:p>
        </w:tc>
        <w:tc>
          <w:tcPr>
            <w:tcW w:w="7580" w:type="dxa"/>
            <w:vAlign w:val="bottom"/>
          </w:tcPr>
          <w:p>
            <w:pPr>
              <w:ind w:left="180"/>
              <w:spacing w:after="0"/>
              <w:rPr>
                <w:sz w:val="20"/>
                <w:szCs w:val="20"/>
                <w:color w:val="auto"/>
              </w:rPr>
            </w:pPr>
            <w:r>
              <w:rPr>
                <w:rFonts w:ascii="Arial" w:cs="Arial" w:eastAsia="Arial" w:hAnsi="Arial"/>
                <w:sz w:val="15"/>
                <w:szCs w:val="15"/>
                <w:color w:val="auto"/>
              </w:rPr>
              <w:t>2023, Senior Vice President, Manpower North America 2018 – 2022, Vice President, New Ventures 2017 –</w:t>
            </w:r>
          </w:p>
        </w:tc>
        <w:tc>
          <w:tcPr>
            <w:tcW w:w="0" w:type="dxa"/>
            <w:vAlign w:val="bottom"/>
          </w:tcPr>
          <w:p>
            <w:pPr>
              <w:spacing w:after="0"/>
              <w:rPr>
                <w:sz w:val="1"/>
                <w:szCs w:val="1"/>
                <w:color w:val="auto"/>
              </w:rPr>
            </w:pPr>
          </w:p>
        </w:tc>
      </w:tr>
      <w:tr>
        <w:trPr>
          <w:trHeight w:val="116"/>
        </w:trPr>
        <w:tc>
          <w:tcPr>
            <w:tcW w:w="2560" w:type="dxa"/>
            <w:vAlign w:val="bottom"/>
            <w:vMerge w:val="continue"/>
          </w:tcPr>
          <w:p>
            <w:pPr>
              <w:spacing w:after="0"/>
              <w:rPr>
                <w:sz w:val="10"/>
                <w:szCs w:val="10"/>
                <w:color w:val="auto"/>
              </w:rPr>
            </w:pPr>
          </w:p>
        </w:tc>
        <w:tc>
          <w:tcPr>
            <w:tcW w:w="7580" w:type="dxa"/>
            <w:vAlign w:val="bottom"/>
            <w:vMerge w:val="restart"/>
          </w:tcPr>
          <w:p>
            <w:pPr>
              <w:ind w:left="180"/>
              <w:spacing w:after="0"/>
              <w:rPr>
                <w:sz w:val="20"/>
                <w:szCs w:val="20"/>
                <w:color w:val="auto"/>
              </w:rPr>
            </w:pPr>
            <w:r>
              <w:rPr>
                <w:rFonts w:ascii="Arial" w:cs="Arial" w:eastAsia="Arial" w:hAnsi="Arial"/>
                <w:sz w:val="15"/>
                <w:szCs w:val="15"/>
                <w:color w:val="auto"/>
              </w:rPr>
              <w:t>2018, Managing Director, Experis Technology Solutions 2016 – 2017, Regional Managing Director, Experis</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Engineering &amp; Life Sciences 2015 – 2016, Managing Director Experis IT &amp; Engineering 2013 – 2015, Market</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Leader, Jefferson Wells 2012 – 2013, Client Relationship Director, Jefferson Wells 2006 – 2013, Marketing</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Manager, Jefferson Wells 2006, Sales Marketing Associate, Jefferson Wells 2005 – 2006, Talent Coordinator</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2004 – 2005, and Intern in 2004. Mr. Layden leads Kelly with a customer-centric and growth-focused mindset.</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He is passionate about Kelly’s iconic brand and its legacy as a pioneer in the staffing industry, and spearheads</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the company’s specialty strategy by fostering a culture of collaboration, accountability, and purpose.</w:t>
            </w:r>
          </w:p>
        </w:tc>
        <w:tc>
          <w:tcPr>
            <w:tcW w:w="0" w:type="dxa"/>
            <w:vAlign w:val="bottom"/>
          </w:tcPr>
          <w:p>
            <w:pPr>
              <w:spacing w:after="0"/>
              <w:rPr>
                <w:sz w:val="1"/>
                <w:szCs w:val="1"/>
                <w:color w:val="auto"/>
              </w:rPr>
            </w:pPr>
          </w:p>
        </w:tc>
      </w:tr>
      <w:tr>
        <w:trPr>
          <w:trHeight w:val="39"/>
        </w:trPr>
        <w:tc>
          <w:tcPr>
            <w:tcW w:w="2560" w:type="dxa"/>
            <w:vAlign w:val="bottom"/>
            <w:tcBorders>
              <w:bottom w:val="single" w:sz="8" w:color="7F7F7F"/>
            </w:tcBorders>
          </w:tcPr>
          <w:p>
            <w:pPr>
              <w:spacing w:after="0"/>
              <w:rPr>
                <w:sz w:val="3"/>
                <w:szCs w:val="3"/>
                <w:color w:val="auto"/>
              </w:rPr>
            </w:pPr>
          </w:p>
        </w:tc>
        <w:tc>
          <w:tcPr>
            <w:tcW w:w="75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Mr. Anderson became Executive Vice President and Chief Financial Officer on December 2, 2024, after a</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b w:val="1"/>
                <w:bCs w:val="1"/>
                <w:color w:val="auto"/>
              </w:rPr>
              <w:t>Troy R. Anderson</w:t>
            </w:r>
          </w:p>
        </w:tc>
        <w:tc>
          <w:tcPr>
            <w:tcW w:w="7580" w:type="dxa"/>
            <w:vAlign w:val="bottom"/>
          </w:tcPr>
          <w:p>
            <w:pPr>
              <w:ind w:left="180"/>
              <w:spacing w:after="0"/>
              <w:rPr>
                <w:sz w:val="20"/>
                <w:szCs w:val="20"/>
                <w:color w:val="auto"/>
              </w:rPr>
            </w:pPr>
            <w:r>
              <w:rPr>
                <w:rFonts w:ascii="Arial" w:cs="Arial" w:eastAsia="Arial" w:hAnsi="Arial"/>
                <w:sz w:val="15"/>
                <w:szCs w:val="15"/>
                <w:color w:val="auto"/>
              </w:rPr>
              <w:t>successful transition of responsibilities with his predecessor. Before joining the Company, he served as</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Executive Vice</w:t>
            </w:r>
          </w:p>
        </w:tc>
        <w:tc>
          <w:tcPr>
            <w:tcW w:w="7580" w:type="dxa"/>
            <w:vAlign w:val="bottom"/>
          </w:tcPr>
          <w:p>
            <w:pPr>
              <w:ind w:left="180"/>
              <w:spacing w:after="0"/>
              <w:rPr>
                <w:sz w:val="20"/>
                <w:szCs w:val="20"/>
                <w:color w:val="auto"/>
              </w:rPr>
            </w:pPr>
            <w:r>
              <w:rPr>
                <w:rFonts w:ascii="Arial" w:cs="Arial" w:eastAsia="Arial" w:hAnsi="Arial"/>
                <w:sz w:val="15"/>
                <w:szCs w:val="15"/>
                <w:color w:val="auto"/>
              </w:rPr>
              <w:t>Executive Vice President and Chief Financial Officer at Universal Technical Institute, a leading workforce</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President and Chief</w:t>
            </w:r>
          </w:p>
        </w:tc>
        <w:tc>
          <w:tcPr>
            <w:tcW w:w="7580" w:type="dxa"/>
            <w:vAlign w:val="bottom"/>
          </w:tcPr>
          <w:p>
            <w:pPr>
              <w:ind w:left="180"/>
              <w:spacing w:after="0"/>
              <w:rPr>
                <w:sz w:val="20"/>
                <w:szCs w:val="20"/>
                <w:color w:val="auto"/>
              </w:rPr>
            </w:pPr>
            <w:r>
              <w:rPr>
                <w:rFonts w:ascii="Arial" w:cs="Arial" w:eastAsia="Arial" w:hAnsi="Arial"/>
                <w:sz w:val="15"/>
                <w:szCs w:val="15"/>
                <w:color w:val="auto"/>
              </w:rPr>
              <w:t>education solutions provider from September 2019 to October 2024. From November 2016 to September 2019,</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Financial Officer</w:t>
            </w:r>
          </w:p>
        </w:tc>
        <w:tc>
          <w:tcPr>
            <w:tcW w:w="7580" w:type="dxa"/>
            <w:vAlign w:val="bottom"/>
          </w:tcPr>
          <w:p>
            <w:pPr>
              <w:ind w:left="180"/>
              <w:spacing w:after="0"/>
              <w:rPr>
                <w:sz w:val="20"/>
                <w:szCs w:val="20"/>
                <w:color w:val="auto"/>
              </w:rPr>
            </w:pPr>
            <w:r>
              <w:rPr>
                <w:rFonts w:ascii="Arial" w:cs="Arial" w:eastAsia="Arial" w:hAnsi="Arial"/>
                <w:sz w:val="15"/>
                <w:szCs w:val="15"/>
                <w:color w:val="auto"/>
              </w:rPr>
              <w:t>Mr. Anderson was the Global Finance Leader and Corporate Controller for Conduent, Inc., a global business</w:t>
            </w:r>
          </w:p>
        </w:tc>
        <w:tc>
          <w:tcPr>
            <w:tcW w:w="0" w:type="dxa"/>
            <w:vAlign w:val="bottom"/>
          </w:tcPr>
          <w:p>
            <w:pPr>
              <w:spacing w:after="0"/>
              <w:rPr>
                <w:sz w:val="1"/>
                <w:szCs w:val="1"/>
                <w:color w:val="auto"/>
              </w:rPr>
            </w:pPr>
          </w:p>
        </w:tc>
      </w:tr>
      <w:tr>
        <w:trPr>
          <w:trHeight w:val="174"/>
        </w:trPr>
        <w:tc>
          <w:tcPr>
            <w:tcW w:w="2560" w:type="dxa"/>
            <w:vAlign w:val="bottom"/>
            <w:vMerge w:val="restart"/>
          </w:tcPr>
          <w:p>
            <w:pPr>
              <w:ind w:left="60"/>
              <w:spacing w:after="0"/>
              <w:rPr>
                <w:sz w:val="20"/>
                <w:szCs w:val="20"/>
                <w:color w:val="auto"/>
              </w:rPr>
            </w:pPr>
            <w:r>
              <w:rPr>
                <w:rFonts w:ascii="Arial" w:cs="Arial" w:eastAsia="Arial" w:hAnsi="Arial"/>
                <w:sz w:val="15"/>
                <w:szCs w:val="15"/>
                <w:b w:val="1"/>
                <w:bCs w:val="1"/>
                <w:color w:val="00AE4F"/>
              </w:rPr>
              <w:t xml:space="preserve">Age: </w:t>
            </w:r>
            <w:r>
              <w:rPr>
                <w:rFonts w:ascii="Arial" w:cs="Arial" w:eastAsia="Arial" w:hAnsi="Arial"/>
                <w:sz w:val="15"/>
                <w:szCs w:val="15"/>
                <w:color w:val="000000"/>
              </w:rPr>
              <w:t>59</w:t>
            </w:r>
          </w:p>
        </w:tc>
        <w:tc>
          <w:tcPr>
            <w:tcW w:w="7580" w:type="dxa"/>
            <w:vAlign w:val="bottom"/>
          </w:tcPr>
          <w:p>
            <w:pPr>
              <w:ind w:left="180"/>
              <w:spacing w:after="0"/>
              <w:rPr>
                <w:sz w:val="20"/>
                <w:szCs w:val="20"/>
                <w:color w:val="auto"/>
              </w:rPr>
            </w:pPr>
            <w:r>
              <w:rPr>
                <w:rFonts w:ascii="Arial" w:cs="Arial" w:eastAsia="Arial" w:hAnsi="Arial"/>
                <w:sz w:val="15"/>
                <w:szCs w:val="15"/>
                <w:color w:val="auto"/>
              </w:rPr>
              <w:t>process outsourcing provider, where he managed the financial aspects of a spin-out from Xerox. Prior to his</w:t>
            </w:r>
          </w:p>
        </w:tc>
        <w:tc>
          <w:tcPr>
            <w:tcW w:w="0" w:type="dxa"/>
            <w:vAlign w:val="bottom"/>
          </w:tcPr>
          <w:p>
            <w:pPr>
              <w:spacing w:after="0"/>
              <w:rPr>
                <w:sz w:val="1"/>
                <w:szCs w:val="1"/>
                <w:color w:val="auto"/>
              </w:rPr>
            </w:pPr>
          </w:p>
        </w:tc>
      </w:tr>
      <w:tr>
        <w:trPr>
          <w:trHeight w:val="116"/>
        </w:trPr>
        <w:tc>
          <w:tcPr>
            <w:tcW w:w="2560" w:type="dxa"/>
            <w:vAlign w:val="bottom"/>
            <w:vMerge w:val="continue"/>
          </w:tcPr>
          <w:p>
            <w:pPr>
              <w:spacing w:after="0"/>
              <w:rPr>
                <w:sz w:val="10"/>
                <w:szCs w:val="10"/>
                <w:color w:val="auto"/>
              </w:rPr>
            </w:pPr>
          </w:p>
        </w:tc>
        <w:tc>
          <w:tcPr>
            <w:tcW w:w="7580" w:type="dxa"/>
            <w:vAlign w:val="bottom"/>
            <w:vMerge w:val="restart"/>
          </w:tcPr>
          <w:p>
            <w:pPr>
              <w:ind w:left="180"/>
              <w:spacing w:after="0"/>
              <w:rPr>
                <w:sz w:val="20"/>
                <w:szCs w:val="20"/>
                <w:color w:val="auto"/>
              </w:rPr>
            </w:pPr>
            <w:r>
              <w:rPr>
                <w:rFonts w:ascii="Arial" w:cs="Arial" w:eastAsia="Arial" w:hAnsi="Arial"/>
                <w:sz w:val="15"/>
                <w:szCs w:val="15"/>
                <w:color w:val="auto"/>
              </w:rPr>
              <w:t>time at Conduent, Mr. Anderson served as Senior Vice President and Chief Financial Officer of the Industry</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Group at Xerox from 2015 to 2016 and as Director of Investor Relations from 2013 to 2015.</w:t>
            </w:r>
          </w:p>
        </w:tc>
        <w:tc>
          <w:tcPr>
            <w:tcW w:w="0" w:type="dxa"/>
            <w:vAlign w:val="bottom"/>
          </w:tcPr>
          <w:p>
            <w:pPr>
              <w:spacing w:after="0"/>
              <w:rPr>
                <w:sz w:val="1"/>
                <w:szCs w:val="1"/>
                <w:color w:val="auto"/>
              </w:rPr>
            </w:pPr>
          </w:p>
        </w:tc>
      </w:tr>
      <w:tr>
        <w:trPr>
          <w:trHeight w:val="39"/>
        </w:trPr>
        <w:tc>
          <w:tcPr>
            <w:tcW w:w="2560" w:type="dxa"/>
            <w:vAlign w:val="bottom"/>
            <w:tcBorders>
              <w:bottom w:val="single" w:sz="8" w:color="7F7F7F"/>
            </w:tcBorders>
          </w:tcPr>
          <w:p>
            <w:pPr>
              <w:spacing w:after="0"/>
              <w:rPr>
                <w:sz w:val="3"/>
                <w:szCs w:val="3"/>
                <w:color w:val="auto"/>
              </w:rPr>
            </w:pPr>
          </w:p>
        </w:tc>
        <w:tc>
          <w:tcPr>
            <w:tcW w:w="75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Ms. Browning served as Senior Vice President and Group President of Enterprise Talent Management from</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b w:val="1"/>
                <w:bCs w:val="1"/>
                <w:color w:val="auto"/>
              </w:rPr>
              <w:t>Tammy L. Browning*</w:t>
            </w:r>
          </w:p>
        </w:tc>
        <w:tc>
          <w:tcPr>
            <w:tcW w:w="7580" w:type="dxa"/>
            <w:vAlign w:val="bottom"/>
          </w:tcPr>
          <w:p>
            <w:pPr>
              <w:ind w:left="180"/>
              <w:spacing w:after="0"/>
              <w:rPr>
                <w:sz w:val="20"/>
                <w:szCs w:val="20"/>
                <w:color w:val="auto"/>
              </w:rPr>
            </w:pPr>
            <w:r>
              <w:rPr>
                <w:rFonts w:ascii="Arial" w:cs="Arial" w:eastAsia="Arial" w:hAnsi="Arial"/>
                <w:sz w:val="15"/>
                <w:szCs w:val="15"/>
                <w:color w:val="auto"/>
              </w:rPr>
              <w:t>2025 until she separated from the Company on March 6, 2026. She previously held a variety of customer- and</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Senior Vice President,</w:t>
            </w:r>
          </w:p>
        </w:tc>
        <w:tc>
          <w:tcPr>
            <w:tcW w:w="7580" w:type="dxa"/>
            <w:vAlign w:val="bottom"/>
          </w:tcPr>
          <w:p>
            <w:pPr>
              <w:ind w:left="180"/>
              <w:spacing w:after="0"/>
              <w:rPr>
                <w:sz w:val="20"/>
                <w:szCs w:val="20"/>
                <w:color w:val="auto"/>
              </w:rPr>
            </w:pPr>
            <w:r>
              <w:rPr>
                <w:rFonts w:ascii="Arial" w:cs="Arial" w:eastAsia="Arial" w:hAnsi="Arial"/>
                <w:sz w:val="15"/>
                <w:szCs w:val="15"/>
                <w:color w:val="auto"/>
              </w:rPr>
              <w:t>talent-facing management roles across the organization, ultimately leading the company’s U.S. staffing</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Group President, Enterprise Talent</w:t>
            </w:r>
          </w:p>
        </w:tc>
        <w:tc>
          <w:tcPr>
            <w:tcW w:w="7580" w:type="dxa"/>
            <w:vAlign w:val="bottom"/>
          </w:tcPr>
          <w:p>
            <w:pPr>
              <w:ind w:left="180"/>
              <w:spacing w:after="0"/>
              <w:rPr>
                <w:sz w:val="20"/>
                <w:szCs w:val="20"/>
                <w:color w:val="auto"/>
              </w:rPr>
            </w:pPr>
            <w:r>
              <w:rPr>
                <w:rFonts w:ascii="Arial" w:cs="Arial" w:eastAsia="Arial" w:hAnsi="Arial"/>
                <w:sz w:val="15"/>
                <w:szCs w:val="15"/>
                <w:color w:val="auto"/>
              </w:rPr>
              <w:t>operations for the West Territory and IT practice. From 2020 to 2025, she served as Senior Vice President and</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Management</w:t>
            </w:r>
          </w:p>
        </w:tc>
        <w:tc>
          <w:tcPr>
            <w:tcW w:w="7580" w:type="dxa"/>
            <w:vAlign w:val="bottom"/>
          </w:tcPr>
          <w:p>
            <w:pPr>
              <w:ind w:left="180"/>
              <w:spacing w:after="0"/>
              <w:rPr>
                <w:sz w:val="20"/>
                <w:szCs w:val="20"/>
                <w:color w:val="auto"/>
              </w:rPr>
            </w:pPr>
            <w:r>
              <w:rPr>
                <w:rFonts w:ascii="Arial" w:cs="Arial" w:eastAsia="Arial" w:hAnsi="Arial"/>
                <w:sz w:val="15"/>
                <w:szCs w:val="15"/>
                <w:color w:val="auto"/>
              </w:rPr>
              <w:t>President of KellyOCG. Prior to that, Ms. Browning was Global Vice President of Operations and Managing</w:t>
            </w:r>
          </w:p>
        </w:tc>
        <w:tc>
          <w:tcPr>
            <w:tcW w:w="0" w:type="dxa"/>
            <w:vAlign w:val="bottom"/>
          </w:tcPr>
          <w:p>
            <w:pPr>
              <w:spacing w:after="0"/>
              <w:rPr>
                <w:sz w:val="1"/>
                <w:szCs w:val="1"/>
                <w:color w:val="auto"/>
              </w:rPr>
            </w:pPr>
          </w:p>
        </w:tc>
      </w:tr>
      <w:tr>
        <w:trPr>
          <w:trHeight w:val="174"/>
        </w:trPr>
        <w:tc>
          <w:tcPr>
            <w:tcW w:w="2560" w:type="dxa"/>
            <w:vAlign w:val="bottom"/>
            <w:vMerge w:val="restart"/>
          </w:tcPr>
          <w:p>
            <w:pPr>
              <w:ind w:left="60"/>
              <w:spacing w:after="0"/>
              <w:rPr>
                <w:sz w:val="20"/>
                <w:szCs w:val="20"/>
                <w:color w:val="auto"/>
              </w:rPr>
            </w:pPr>
            <w:r>
              <w:rPr>
                <w:rFonts w:ascii="Arial" w:cs="Arial" w:eastAsia="Arial" w:hAnsi="Arial"/>
                <w:sz w:val="15"/>
                <w:szCs w:val="15"/>
                <w:b w:val="1"/>
                <w:bCs w:val="1"/>
                <w:color w:val="00AE4F"/>
              </w:rPr>
              <w:t xml:space="preserve">Age: </w:t>
            </w:r>
            <w:r>
              <w:rPr>
                <w:rFonts w:ascii="Arial" w:cs="Arial" w:eastAsia="Arial" w:hAnsi="Arial"/>
                <w:sz w:val="15"/>
                <w:szCs w:val="15"/>
                <w:color w:val="000000"/>
              </w:rPr>
              <w:t>52</w:t>
            </w:r>
          </w:p>
        </w:tc>
        <w:tc>
          <w:tcPr>
            <w:tcW w:w="7580" w:type="dxa"/>
            <w:vAlign w:val="bottom"/>
          </w:tcPr>
          <w:p>
            <w:pPr>
              <w:ind w:left="180"/>
              <w:spacing w:after="0"/>
              <w:rPr>
                <w:sz w:val="20"/>
                <w:szCs w:val="20"/>
                <w:color w:val="auto"/>
              </w:rPr>
            </w:pPr>
            <w:r>
              <w:rPr>
                <w:rFonts w:ascii="Arial" w:cs="Arial" w:eastAsia="Arial" w:hAnsi="Arial"/>
                <w:sz w:val="15"/>
                <w:szCs w:val="15"/>
                <w:color w:val="auto"/>
                <w:w w:val="99"/>
              </w:rPr>
              <w:t>Director of GTS Talent Fulfillment from October 2018 to July 2020. She originally joined Kelly as Sales Manager</w:t>
            </w:r>
          </w:p>
        </w:tc>
        <w:tc>
          <w:tcPr>
            <w:tcW w:w="0" w:type="dxa"/>
            <w:vAlign w:val="bottom"/>
          </w:tcPr>
          <w:p>
            <w:pPr>
              <w:spacing w:after="0"/>
              <w:rPr>
                <w:sz w:val="1"/>
                <w:szCs w:val="1"/>
                <w:color w:val="auto"/>
              </w:rPr>
            </w:pPr>
          </w:p>
        </w:tc>
      </w:tr>
      <w:tr>
        <w:trPr>
          <w:trHeight w:val="116"/>
        </w:trPr>
        <w:tc>
          <w:tcPr>
            <w:tcW w:w="2560" w:type="dxa"/>
            <w:vAlign w:val="bottom"/>
            <w:vMerge w:val="continue"/>
          </w:tcPr>
          <w:p>
            <w:pPr>
              <w:spacing w:after="0"/>
              <w:rPr>
                <w:sz w:val="10"/>
                <w:szCs w:val="10"/>
                <w:color w:val="auto"/>
              </w:rPr>
            </w:pPr>
          </w:p>
        </w:tc>
        <w:tc>
          <w:tcPr>
            <w:tcW w:w="7580" w:type="dxa"/>
            <w:vAlign w:val="bottom"/>
            <w:vMerge w:val="restart"/>
          </w:tcPr>
          <w:p>
            <w:pPr>
              <w:ind w:left="180"/>
              <w:spacing w:after="0"/>
              <w:rPr>
                <w:sz w:val="20"/>
                <w:szCs w:val="20"/>
                <w:color w:val="auto"/>
              </w:rPr>
            </w:pPr>
            <w:r>
              <w:rPr>
                <w:rFonts w:ascii="Arial" w:cs="Arial" w:eastAsia="Arial" w:hAnsi="Arial"/>
                <w:sz w:val="15"/>
                <w:szCs w:val="15"/>
                <w:color w:val="auto"/>
              </w:rPr>
              <w:t>in February 2003, progressing through key leadership positions including Branch Manager, West Region</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Manager, and Americas Product Group Leader. In 2010, she joined a Kelly supplier as Senior Vice President,</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overseeing all U.S. operations, before returning to Kelly in 2017 with expanded responsibilities and expertise.</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Recognized for her leadership in the field, Ms. Browning has been named by Staffing Industry Analysts as one</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of the most influential leaders in staffing, earning spots on both the Staffing 100 North America and Global</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Power 150 Women in Staffing lists every year since 2020.</w:t>
            </w:r>
          </w:p>
        </w:tc>
        <w:tc>
          <w:tcPr>
            <w:tcW w:w="0" w:type="dxa"/>
            <w:vAlign w:val="bottom"/>
          </w:tcPr>
          <w:p>
            <w:pPr>
              <w:spacing w:after="0"/>
              <w:rPr>
                <w:sz w:val="1"/>
                <w:szCs w:val="1"/>
                <w:color w:val="auto"/>
              </w:rPr>
            </w:pPr>
          </w:p>
        </w:tc>
      </w:tr>
      <w:tr>
        <w:trPr>
          <w:trHeight w:val="39"/>
        </w:trPr>
        <w:tc>
          <w:tcPr>
            <w:tcW w:w="2560" w:type="dxa"/>
            <w:vAlign w:val="bottom"/>
            <w:tcBorders>
              <w:bottom w:val="single" w:sz="8" w:color="7F7F7F"/>
            </w:tcBorders>
          </w:tcPr>
          <w:p>
            <w:pPr>
              <w:spacing w:after="0"/>
              <w:rPr>
                <w:sz w:val="3"/>
                <w:szCs w:val="3"/>
                <w:color w:val="auto"/>
              </w:rPr>
            </w:pPr>
          </w:p>
        </w:tc>
        <w:tc>
          <w:tcPr>
            <w:tcW w:w="75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w w:val="99"/>
              </w:rPr>
              <w:t>Ms. Williams has served as General Counsel since joining the Company in September 2020 and was appointed</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b w:val="1"/>
                <w:bCs w:val="1"/>
                <w:color w:val="auto"/>
              </w:rPr>
              <w:t>Vanessa P. Williams</w:t>
            </w:r>
          </w:p>
        </w:tc>
        <w:tc>
          <w:tcPr>
            <w:tcW w:w="7580" w:type="dxa"/>
            <w:vAlign w:val="bottom"/>
          </w:tcPr>
          <w:p>
            <w:pPr>
              <w:ind w:left="180"/>
              <w:spacing w:after="0"/>
              <w:rPr>
                <w:sz w:val="20"/>
                <w:szCs w:val="20"/>
                <w:color w:val="auto"/>
              </w:rPr>
            </w:pPr>
            <w:r>
              <w:rPr>
                <w:rFonts w:ascii="Arial" w:cs="Arial" w:eastAsia="Arial" w:hAnsi="Arial"/>
                <w:sz w:val="15"/>
                <w:szCs w:val="15"/>
                <w:color w:val="auto"/>
              </w:rPr>
              <w:t>Corporate Secretary in October 2023. Ms. Williams oversees the global legal team, procurement, insurance</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Executive Vice President</w:t>
            </w:r>
          </w:p>
        </w:tc>
        <w:tc>
          <w:tcPr>
            <w:tcW w:w="7580" w:type="dxa"/>
            <w:vAlign w:val="bottom"/>
          </w:tcPr>
          <w:p>
            <w:pPr>
              <w:ind w:left="180"/>
              <w:spacing w:after="0"/>
              <w:rPr>
                <w:sz w:val="20"/>
                <w:szCs w:val="20"/>
                <w:color w:val="auto"/>
              </w:rPr>
            </w:pPr>
            <w:r>
              <w:rPr>
                <w:rFonts w:ascii="Arial" w:cs="Arial" w:eastAsia="Arial" w:hAnsi="Arial"/>
                <w:sz w:val="15"/>
                <w:szCs w:val="15"/>
                <w:color w:val="auto"/>
                <w:w w:val="99"/>
              </w:rPr>
              <w:t>risks, enterprise risk management, physical security and safety, investor relations, and employment compliance.</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General Counsel and</w:t>
            </w:r>
          </w:p>
        </w:tc>
        <w:tc>
          <w:tcPr>
            <w:tcW w:w="7580" w:type="dxa"/>
            <w:vAlign w:val="bottom"/>
          </w:tcPr>
          <w:p>
            <w:pPr>
              <w:ind w:left="180"/>
              <w:spacing w:after="0"/>
              <w:rPr>
                <w:sz w:val="20"/>
                <w:szCs w:val="20"/>
                <w:color w:val="auto"/>
              </w:rPr>
            </w:pPr>
            <w:r>
              <w:rPr>
                <w:rFonts w:ascii="Arial" w:cs="Arial" w:eastAsia="Arial" w:hAnsi="Arial"/>
                <w:sz w:val="15"/>
                <w:szCs w:val="15"/>
                <w:color w:val="auto"/>
              </w:rPr>
              <w:t>From July 2006 to September 2020 she worked in a variety of roles for IHSMarkit, a London-based global</w:t>
            </w:r>
          </w:p>
        </w:tc>
        <w:tc>
          <w:tcPr>
            <w:tcW w:w="0" w:type="dxa"/>
            <w:vAlign w:val="bottom"/>
          </w:tcPr>
          <w:p>
            <w:pPr>
              <w:spacing w:after="0"/>
              <w:rPr>
                <w:sz w:val="1"/>
                <w:szCs w:val="1"/>
                <w:color w:val="auto"/>
              </w:rPr>
            </w:pPr>
          </w:p>
        </w:tc>
      </w:tr>
      <w:tr>
        <w:trPr>
          <w:trHeight w:val="174"/>
        </w:trPr>
        <w:tc>
          <w:tcPr>
            <w:tcW w:w="2560" w:type="dxa"/>
            <w:vAlign w:val="bottom"/>
          </w:tcPr>
          <w:p>
            <w:pPr>
              <w:ind w:left="60"/>
              <w:spacing w:after="0"/>
              <w:rPr>
                <w:sz w:val="20"/>
                <w:szCs w:val="20"/>
                <w:color w:val="auto"/>
              </w:rPr>
            </w:pPr>
            <w:r>
              <w:rPr>
                <w:rFonts w:ascii="Arial" w:cs="Arial" w:eastAsia="Arial" w:hAnsi="Arial"/>
                <w:sz w:val="15"/>
                <w:szCs w:val="15"/>
                <w:color w:val="auto"/>
              </w:rPr>
              <w:t>Corporate Secretary</w:t>
            </w:r>
          </w:p>
        </w:tc>
        <w:tc>
          <w:tcPr>
            <w:tcW w:w="7580" w:type="dxa"/>
            <w:vAlign w:val="bottom"/>
          </w:tcPr>
          <w:p>
            <w:pPr>
              <w:ind w:left="180"/>
              <w:spacing w:after="0"/>
              <w:rPr>
                <w:sz w:val="20"/>
                <w:szCs w:val="20"/>
                <w:color w:val="auto"/>
              </w:rPr>
            </w:pPr>
            <w:r>
              <w:rPr>
                <w:rFonts w:ascii="Arial" w:cs="Arial" w:eastAsia="Arial" w:hAnsi="Arial"/>
                <w:sz w:val="15"/>
                <w:szCs w:val="15"/>
                <w:color w:val="auto"/>
              </w:rPr>
              <w:t>information provider, including Senior Vice President of Legal, Risk, and Compliance; Vice President, Divisional</w:t>
            </w:r>
          </w:p>
        </w:tc>
        <w:tc>
          <w:tcPr>
            <w:tcW w:w="0" w:type="dxa"/>
            <w:vAlign w:val="bottom"/>
          </w:tcPr>
          <w:p>
            <w:pPr>
              <w:spacing w:after="0"/>
              <w:rPr>
                <w:sz w:val="1"/>
                <w:szCs w:val="1"/>
                <w:color w:val="auto"/>
              </w:rPr>
            </w:pPr>
          </w:p>
        </w:tc>
      </w:tr>
      <w:tr>
        <w:trPr>
          <w:trHeight w:val="174"/>
        </w:trPr>
        <w:tc>
          <w:tcPr>
            <w:tcW w:w="2560" w:type="dxa"/>
            <w:vAlign w:val="bottom"/>
            <w:vMerge w:val="restart"/>
          </w:tcPr>
          <w:p>
            <w:pPr>
              <w:ind w:left="60"/>
              <w:spacing w:after="0"/>
              <w:rPr>
                <w:sz w:val="20"/>
                <w:szCs w:val="20"/>
                <w:color w:val="auto"/>
              </w:rPr>
            </w:pPr>
            <w:r>
              <w:rPr>
                <w:rFonts w:ascii="Arial" w:cs="Arial" w:eastAsia="Arial" w:hAnsi="Arial"/>
                <w:sz w:val="15"/>
                <w:szCs w:val="15"/>
                <w:b w:val="1"/>
                <w:bCs w:val="1"/>
                <w:color w:val="00AE4F"/>
              </w:rPr>
              <w:t xml:space="preserve">Age: </w:t>
            </w:r>
            <w:r>
              <w:rPr>
                <w:rFonts w:ascii="Arial" w:cs="Arial" w:eastAsia="Arial" w:hAnsi="Arial"/>
                <w:sz w:val="15"/>
                <w:szCs w:val="15"/>
                <w:color w:val="000000"/>
              </w:rPr>
              <w:t>54</w:t>
            </w:r>
          </w:p>
        </w:tc>
        <w:tc>
          <w:tcPr>
            <w:tcW w:w="7580" w:type="dxa"/>
            <w:vAlign w:val="bottom"/>
          </w:tcPr>
          <w:p>
            <w:pPr>
              <w:ind w:left="180"/>
              <w:spacing w:after="0"/>
              <w:rPr>
                <w:sz w:val="20"/>
                <w:szCs w:val="20"/>
                <w:color w:val="auto"/>
              </w:rPr>
            </w:pPr>
            <w:r>
              <w:rPr>
                <w:rFonts w:ascii="Arial" w:cs="Arial" w:eastAsia="Arial" w:hAnsi="Arial"/>
                <w:sz w:val="15"/>
                <w:szCs w:val="15"/>
                <w:color w:val="auto"/>
              </w:rPr>
              <w:t>Counsel-Transportation; Vice President, Chief Legal Counsel and Global Privacy Officer (IHS, Inc.); Vice</w:t>
            </w:r>
          </w:p>
        </w:tc>
        <w:tc>
          <w:tcPr>
            <w:tcW w:w="0" w:type="dxa"/>
            <w:vAlign w:val="bottom"/>
          </w:tcPr>
          <w:p>
            <w:pPr>
              <w:spacing w:after="0"/>
              <w:rPr>
                <w:sz w:val="1"/>
                <w:szCs w:val="1"/>
                <w:color w:val="auto"/>
              </w:rPr>
            </w:pPr>
          </w:p>
        </w:tc>
      </w:tr>
      <w:tr>
        <w:trPr>
          <w:trHeight w:val="116"/>
        </w:trPr>
        <w:tc>
          <w:tcPr>
            <w:tcW w:w="2560" w:type="dxa"/>
            <w:vAlign w:val="bottom"/>
            <w:vMerge w:val="continue"/>
          </w:tcPr>
          <w:p>
            <w:pPr>
              <w:spacing w:after="0"/>
              <w:rPr>
                <w:sz w:val="10"/>
                <w:szCs w:val="10"/>
                <w:color w:val="auto"/>
              </w:rPr>
            </w:pPr>
          </w:p>
        </w:tc>
        <w:tc>
          <w:tcPr>
            <w:tcW w:w="7580" w:type="dxa"/>
            <w:vAlign w:val="bottom"/>
            <w:vMerge w:val="restart"/>
          </w:tcPr>
          <w:p>
            <w:pPr>
              <w:ind w:left="180"/>
              <w:spacing w:after="0"/>
              <w:rPr>
                <w:sz w:val="20"/>
                <w:szCs w:val="20"/>
                <w:color w:val="auto"/>
              </w:rPr>
            </w:pPr>
            <w:r>
              <w:rPr>
                <w:rFonts w:ascii="Arial" w:cs="Arial" w:eastAsia="Arial" w:hAnsi="Arial"/>
                <w:sz w:val="15"/>
                <w:szCs w:val="15"/>
                <w:color w:val="auto"/>
              </w:rPr>
              <w:t>President and Deputy General Counsel and Chief Compliance Officer; Deputy General Counsel; and Associate</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w w:val="99"/>
              </w:rPr>
              <w:t>General Counsel (R.L. Polk &amp; Co.). Ms. Williams currently serves as an independent director and compensation</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w w:val="99"/>
              </w:rPr>
              <w:t>committee chair on the board of Horizon Bank and Horizon Bancorp, Inc. In 2026, Ms. Williams was named one</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7580" w:type="dxa"/>
            <w:vAlign w:val="bottom"/>
          </w:tcPr>
          <w:p>
            <w:pPr>
              <w:ind w:left="180"/>
              <w:spacing w:after="0"/>
              <w:rPr>
                <w:sz w:val="20"/>
                <w:szCs w:val="20"/>
                <w:color w:val="auto"/>
              </w:rPr>
            </w:pPr>
            <w:r>
              <w:rPr>
                <w:rFonts w:ascii="Arial" w:cs="Arial" w:eastAsia="Arial" w:hAnsi="Arial"/>
                <w:sz w:val="15"/>
                <w:szCs w:val="15"/>
                <w:color w:val="auto"/>
              </w:rPr>
              <w:t>of Crain’s Detroit Business’s Notable Women in Law.</w:t>
            </w:r>
          </w:p>
        </w:tc>
        <w:tc>
          <w:tcPr>
            <w:tcW w:w="0" w:type="dxa"/>
            <w:vAlign w:val="bottom"/>
          </w:tcPr>
          <w:p>
            <w:pPr>
              <w:spacing w:after="0"/>
              <w:rPr>
                <w:sz w:val="1"/>
                <w:szCs w:val="1"/>
                <w:color w:val="auto"/>
              </w:rPr>
            </w:pPr>
          </w:p>
        </w:tc>
      </w:tr>
      <w:tr>
        <w:trPr>
          <w:trHeight w:val="39"/>
        </w:trPr>
        <w:tc>
          <w:tcPr>
            <w:tcW w:w="2560" w:type="dxa"/>
            <w:vAlign w:val="bottom"/>
            <w:tcBorders>
              <w:bottom w:val="single" w:sz="8" w:color="7F7F7F"/>
            </w:tcBorders>
          </w:tcPr>
          <w:p>
            <w:pPr>
              <w:spacing w:after="0"/>
              <w:rPr>
                <w:sz w:val="3"/>
                <w:szCs w:val="3"/>
                <w:color w:val="auto"/>
              </w:rPr>
            </w:pPr>
          </w:p>
        </w:tc>
        <w:tc>
          <w:tcPr>
            <w:tcW w:w="75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ind w:left="620"/>
        <w:spacing w:after="0" w:line="233" w:lineRule="auto"/>
        <w:tabs>
          <w:tab w:leader="none" w:pos="1180" w:val="left"/>
        </w:tabs>
        <w:rPr>
          <w:sz w:val="20"/>
          <w:szCs w:val="20"/>
          <w:color w:val="auto"/>
        </w:rPr>
      </w:pPr>
      <w:r>
        <w:rPr>
          <w:rFonts w:ascii="Arial" w:cs="Arial" w:eastAsia="Arial" w:hAnsi="Arial"/>
          <w:sz w:val="40"/>
          <w:szCs w:val="40"/>
          <w:color w:val="auto"/>
          <w:vertAlign w:val="superscript"/>
        </w:rPr>
        <w:t>46 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-196215</wp:posOffset>
            </wp:positionV>
            <wp:extent cx="7620" cy="212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620"/>
        <w:spacing w:after="0"/>
        <w:tabs>
          <w:tab w:leader="none" w:pos="3280" w:val="left"/>
        </w:tabs>
        <w:rPr>
          <w:sz w:val="20"/>
          <w:szCs w:val="20"/>
          <w:color w:val="auto"/>
        </w:rPr>
      </w:pPr>
      <w:r>
        <w:rPr>
          <w:rFonts w:ascii="Arial" w:cs="Arial" w:eastAsia="Arial" w:hAnsi="Arial"/>
          <w:sz w:val="15"/>
          <w:szCs w:val="15"/>
          <w:b w:val="1"/>
          <w:bCs w:val="1"/>
          <w:color w:val="00AE4F"/>
        </w:rPr>
        <w:t>Name</w:t>
      </w:r>
      <w:r>
        <w:rPr>
          <w:sz w:val="20"/>
          <w:szCs w:val="20"/>
          <w:color w:val="auto"/>
        </w:rPr>
        <w:tab/>
      </w:r>
      <w:r>
        <w:rPr>
          <w:rFonts w:ascii="Arial" w:cs="Arial" w:eastAsia="Arial" w:hAnsi="Arial"/>
          <w:sz w:val="15"/>
          <w:szCs w:val="15"/>
          <w:b w:val="1"/>
          <w:bCs w:val="1"/>
          <w:color w:val="00AE4F"/>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24130</wp:posOffset>
            </wp:positionV>
            <wp:extent cx="642683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p>
      <w:pPr>
        <w:spacing w:after="0" w:line="262" w:lineRule="exact"/>
        <w:rPr>
          <w:sz w:val="20"/>
          <w:szCs w:val="20"/>
          <w:color w:val="auto"/>
        </w:rPr>
      </w:pPr>
    </w:p>
    <w:p>
      <w:pPr>
        <w:ind w:left="620" w:right="220"/>
        <w:spacing w:after="0" w:line="258" w:lineRule="auto"/>
        <w:rPr>
          <w:sz w:val="20"/>
          <w:szCs w:val="20"/>
          <w:color w:val="auto"/>
        </w:rPr>
      </w:pPr>
      <w:r>
        <w:rPr>
          <w:rFonts w:ascii="Arial" w:cs="Arial" w:eastAsia="Arial" w:hAnsi="Arial"/>
          <w:sz w:val="15"/>
          <w:szCs w:val="15"/>
          <w:b w:val="1"/>
          <w:bCs w:val="1"/>
          <w:color w:val="auto"/>
        </w:rPr>
        <w:t xml:space="preserve">Nicola M. Soares </w:t>
      </w:r>
      <w:r>
        <w:rPr>
          <w:rFonts w:ascii="Arial" w:cs="Arial" w:eastAsia="Arial" w:hAnsi="Arial"/>
          <w:sz w:val="15"/>
          <w:szCs w:val="15"/>
          <w:color w:val="auto"/>
        </w:rPr>
        <w:t>Senior Vice President President, Kelly Education</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00AE4F"/>
        </w:rPr>
        <w:t xml:space="preserve">Age: </w:t>
      </w:r>
      <w:r>
        <w:rPr>
          <w:rFonts w:ascii="Arial" w:cs="Arial" w:eastAsia="Arial" w:hAnsi="Arial"/>
          <w:sz w:val="15"/>
          <w:szCs w:val="15"/>
          <w:color w:val="000000"/>
        </w:rPr>
        <w:t>57</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Nicola Soares, President of Kelly Education since 2011, has led the organization’s transformation into the nation’s most trusted provider of education workforce solutions, expanding its services from substitute staffing to include paraprofessionals, tutors, therapists, and nurses across early childhood to higher education executive search services. Her leadership has also driven the integration of therapeutic and mental health services, aligning healthcare and education to support holistic student success. With more than 20 years of experience, Nicola’s career spans teaching in public schools and influential roles at McGraw-Hill Education and NBC Universal, where she advanced innovative strategies to improve learning outcomes, cementing her reputation as a leader shaping the future of education and workforce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31115</wp:posOffset>
            </wp:positionV>
            <wp:extent cx="642683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2580" w:space="720"/>
            <w:col w:w="7380"/>
          </w:cols>
          <w:pgMar w:left="320" w:top="454" w:right="899" w:bottom="1440" w:gutter="0" w:footer="0" w:header="0"/>
          <w:type w:val="continuous"/>
        </w:sectPr>
      </w:pPr>
    </w:p>
    <w:p>
      <w:pPr>
        <w:ind w:left="1060" w:hanging="298"/>
        <w:spacing w:after="0"/>
        <w:tabs>
          <w:tab w:leader="none" w:pos="10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Ms. Browning separated from the Company effective March 6, 2026.</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Executive Summary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Our Purpose and Business Model</w:t>
      </w:r>
    </w:p>
    <w:p>
      <w:pPr>
        <w:spacing w:after="0" w:line="92"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Kelly’s purpose is to connect people to work in ways that enrich their lives, while creating opportunities for all people to realize their full potential. We are dedicated to removing barriers to employment, ensuring that anyone who is qualified has access to meaningful employment.</w:t>
      </w:r>
    </w:p>
    <w:p>
      <w:pPr>
        <w:spacing w:after="0" w:line="14" w:lineRule="exact"/>
        <w:rPr>
          <w:sz w:val="20"/>
          <w:szCs w:val="20"/>
          <w:color w:val="auto"/>
        </w:rPr>
      </w:pPr>
    </w:p>
    <w:p>
      <w:pPr>
        <w:jc w:val="both"/>
        <w:ind w:left="560" w:right="100"/>
        <w:spacing w:after="0" w:line="258" w:lineRule="auto"/>
        <w:rPr>
          <w:sz w:val="20"/>
          <w:szCs w:val="20"/>
          <w:color w:val="auto"/>
        </w:rPr>
      </w:pPr>
      <w:r>
        <w:rPr>
          <w:rFonts w:ascii="Arial" w:cs="Arial" w:eastAsia="Arial" w:hAnsi="Arial"/>
          <w:sz w:val="15"/>
          <w:szCs w:val="15"/>
          <w:color w:val="auto"/>
        </w:rPr>
        <w:t>Kelly creates pathways allowing talent to thrive. We help our clients find the people they need to succeed, while championing fair and all-encompassing hiring practices. Our commitment is reflected in initiatives like Equity@Work, designed to remove obstacles, open doors, and expand opportunities for all talent.</w:t>
      </w:r>
    </w:p>
    <w:p>
      <w:pPr>
        <w:spacing w:after="0" w:line="39" w:lineRule="exact"/>
        <w:rPr>
          <w:sz w:val="20"/>
          <w:szCs w:val="20"/>
          <w:color w:val="auto"/>
        </w:rPr>
      </w:pPr>
    </w:p>
    <w:p>
      <w:pPr>
        <w:ind w:left="560" w:right="480"/>
        <w:spacing w:after="0" w:line="258" w:lineRule="auto"/>
        <w:rPr>
          <w:sz w:val="20"/>
          <w:szCs w:val="20"/>
          <w:color w:val="auto"/>
        </w:rPr>
      </w:pPr>
      <w:r>
        <w:rPr>
          <w:rFonts w:ascii="Arial" w:cs="Arial" w:eastAsia="Arial" w:hAnsi="Arial"/>
          <w:sz w:val="15"/>
          <w:szCs w:val="15"/>
          <w:color w:val="auto"/>
        </w:rPr>
        <w:t>Kelly’s impact doesn’t stop there. We are devoted to growing and developing a varied ecosystem of supplier partners, empowering them to make a difference in the industry and the marketplace. We support the success of our clients and contribute to a more vibrant ecosystem by nurturing relationships.</w:t>
      </w:r>
    </w:p>
    <w:p>
      <w:pPr>
        <w:spacing w:after="0" w:line="27" w:lineRule="exact"/>
        <w:rPr>
          <w:sz w:val="20"/>
          <w:szCs w:val="20"/>
          <w:color w:val="auto"/>
        </w:rPr>
      </w:pPr>
    </w:p>
    <w:p>
      <w:pPr>
        <w:ind w:left="560" w:right="160"/>
        <w:spacing w:after="0" w:line="275" w:lineRule="auto"/>
        <w:rPr>
          <w:sz w:val="20"/>
          <w:szCs w:val="20"/>
          <w:color w:val="auto"/>
        </w:rPr>
      </w:pPr>
      <w:r>
        <w:rPr>
          <w:rFonts w:ascii="Arial" w:cs="Arial" w:eastAsia="Arial" w:hAnsi="Arial"/>
          <w:sz w:val="15"/>
          <w:szCs w:val="15"/>
          <w:color w:val="auto"/>
        </w:rPr>
        <w:t>Through our efforts, Kelly aims to shape a future where work is accessible to everyone, organizations drive innovation with a holistic talent mindset, and our collective progress is fueled by perspectives of people from all backgrounds.</w:t>
      </w:r>
    </w:p>
    <w:p>
      <w:pPr>
        <w:spacing w:after="0" w:line="14" w:lineRule="exact"/>
        <w:rPr>
          <w:sz w:val="20"/>
          <w:szCs w:val="20"/>
          <w:color w:val="auto"/>
        </w:rPr>
      </w:pPr>
    </w:p>
    <w:p>
      <w:pPr>
        <w:jc w:val="both"/>
        <w:ind w:left="560" w:right="200"/>
        <w:spacing w:after="0" w:line="258" w:lineRule="auto"/>
        <w:rPr>
          <w:sz w:val="20"/>
          <w:szCs w:val="20"/>
          <w:color w:val="auto"/>
        </w:rPr>
      </w:pPr>
      <w:r>
        <w:rPr>
          <w:rFonts w:ascii="Arial" w:cs="Arial" w:eastAsia="Arial" w:hAnsi="Arial"/>
          <w:sz w:val="15"/>
          <w:szCs w:val="15"/>
          <w:color w:val="auto"/>
        </w:rPr>
        <w:t>Kelly’s business model brings together both staffing and outcome-based solutions under a single specialty leader and aggregates assets to accelerate specialty growth and profitability. We believe this specialty structure gives us greater advantages in the market, and we expect our disciplined focus will enable us to achieve greater efficiencies and deliver profitable growth.</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CEO Transition</w:t>
      </w:r>
    </w:p>
    <w:p>
      <w:pPr>
        <w:spacing w:after="0" w:line="68" w:lineRule="exact"/>
        <w:rPr>
          <w:sz w:val="20"/>
          <w:szCs w:val="20"/>
          <w:color w:val="auto"/>
        </w:rPr>
      </w:pPr>
    </w:p>
    <w:p>
      <w:pPr>
        <w:ind w:left="560"/>
        <w:spacing w:after="0" w:line="252" w:lineRule="auto"/>
        <w:rPr>
          <w:sz w:val="20"/>
          <w:szCs w:val="20"/>
          <w:color w:val="auto"/>
        </w:rPr>
      </w:pPr>
      <w:r>
        <w:rPr>
          <w:rFonts w:ascii="Arial" w:cs="Arial" w:eastAsia="Arial" w:hAnsi="Arial"/>
          <w:sz w:val="15"/>
          <w:szCs w:val="15"/>
          <w:color w:val="auto"/>
        </w:rPr>
        <w:t>On February 12, 2025, Peter Quigley informed the Company of his intention to retire as President and Chief Executive Officer. During his tenure as CEO, Mr. Quigley led the Company through a period of significant strategic evolution, positioning the Company for its next chapter of growth and transformation. Details of Mr. Quigley’s Separation and Transition Advisory Services Agreement can be found in the “Potential Payments Upon Termination or Change in Control 2025” section below.</w:t>
      </w:r>
    </w:p>
    <w:p>
      <w:pPr>
        <w:spacing w:after="0" w:line="32" w:lineRule="exact"/>
        <w:rPr>
          <w:sz w:val="20"/>
          <w:szCs w:val="20"/>
          <w:color w:val="auto"/>
        </w:rPr>
      </w:pPr>
    </w:p>
    <w:p>
      <w:pPr>
        <w:ind w:left="560" w:right="20"/>
        <w:spacing w:after="0" w:line="250" w:lineRule="auto"/>
        <w:rPr>
          <w:sz w:val="20"/>
          <w:szCs w:val="20"/>
          <w:color w:val="auto"/>
        </w:rPr>
      </w:pPr>
      <w:r>
        <w:rPr>
          <w:rFonts w:ascii="Arial" w:cs="Arial" w:eastAsia="Arial" w:hAnsi="Arial"/>
          <w:sz w:val="15"/>
          <w:szCs w:val="15"/>
          <w:color w:val="auto"/>
        </w:rPr>
        <w:t>On August 7, 2025, the Company announced the appointment of Christopher Layden as President and Chief Executive Officer, effective September 2, 2025. Mr. Layden brings extensive experience in workforce solutions, serving as Chief Operating Officer of Prolink, a workforce solutions provider offering staffing, technology, culture, data, and talent experience solutions throughout the United States. Prior to Prolink, he spent nearly two decades at ManpowerGroup in positions of increasing responsibility, including vice president and general manager, industry verticals. Mr. Layden holds a Bachelor of Arts degree in Philosophy from Boston College. He was also appointed to the Company’s Board of Directors, effective as of his start date.</w:t>
      </w:r>
    </w:p>
    <w:p>
      <w:pPr>
        <w:spacing w:after="0" w:line="32"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Mr. Layden’s compensation package reflects the Board’s commitment to attracting and retaining top executive talent while aligning his interests with long-term shareholder value creation. Upon hire, his employment terms included an annual base salary of $1,000,000, a Short-Term Incentive Plan (“STIP”) target opportunity of 125% of earned annual salary (with his 2025 STIP award guaranteed at a minimum of $450,000 to partially offset incentive compensation forfeited upon leaving his prior employer), and beginning with the 2026 grant, eligibility for Long-Term Incentive Plan (“LTIP”) awards with a target opportunity of 250% of annual salary. To facilitate his transition to Kelly Services, Mr. Layden received a one-time cash</w:t>
      </w:r>
    </w:p>
    <w:p>
      <w:pPr>
        <w:spacing w:after="0" w:line="93"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jc w:val="both"/>
        <w:ind w:left="560" w:right="160"/>
        <w:spacing w:after="0" w:line="258" w:lineRule="auto"/>
        <w:rPr>
          <w:sz w:val="20"/>
          <w:szCs w:val="20"/>
          <w:color w:val="auto"/>
        </w:rPr>
      </w:pPr>
      <w:r>
        <w:rPr>
          <w:rFonts w:ascii="Arial" w:cs="Arial" w:eastAsia="Arial" w:hAnsi="Arial"/>
          <w:sz w:val="15"/>
          <w:szCs w:val="15"/>
          <w:color w:val="auto"/>
        </w:rPr>
        <w:t>sign-on bonus of $450,000 and a sign-on equity award valued at $4,000,000 in restricted stock, vesting over three years (15% after year one, 35% after year two, and 50% after year three). The grant value of this award considered the outstanding incentive awards that Mr. Layden would be forfeiting and was structured to be an inducement for him to join the Company.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One-time Stock Awards</w:t>
      </w:r>
    </w:p>
    <w:p>
      <w:pPr>
        <w:spacing w:after="0" w:line="55" w:lineRule="exact"/>
        <w:rPr>
          <w:sz w:val="20"/>
          <w:szCs w:val="20"/>
          <w:color w:val="auto"/>
        </w:rPr>
      </w:pPr>
    </w:p>
    <w:p>
      <w:pPr>
        <w:jc w:val="both"/>
        <w:ind w:left="560" w:right="160"/>
        <w:spacing w:after="0" w:line="285" w:lineRule="auto"/>
        <w:rPr>
          <w:sz w:val="20"/>
          <w:szCs w:val="20"/>
          <w:color w:val="auto"/>
        </w:rPr>
      </w:pPr>
      <w:r>
        <w:rPr>
          <w:rFonts w:ascii="Arial" w:cs="Arial" w:eastAsia="Arial" w:hAnsi="Arial"/>
          <w:sz w:val="14"/>
          <w:szCs w:val="14"/>
          <w:color w:val="auto"/>
        </w:rPr>
        <w:t>In 2025, there was a one-time equity award made to Ms. Browning to recognize her leadership and performance with our ETM business transformation. The Committee approved a grant of restricted stock valued at approximately $500,000. These shares were to vest over two years (50% on the first and second anniversary date of the grant), which was made on August 15, 2025. These shares were forfeited upon her separation from the Company.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2025 Business Highlights</w:t>
      </w:r>
    </w:p>
    <w:p>
      <w:pPr>
        <w:spacing w:after="0" w:line="55" w:lineRule="exact"/>
        <w:rPr>
          <w:sz w:val="20"/>
          <w:szCs w:val="20"/>
          <w:color w:val="auto"/>
        </w:rPr>
      </w:pPr>
    </w:p>
    <w:p>
      <w:pPr>
        <w:ind w:left="560" w:right="60"/>
        <w:spacing w:after="0" w:line="258" w:lineRule="auto"/>
        <w:rPr>
          <w:sz w:val="20"/>
          <w:szCs w:val="20"/>
          <w:color w:val="auto"/>
        </w:rPr>
      </w:pPr>
      <w:r>
        <w:rPr>
          <w:rFonts w:ascii="Arial" w:cs="Arial" w:eastAsia="Arial" w:hAnsi="Arial"/>
          <w:sz w:val="15"/>
          <w:szCs w:val="15"/>
          <w:color w:val="auto"/>
        </w:rPr>
        <w:t>The Compensation Committee believes executive compensation decisions should be understood in the context of our overall business performance. The following highlights summarize our key financial and strategic accomplishments in fiscal year 2025 and directly informed the compensation outcomes described in this CD&amp;A.</w:t>
      </w:r>
    </w:p>
    <w:p>
      <w:pPr>
        <w:spacing w:after="0" w:line="39" w:lineRule="exact"/>
        <w:rPr>
          <w:sz w:val="20"/>
          <w:szCs w:val="20"/>
          <w:color w:val="auto"/>
        </w:rPr>
      </w:pPr>
    </w:p>
    <w:p>
      <w:pPr>
        <w:ind w:left="560" w:right="120"/>
        <w:spacing w:after="0" w:line="258" w:lineRule="auto"/>
        <w:rPr>
          <w:sz w:val="20"/>
          <w:szCs w:val="20"/>
          <w:color w:val="auto"/>
        </w:rPr>
      </w:pPr>
      <w:r>
        <w:rPr>
          <w:rFonts w:ascii="Arial" w:cs="Arial" w:eastAsia="Arial" w:hAnsi="Arial"/>
          <w:sz w:val="15"/>
          <w:szCs w:val="15"/>
          <w:color w:val="auto"/>
        </w:rPr>
        <w:t>Kelly reported revenue of $4.3 billion in 2025, down 1.9% compared to the prior year. Excluding the impact of the May 2024 acquisition of MRP, revenue was down 6.2% on an organic basis driven primarily by a 6% decline due to discrete impacts associated with reduced demand for U.S. federal government contractors and from three large commercial customers.</w:t>
      </w:r>
    </w:p>
    <w:p>
      <w:pPr>
        <w:spacing w:after="0" w:line="27" w:lineRule="exact"/>
        <w:rPr>
          <w:sz w:val="20"/>
          <w:szCs w:val="20"/>
          <w:color w:val="auto"/>
        </w:rPr>
      </w:pPr>
    </w:p>
    <w:p>
      <w:pPr>
        <w:ind w:left="560" w:right="180"/>
        <w:spacing w:after="0" w:line="248" w:lineRule="auto"/>
        <w:rPr>
          <w:sz w:val="20"/>
          <w:szCs w:val="20"/>
          <w:color w:val="auto"/>
        </w:rPr>
      </w:pPr>
      <w:r>
        <w:rPr>
          <w:rFonts w:ascii="Arial" w:cs="Arial" w:eastAsia="Arial" w:hAnsi="Arial"/>
          <w:sz w:val="15"/>
          <w:szCs w:val="15"/>
          <w:color w:val="auto"/>
        </w:rPr>
        <w:t>Gross profit decreased 3.4% on lower revenue volume, partially offset by the acquisition of MRP. Excluding the impact from the acquisition, gross profit decreased 9.7%. The gross profit rate decreased 30 basis points to 20.1% and was favorably impacted by the acquisition of MRP. Excluding the acquisition, the gross profit rate declined 70 basis points. The decrease is due primarily to changes in business mix, higher employee-related costs and lower permanent placement revenue. Permanent placement revenue has higher gross profit due to very low direct costs of services and thus has a disproportionate impact on gross profit rates. The gross profit rate decreased in the ETM and SET segments and increased slightly in the Education segment.</w:t>
      </w:r>
    </w:p>
    <w:p>
      <w:pPr>
        <w:spacing w:after="0" w:line="34" w:lineRule="exact"/>
        <w:rPr>
          <w:sz w:val="20"/>
          <w:szCs w:val="20"/>
          <w:color w:val="auto"/>
        </w:rPr>
      </w:pPr>
    </w:p>
    <w:p>
      <w:pPr>
        <w:ind w:left="560" w:right="60"/>
        <w:spacing w:after="0" w:line="276" w:lineRule="auto"/>
        <w:rPr>
          <w:sz w:val="20"/>
          <w:szCs w:val="20"/>
          <w:color w:val="auto"/>
        </w:rPr>
      </w:pPr>
      <w:r>
        <w:rPr>
          <w:rFonts w:ascii="Arial" w:cs="Arial" w:eastAsia="Arial" w:hAnsi="Arial"/>
          <w:sz w:val="14"/>
          <w:szCs w:val="14"/>
          <w:color w:val="auto"/>
        </w:rPr>
        <w:t>The Company reported an operating loss of $69.8 million in 2025 compared to a loss of $15.1 million reported in 2024; both years reflect non-cash impairment charges of $102.0 million and $86.3 million, respectively. Adjusted earnings were $59.3 million in 2025 and $92.1 million in 2024. Adjusted EBITDA of $109.4 million was down 23.8% versus the prior year. Adjusted EBITDA margin was 2.6%, a decrease of 70 basis points versus the prior year driven primarily by near-term gross margin pressure in SET and ETM along with revenue trends and timing of related expense management actions.</w:t>
      </w:r>
    </w:p>
    <w:p>
      <w:pPr>
        <w:spacing w:after="0" w:line="28" w:lineRule="exact"/>
        <w:rPr>
          <w:sz w:val="20"/>
          <w:szCs w:val="20"/>
          <w:color w:val="auto"/>
        </w:rPr>
      </w:pPr>
    </w:p>
    <w:p>
      <w:pPr>
        <w:ind w:left="560" w:right="160"/>
        <w:spacing w:after="0" w:line="275" w:lineRule="auto"/>
        <w:rPr>
          <w:sz w:val="20"/>
          <w:szCs w:val="20"/>
          <w:color w:val="auto"/>
        </w:rPr>
      </w:pPr>
      <w:r>
        <w:rPr>
          <w:rFonts w:ascii="Arial" w:cs="Arial" w:eastAsia="Arial" w:hAnsi="Arial"/>
          <w:sz w:val="15"/>
          <w:szCs w:val="15"/>
          <w:color w:val="auto"/>
        </w:rPr>
        <w:t>The Compensation Committee believes, based on these results, our financial objectives are appropriately reflected in the compensation awarded to our Named Executive Officers for fiscal year 2025, as discussed in detail in the sections that follow.</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Key Executive Compensation Program Highlights for Fiscal 2025</w:t>
      </w:r>
    </w:p>
    <w:p>
      <w:pPr>
        <w:spacing w:after="0" w:line="55" w:lineRule="exact"/>
        <w:rPr>
          <w:sz w:val="20"/>
          <w:szCs w:val="20"/>
          <w:color w:val="auto"/>
        </w:rPr>
      </w:pPr>
    </w:p>
    <w:p>
      <w:pPr>
        <w:ind w:left="560" w:right="140"/>
        <w:spacing w:after="0" w:line="252" w:lineRule="auto"/>
        <w:rPr>
          <w:sz w:val="20"/>
          <w:szCs w:val="20"/>
          <w:color w:val="auto"/>
        </w:rPr>
      </w:pPr>
      <w:r>
        <w:rPr>
          <w:rFonts w:ascii="Arial" w:cs="Arial" w:eastAsia="Arial" w:hAnsi="Arial"/>
          <w:sz w:val="15"/>
          <w:szCs w:val="15"/>
          <w:color w:val="auto"/>
        </w:rPr>
        <w:t>We align compensation with long-term shareholder value by ensuring a significant portion of named executive officer pay is performance-based and “at risk.” In 2025, our incentive programs continued to support this philosophy while balancing competitiveness and fiscal discipline. The outcomes for our named executive officers reflect both Company performance and leadership’s strategic focus as Kelly executes its transformation into a high-performing talent solutions firm. The following summarizes key compensation actions and outcomes for fiscal 2025:</w:t>
      </w:r>
    </w:p>
    <w:p>
      <w:pPr>
        <w:spacing w:after="0" w:line="14" w:lineRule="exact"/>
        <w:rPr>
          <w:sz w:val="20"/>
          <w:szCs w:val="20"/>
          <w:color w:val="auto"/>
        </w:rPr>
      </w:pPr>
    </w:p>
    <w:p>
      <w:pPr>
        <w:ind w:left="760" w:hanging="196"/>
        <w:spacing w:after="0"/>
        <w:tabs>
          <w:tab w:leader="none" w:pos="760" w:val="left"/>
        </w:tabs>
        <w:numPr>
          <w:ilvl w:val="0"/>
          <w:numId w:val="74"/>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Performed an annual base salary review for all senior officers with three named executive officers receiving a salary increase in 2025;</w:t>
      </w:r>
    </w:p>
    <w:p>
      <w:pPr>
        <w:spacing w:after="0" w:line="65"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74"/>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With respect to our 2025 Short-Term Incentive Plan (“STIP”):</w:t>
      </w:r>
    </w:p>
    <w:p>
      <w:pPr>
        <w:spacing w:after="0" w:line="65" w:lineRule="exact"/>
        <w:rPr>
          <w:rFonts w:ascii="Times New Roman" w:cs="Times New Roman" w:eastAsia="Times New Roman" w:hAnsi="Times New Roman"/>
          <w:sz w:val="21"/>
          <w:szCs w:val="21"/>
          <w:color w:val="00AE4F"/>
          <w:vertAlign w:val="superscript"/>
        </w:rPr>
      </w:pPr>
    </w:p>
    <w:p>
      <w:pPr>
        <w:ind w:left="1060" w:hanging="298"/>
        <w:spacing w:after="0" w:line="248" w:lineRule="auto"/>
        <w:tabs>
          <w:tab w:leader="none" w:pos="10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Funding for our enterprise participants was 100% on total Company earnings before interest, taxes, depreciation, and amortization $’s (“EBITDA”), while our business unit participants were 50% on total Company EBITDA $ and 25% on business unit gross profit and 25% on business unit EBITDA $.</w:t>
      </w:r>
    </w:p>
    <w:p>
      <w:pPr>
        <w:spacing w:after="0" w:line="46" w:lineRule="exact"/>
        <w:rPr>
          <w:rFonts w:ascii="Arial" w:cs="Arial" w:eastAsia="Arial" w:hAnsi="Arial"/>
          <w:sz w:val="15"/>
          <w:szCs w:val="15"/>
          <w:color w:val="auto"/>
        </w:rPr>
      </w:pPr>
    </w:p>
    <w:p>
      <w:pPr>
        <w:ind w:left="1060" w:right="260" w:hanging="298"/>
        <w:spacing w:after="0" w:line="275" w:lineRule="auto"/>
        <w:tabs>
          <w:tab w:leader="none" w:pos="10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Corporate performance fell below threshold and did not fund under the 2025 STIP. Accordingly, no enterprise-based payouts were earned, and only one named executive officer received a payout based on business unit performance.</w:t>
      </w:r>
    </w:p>
    <w:p>
      <w:pPr>
        <w:ind w:left="760" w:hanging="196"/>
        <w:spacing w:after="0" w:line="225" w:lineRule="auto"/>
        <w:tabs>
          <w:tab w:leader="none" w:pos="760" w:val="left"/>
        </w:tabs>
        <w:numPr>
          <w:ilvl w:val="0"/>
          <w:numId w:val="74"/>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With respect to long-term incentives “LTI”:</w:t>
      </w:r>
    </w:p>
    <w:p>
      <w:pPr>
        <w:spacing w:after="0" w:line="65" w:lineRule="exact"/>
        <w:rPr>
          <w:rFonts w:ascii="Times New Roman" w:cs="Times New Roman" w:eastAsia="Times New Roman" w:hAnsi="Times New Roman"/>
          <w:sz w:val="23"/>
          <w:szCs w:val="23"/>
          <w:color w:val="00AE4F"/>
          <w:vertAlign w:val="superscript"/>
        </w:rPr>
      </w:pPr>
    </w:p>
    <w:p>
      <w:pPr>
        <w:ind w:left="1060" w:right="60" w:hanging="298"/>
        <w:spacing w:after="0" w:line="248" w:lineRule="auto"/>
        <w:tabs>
          <w:tab w:leader="none" w:pos="10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The performance-based portion of our 2025 Equity Incentive Plan continued to use two performance metrics measured over three one-year performance periods: 50% weighted on Company Revenue and 50% weighted on Company EBITDA Margin. Performance shares cliff-vest at the end of the three-year period based on the aggregate results of all three annual measurement periods;</w:t>
      </w:r>
    </w:p>
    <w:p>
      <w:pPr>
        <w:spacing w:after="0" w:line="42"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48 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1060" w:right="100" w:hanging="298"/>
        <w:spacing w:after="0" w:line="275" w:lineRule="auto"/>
        <w:tabs>
          <w:tab w:leader="none" w:pos="10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year one of the 2025-2027, year two of the 2024-2026 and year three of the 2023-2025 Performance Shares were earned at 53.64% of target for the 2025 assessment period.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Annual Say on Pay Vote</w:t>
      </w:r>
    </w:p>
    <w:p>
      <w:pPr>
        <w:spacing w:after="0" w:line="55" w:lineRule="exact"/>
        <w:rPr>
          <w:sz w:val="20"/>
          <w:szCs w:val="20"/>
          <w:color w:val="auto"/>
        </w:rPr>
      </w:pPr>
    </w:p>
    <w:p>
      <w:pPr>
        <w:ind w:left="560" w:right="120"/>
        <w:spacing w:after="0" w:line="285" w:lineRule="auto"/>
        <w:rPr>
          <w:sz w:val="20"/>
          <w:szCs w:val="20"/>
          <w:color w:val="auto"/>
        </w:rPr>
      </w:pPr>
      <w:r>
        <w:rPr>
          <w:rFonts w:ascii="Arial" w:cs="Arial" w:eastAsia="Arial" w:hAnsi="Arial"/>
          <w:sz w:val="14"/>
          <w:szCs w:val="14"/>
          <w:color w:val="auto"/>
        </w:rPr>
        <w:t xml:space="preserve">The frequency of the Company’s Say on Pay vote is annual and, as such, the Committee considers the shareholder advisory vote on executive compensation as disclosed in the Company’s Proxy Statement each year. In 2025, </w:t>
      </w:r>
      <w:r>
        <w:rPr>
          <w:rFonts w:ascii="Arial" w:cs="Arial" w:eastAsia="Arial" w:hAnsi="Arial"/>
          <w:sz w:val="14"/>
          <w:szCs w:val="14"/>
          <w:b w:val="1"/>
          <w:bCs w:val="1"/>
          <w:color w:val="auto"/>
        </w:rPr>
        <w:t>99%</w:t>
      </w:r>
      <w:r>
        <w:rPr>
          <w:rFonts w:ascii="Arial" w:cs="Arial" w:eastAsia="Arial" w:hAnsi="Arial"/>
          <w:sz w:val="14"/>
          <w:szCs w:val="14"/>
          <w:color w:val="auto"/>
        </w:rPr>
        <w:t xml:space="preserve"> of the shares represented at the meeting approved the Say on Pay proposal. The Committee considered this result as a factor in its decision to maintain the general design of the Company’s compensation programs.</w:t>
      </w:r>
    </w:p>
    <w:p>
      <w:pPr>
        <w:spacing w:after="0" w:line="9" w:lineRule="exact"/>
        <w:rPr>
          <w:sz w:val="20"/>
          <w:szCs w:val="20"/>
          <w:color w:val="auto"/>
        </w:rPr>
      </w:pPr>
    </w:p>
    <w:p>
      <w:pPr>
        <w:ind w:left="560"/>
        <w:spacing w:after="0" w:line="250" w:lineRule="auto"/>
        <w:rPr>
          <w:sz w:val="20"/>
          <w:szCs w:val="20"/>
          <w:color w:val="auto"/>
        </w:rPr>
      </w:pPr>
      <w:r>
        <w:rPr>
          <w:rFonts w:ascii="Arial" w:cs="Arial" w:eastAsia="Arial" w:hAnsi="Arial"/>
          <w:sz w:val="15"/>
          <w:szCs w:val="15"/>
          <w:color w:val="auto"/>
        </w:rPr>
        <w:t>However, we continue to evaluate our executive compensation program and make changes to further align with our strategic priorities and to reward short- and long-term business success. We designed a program that aligns with shareholder interests, incentivizes growth and operational excellence, and demonstrates a clear linkage between compensation and performance. The program continues to seek to ensure pay for performance and minimize incentives for management to take excessive risks. The Committee worked with management and its independent compensation consultant, as described later in this document, to review current compensation programs, including the incentive plans.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Compensation Practices and Policies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executive compensation programs are built on strong governance practices that align executive interests with long-term shareholder value creation.</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illustrates our commitment to thoughtful compensation design and responsible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141605</wp:posOffset>
            </wp:positionV>
            <wp:extent cx="6457950" cy="275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57950" cy="275590"/>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40" w:hanging="176"/>
        <w:spacing w:after="0" w:line="214"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Align pay with performance using balanced performance measures that are linked to strategic business objectives in short-and long-term incentives</w:t>
      </w:r>
    </w:p>
    <w:p>
      <w:pPr>
        <w:spacing w:after="0" w:line="51" w:lineRule="exact"/>
        <w:rPr>
          <w:rFonts w:ascii="Times New Roman" w:cs="Times New Roman" w:eastAsia="Times New Roman" w:hAnsi="Times New Roman"/>
          <w:sz w:val="23"/>
          <w:szCs w:val="23"/>
          <w:color w:val="00AE4F"/>
          <w:vertAlign w:val="superscript"/>
        </w:rPr>
      </w:pPr>
    </w:p>
    <w:p>
      <w:pPr>
        <w:ind w:left="740" w:right="380" w:hanging="176"/>
        <w:spacing w:after="0" w:line="203"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Align executive compensation with shareholder returns through performance-based equity incentive awards</w:t>
      </w:r>
    </w:p>
    <w:p>
      <w:pPr>
        <w:spacing w:after="0" w:line="52" w:lineRule="exact"/>
        <w:rPr>
          <w:rFonts w:ascii="Times New Roman" w:cs="Times New Roman" w:eastAsia="Times New Roman" w:hAnsi="Times New Roman"/>
          <w:sz w:val="23"/>
          <w:szCs w:val="23"/>
          <w:color w:val="00AE4F"/>
          <w:vertAlign w:val="superscript"/>
        </w:rPr>
      </w:pPr>
    </w:p>
    <w:p>
      <w:pPr>
        <w:ind w:left="740" w:right="20" w:hanging="176"/>
        <w:spacing w:after="0" w:line="220"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Annually review performance measures and goals for our short-and long-term incentives by the independent Compensation and Talent Management Committee to ensure we use diversified measures with challenging, but attainable targets</w:t>
      </w:r>
    </w:p>
    <w:p>
      <w:pPr>
        <w:spacing w:after="0" w:line="52" w:lineRule="exact"/>
        <w:rPr>
          <w:rFonts w:ascii="Times New Roman" w:cs="Times New Roman" w:eastAsia="Times New Roman" w:hAnsi="Times New Roman"/>
          <w:sz w:val="23"/>
          <w:szCs w:val="23"/>
          <w:color w:val="00AE4F"/>
          <w:vertAlign w:val="superscript"/>
        </w:rPr>
      </w:pPr>
    </w:p>
    <w:p>
      <w:pPr>
        <w:jc w:val="both"/>
        <w:ind w:left="740" w:right="80" w:hanging="176"/>
        <w:spacing w:after="0" w:line="214"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Require the achievement of a minimum acceptable level of financial performance for any payment to be made pursuant to the STIP and include caps on payouts</w:t>
      </w:r>
    </w:p>
    <w:p>
      <w:pPr>
        <w:spacing w:after="0" w:line="51" w:lineRule="exact"/>
        <w:rPr>
          <w:rFonts w:ascii="Times New Roman" w:cs="Times New Roman" w:eastAsia="Times New Roman" w:hAnsi="Times New Roman"/>
          <w:sz w:val="23"/>
          <w:szCs w:val="23"/>
          <w:color w:val="00AE4F"/>
          <w:vertAlign w:val="superscript"/>
        </w:rPr>
      </w:pPr>
    </w:p>
    <w:p>
      <w:pPr>
        <w:ind w:left="740" w:right="140" w:hanging="176"/>
        <w:spacing w:after="0" w:line="203"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Require stock ownership and retention of a portion of equity-based awards by senior officers</w:t>
      </w:r>
    </w:p>
    <w:p>
      <w:pPr>
        <w:spacing w:after="0" w:line="52" w:lineRule="exact"/>
        <w:rPr>
          <w:rFonts w:ascii="Times New Roman" w:cs="Times New Roman" w:eastAsia="Times New Roman" w:hAnsi="Times New Roman"/>
          <w:sz w:val="23"/>
          <w:szCs w:val="23"/>
          <w:color w:val="00AE4F"/>
          <w:vertAlign w:val="superscript"/>
        </w:rPr>
      </w:pPr>
    </w:p>
    <w:p>
      <w:pPr>
        <w:ind w:left="740" w:right="40" w:hanging="176"/>
        <w:spacing w:after="0" w:line="203"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Hold an annual “say-on-pay” shareholder advisory vote on executive compensation</w:t>
      </w:r>
    </w:p>
    <w:p>
      <w:pPr>
        <w:spacing w:after="0" w:line="52" w:lineRule="exact"/>
        <w:rPr>
          <w:rFonts w:ascii="Times New Roman" w:cs="Times New Roman" w:eastAsia="Times New Roman" w:hAnsi="Times New Roman"/>
          <w:sz w:val="23"/>
          <w:szCs w:val="23"/>
          <w:color w:val="00AE4F"/>
          <w:vertAlign w:val="superscript"/>
        </w:rPr>
      </w:pPr>
    </w:p>
    <w:p>
      <w:pPr>
        <w:ind w:left="740" w:right="260" w:hanging="176"/>
        <w:spacing w:after="0" w:line="203" w:lineRule="auto"/>
        <w:tabs>
          <w:tab w:leader="none" w:pos="740" w:val="left"/>
        </w:tabs>
        <w:numPr>
          <w:ilvl w:val="0"/>
          <w:numId w:val="7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Retain an independent executive compensation consultant to the Compensation and Talent Management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95" w:right="40" w:hanging="195"/>
        <w:spacing w:after="0" w:line="214" w:lineRule="auto"/>
        <w:tabs>
          <w:tab w:leader="none" w:pos="195" w:val="left"/>
        </w:tabs>
        <w:numPr>
          <w:ilvl w:val="0"/>
          <w:numId w:val="77"/>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Regularly review executive compensation governance market practices, particularly when considering the adoption of new practices or changes in existing programs or policies</w:t>
      </w:r>
    </w:p>
    <w:p>
      <w:pPr>
        <w:spacing w:after="0" w:line="51" w:lineRule="exact"/>
        <w:rPr>
          <w:rFonts w:ascii="Times New Roman" w:cs="Times New Roman" w:eastAsia="Times New Roman" w:hAnsi="Times New Roman"/>
          <w:sz w:val="23"/>
          <w:szCs w:val="23"/>
          <w:color w:val="00AE4F"/>
          <w:vertAlign w:val="superscript"/>
        </w:rPr>
      </w:pPr>
    </w:p>
    <w:p>
      <w:pPr>
        <w:ind w:left="195" w:right="380" w:hanging="195"/>
        <w:spacing w:after="0" w:line="214" w:lineRule="auto"/>
        <w:tabs>
          <w:tab w:leader="none" w:pos="195" w:val="left"/>
        </w:tabs>
        <w:numPr>
          <w:ilvl w:val="0"/>
          <w:numId w:val="77"/>
        </w:numPr>
        <w:rPr>
          <w:rFonts w:ascii="Times New Roman" w:cs="Times New Roman" w:eastAsia="Times New Roman" w:hAnsi="Times New Roman"/>
          <w:sz w:val="22"/>
          <w:szCs w:val="22"/>
          <w:color w:val="00AE4F"/>
          <w:vertAlign w:val="superscript"/>
        </w:rPr>
      </w:pPr>
      <w:r>
        <w:rPr>
          <w:rFonts w:ascii="Arial" w:cs="Arial" w:eastAsia="Arial" w:hAnsi="Arial"/>
          <w:sz w:val="14"/>
          <w:szCs w:val="14"/>
          <w:color w:val="auto"/>
        </w:rPr>
        <w:t>Conduct annual assessments of any potential risks in our incentive compensation programs and policies and related internal controls</w:t>
      </w:r>
    </w:p>
    <w:p>
      <w:pPr>
        <w:spacing w:after="0" w:line="52" w:lineRule="exact"/>
        <w:rPr>
          <w:rFonts w:ascii="Times New Roman" w:cs="Times New Roman" w:eastAsia="Times New Roman" w:hAnsi="Times New Roman"/>
          <w:sz w:val="22"/>
          <w:szCs w:val="22"/>
          <w:color w:val="00AE4F"/>
          <w:vertAlign w:val="superscript"/>
        </w:rPr>
      </w:pPr>
    </w:p>
    <w:p>
      <w:pPr>
        <w:ind w:left="195" w:right="160" w:hanging="195"/>
        <w:spacing w:after="0" w:line="214" w:lineRule="auto"/>
        <w:tabs>
          <w:tab w:leader="none" w:pos="195" w:val="left"/>
        </w:tabs>
        <w:numPr>
          <w:ilvl w:val="0"/>
          <w:numId w:val="77"/>
        </w:numPr>
        <w:rPr>
          <w:rFonts w:ascii="Times New Roman" w:cs="Times New Roman" w:eastAsia="Times New Roman" w:hAnsi="Times New Roman"/>
          <w:sz w:val="22"/>
          <w:szCs w:val="22"/>
          <w:color w:val="00AE4F"/>
          <w:vertAlign w:val="superscript"/>
        </w:rPr>
      </w:pPr>
      <w:r>
        <w:rPr>
          <w:rFonts w:ascii="Arial" w:cs="Arial" w:eastAsia="Arial" w:hAnsi="Arial"/>
          <w:sz w:val="14"/>
          <w:szCs w:val="14"/>
          <w:color w:val="auto"/>
        </w:rPr>
        <w:t>Annually review with the Compensation and Talent Management Committee share utilization resulting from our compensation practices</w:t>
      </w:r>
    </w:p>
    <w:p>
      <w:pPr>
        <w:spacing w:after="0" w:line="52" w:lineRule="exact"/>
        <w:rPr>
          <w:rFonts w:ascii="Times New Roman" w:cs="Times New Roman" w:eastAsia="Times New Roman" w:hAnsi="Times New Roman"/>
          <w:sz w:val="22"/>
          <w:szCs w:val="22"/>
          <w:color w:val="00AE4F"/>
          <w:vertAlign w:val="superscript"/>
        </w:rPr>
      </w:pPr>
    </w:p>
    <w:p>
      <w:pPr>
        <w:ind w:left="195" w:right="100" w:hanging="195"/>
        <w:spacing w:after="0" w:line="214" w:lineRule="auto"/>
        <w:tabs>
          <w:tab w:leader="none" w:pos="195" w:val="left"/>
        </w:tabs>
        <w:numPr>
          <w:ilvl w:val="0"/>
          <w:numId w:val="77"/>
        </w:numPr>
        <w:rPr>
          <w:rFonts w:ascii="Times New Roman" w:cs="Times New Roman" w:eastAsia="Times New Roman" w:hAnsi="Times New Roman"/>
          <w:sz w:val="22"/>
          <w:szCs w:val="22"/>
          <w:color w:val="00AE4F"/>
          <w:vertAlign w:val="superscript"/>
        </w:rPr>
      </w:pPr>
      <w:r>
        <w:rPr>
          <w:rFonts w:ascii="Arial" w:cs="Arial" w:eastAsia="Arial" w:hAnsi="Arial"/>
          <w:sz w:val="14"/>
          <w:szCs w:val="14"/>
          <w:color w:val="auto"/>
        </w:rPr>
        <w:t>Provide for the forfeiture of equity awards upon certain restrictive covenant breaches and other actions constituting cause for termination</w:t>
      </w:r>
    </w:p>
    <w:p>
      <w:pPr>
        <w:spacing w:after="0" w:line="52" w:lineRule="exact"/>
        <w:rPr>
          <w:rFonts w:ascii="Times New Roman" w:cs="Times New Roman" w:eastAsia="Times New Roman" w:hAnsi="Times New Roman"/>
          <w:sz w:val="22"/>
          <w:szCs w:val="22"/>
          <w:color w:val="00AE4F"/>
          <w:vertAlign w:val="superscript"/>
        </w:rPr>
      </w:pPr>
    </w:p>
    <w:p>
      <w:pPr>
        <w:ind w:left="195" w:right="80" w:hanging="195"/>
        <w:spacing w:after="0" w:line="220" w:lineRule="auto"/>
        <w:tabs>
          <w:tab w:leader="none" w:pos="195" w:val="left"/>
        </w:tabs>
        <w:numPr>
          <w:ilvl w:val="0"/>
          <w:numId w:val="77"/>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Maintain an insider trading policy that requires directors, senior officers, and other designated officers of the Company to contact our General Counsel and Corporate Secretary prior to sales or purchases of common stock</w:t>
      </w:r>
    </w:p>
    <w:p>
      <w:pPr>
        <w:spacing w:after="0" w:line="52" w:lineRule="exact"/>
        <w:rPr>
          <w:rFonts w:ascii="Times New Roman" w:cs="Times New Roman" w:eastAsia="Times New Roman" w:hAnsi="Times New Roman"/>
          <w:sz w:val="23"/>
          <w:szCs w:val="23"/>
          <w:color w:val="00AE4F"/>
          <w:vertAlign w:val="superscript"/>
        </w:rPr>
      </w:pPr>
    </w:p>
    <w:p>
      <w:pPr>
        <w:ind w:left="195" w:right="220" w:hanging="195"/>
        <w:spacing w:after="0" w:line="214" w:lineRule="auto"/>
        <w:tabs>
          <w:tab w:leader="none" w:pos="195" w:val="left"/>
        </w:tabs>
        <w:numPr>
          <w:ilvl w:val="0"/>
          <w:numId w:val="77"/>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Maintain a double trigger for the accelerated vesting provisions under the 2025 Equity Incentive Plan (“Plan”) and the Senior Executive Severance Plan</w:t>
      </w:r>
    </w:p>
    <w:p>
      <w:pPr>
        <w:spacing w:after="0" w:line="51" w:lineRule="exact"/>
        <w:rPr>
          <w:rFonts w:ascii="Times New Roman" w:cs="Times New Roman" w:eastAsia="Times New Roman" w:hAnsi="Times New Roman"/>
          <w:sz w:val="23"/>
          <w:szCs w:val="23"/>
          <w:color w:val="00AE4F"/>
          <w:vertAlign w:val="superscript"/>
        </w:rPr>
      </w:pPr>
    </w:p>
    <w:p>
      <w:pPr>
        <w:ind w:left="195" w:right="360" w:hanging="195"/>
        <w:spacing w:after="0" w:line="203" w:lineRule="auto"/>
        <w:tabs>
          <w:tab w:leader="none" w:pos="195" w:val="left"/>
        </w:tabs>
        <w:numPr>
          <w:ilvl w:val="0"/>
          <w:numId w:val="77"/>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Condition severance benefits for senior officers on compliance with restrictive covenants</w:t>
      </w:r>
    </w:p>
    <w:p>
      <w:pPr>
        <w:spacing w:after="0" w:line="200" w:lineRule="exact"/>
        <w:rPr>
          <w:sz w:val="20"/>
          <w:szCs w:val="20"/>
          <w:color w:val="auto"/>
        </w:rPr>
      </w:pPr>
    </w:p>
    <w:p>
      <w:pPr>
        <w:sectPr>
          <w:pgSz w:w="11900" w:h="16838" w:orient="portrait"/>
          <w:cols w:equalWidth="0" w:num="2">
            <w:col w:w="5280" w:space="445"/>
            <w:col w:w="4955"/>
          </w:cols>
          <w:pgMar w:left="320" w:top="454" w:right="899" w:bottom="1440" w:gutter="0" w:footer="0" w:header="0"/>
          <w:type w:val="continuous"/>
        </w:sectPr>
      </w:pPr>
    </w:p>
    <w:p>
      <w:pPr>
        <w:spacing w:after="0" w:line="37"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774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93980</wp:posOffset>
            </wp:positionV>
            <wp:extent cx="6457950" cy="275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57950" cy="275590"/>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40" w:right="260" w:hanging="176"/>
        <w:spacing w:after="0" w:line="203" w:lineRule="auto"/>
        <w:tabs>
          <w:tab w:leader="none" w:pos="740" w:val="left"/>
        </w:tabs>
        <w:numPr>
          <w:ilvl w:val="0"/>
          <w:numId w:val="7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Provide employment agreements for senior officers (except where standard local practice)</w:t>
      </w:r>
    </w:p>
    <w:p>
      <w:pPr>
        <w:spacing w:after="0" w:line="52" w:lineRule="exact"/>
        <w:rPr>
          <w:rFonts w:ascii="Times New Roman" w:cs="Times New Roman" w:eastAsia="Times New Roman" w:hAnsi="Times New Roman"/>
          <w:sz w:val="23"/>
          <w:szCs w:val="23"/>
          <w:color w:val="00AE4F"/>
          <w:vertAlign w:val="superscript"/>
        </w:rPr>
      </w:pPr>
    </w:p>
    <w:p>
      <w:pPr>
        <w:ind w:left="740" w:right="100" w:hanging="176"/>
        <w:spacing w:after="0" w:line="203" w:lineRule="auto"/>
        <w:tabs>
          <w:tab w:leader="none" w:pos="740" w:val="left"/>
        </w:tabs>
        <w:numPr>
          <w:ilvl w:val="0"/>
          <w:numId w:val="7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Allow directors or senior officers to engage in hedging or pledging of Company securities</w:t>
      </w:r>
    </w:p>
    <w:p>
      <w:pPr>
        <w:ind w:left="740" w:hanging="176"/>
        <w:spacing w:after="0" w:line="225" w:lineRule="auto"/>
        <w:tabs>
          <w:tab w:leader="none" w:pos="740" w:val="left"/>
        </w:tabs>
        <w:numPr>
          <w:ilvl w:val="0"/>
          <w:numId w:val="7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Allow the repricing or backdating of equity awards</w:t>
      </w:r>
    </w:p>
    <w:p>
      <w:pPr>
        <w:spacing w:after="0" w:line="65" w:lineRule="exact"/>
        <w:rPr>
          <w:rFonts w:ascii="Times New Roman" w:cs="Times New Roman" w:eastAsia="Times New Roman" w:hAnsi="Times New Roman"/>
          <w:sz w:val="23"/>
          <w:szCs w:val="23"/>
          <w:color w:val="00AE4F"/>
          <w:vertAlign w:val="superscript"/>
        </w:rPr>
      </w:pPr>
    </w:p>
    <w:p>
      <w:pPr>
        <w:ind w:left="740" w:hanging="176"/>
        <w:spacing w:after="0" w:line="195" w:lineRule="auto"/>
        <w:tabs>
          <w:tab w:leader="none" w:pos="740" w:val="left"/>
        </w:tabs>
        <w:numPr>
          <w:ilvl w:val="0"/>
          <w:numId w:val="7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Pay dividend equivalents on restricted stock units before achievement of performance hurdle and completion of vesting period</w:t>
      </w:r>
    </w:p>
    <w:p>
      <w:pPr>
        <w:spacing w:after="0" w:line="1" w:lineRule="exact"/>
        <w:rPr>
          <w:rFonts w:ascii="Times New Roman" w:cs="Times New Roman" w:eastAsia="Times New Roman" w:hAnsi="Times New Roman"/>
          <w:sz w:val="23"/>
          <w:szCs w:val="23"/>
          <w:color w:val="00AE4F"/>
          <w:vertAlign w:val="superscript"/>
        </w:rPr>
      </w:pPr>
    </w:p>
    <w:p>
      <w:pPr>
        <w:ind w:left="740" w:hanging="176"/>
        <w:spacing w:after="0" w:line="225" w:lineRule="auto"/>
        <w:tabs>
          <w:tab w:leader="none" w:pos="740" w:val="left"/>
        </w:tabs>
        <w:numPr>
          <w:ilvl w:val="0"/>
          <w:numId w:val="7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Pay dividends on performance share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5" w:right="140" w:hanging="195"/>
        <w:spacing w:after="0" w:line="203" w:lineRule="auto"/>
        <w:tabs>
          <w:tab w:leader="none" w:pos="195" w:val="left"/>
        </w:tabs>
        <w:numPr>
          <w:ilvl w:val="0"/>
          <w:numId w:val="7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Provide tax reimbursements for perquisites or tax gross-ups for excise taxes incurred upon change-in-control</w:t>
      </w:r>
    </w:p>
    <w:p>
      <w:pPr>
        <w:spacing w:after="0" w:line="52" w:lineRule="exact"/>
        <w:rPr>
          <w:rFonts w:ascii="Times New Roman" w:cs="Times New Roman" w:eastAsia="Times New Roman" w:hAnsi="Times New Roman"/>
          <w:sz w:val="23"/>
          <w:szCs w:val="23"/>
          <w:color w:val="00AE4F"/>
          <w:vertAlign w:val="superscript"/>
        </w:rPr>
      </w:pPr>
    </w:p>
    <w:p>
      <w:pPr>
        <w:jc w:val="both"/>
        <w:ind w:left="195" w:right="380" w:hanging="195"/>
        <w:spacing w:after="0" w:line="214" w:lineRule="auto"/>
        <w:tabs>
          <w:tab w:leader="none" w:pos="195" w:val="left"/>
        </w:tabs>
        <w:numPr>
          <w:ilvl w:val="0"/>
          <w:numId w:val="79"/>
        </w:numPr>
        <w:rPr>
          <w:rFonts w:ascii="Times New Roman" w:cs="Times New Roman" w:eastAsia="Times New Roman" w:hAnsi="Times New Roman"/>
          <w:sz w:val="22"/>
          <w:szCs w:val="22"/>
          <w:color w:val="00AE4F"/>
          <w:vertAlign w:val="superscript"/>
        </w:rPr>
      </w:pPr>
      <w:r>
        <w:rPr>
          <w:rFonts w:ascii="Arial" w:cs="Arial" w:eastAsia="Arial" w:hAnsi="Arial"/>
          <w:sz w:val="14"/>
          <w:szCs w:val="14"/>
          <w:color w:val="auto"/>
        </w:rPr>
        <w:t>Grant incentive awards to senior officers that are not subject to the Company’s Incentive Compensation Recovery (“Clawback”) Policy</w:t>
      </w:r>
    </w:p>
    <w:p>
      <w:pPr>
        <w:spacing w:after="0" w:line="52" w:lineRule="exact"/>
        <w:rPr>
          <w:rFonts w:ascii="Times New Roman" w:cs="Times New Roman" w:eastAsia="Times New Roman" w:hAnsi="Times New Roman"/>
          <w:sz w:val="22"/>
          <w:szCs w:val="22"/>
          <w:color w:val="00AE4F"/>
          <w:vertAlign w:val="superscript"/>
        </w:rPr>
      </w:pPr>
    </w:p>
    <w:p>
      <w:pPr>
        <w:ind w:left="195" w:right="40" w:hanging="195"/>
        <w:spacing w:after="0" w:line="203" w:lineRule="auto"/>
        <w:tabs>
          <w:tab w:leader="none" w:pos="195" w:val="left"/>
        </w:tabs>
        <w:numPr>
          <w:ilvl w:val="0"/>
          <w:numId w:val="7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Accrue additional retirement benefits under any supplemental executive retirement plans (“SERPs”)</w:t>
      </w:r>
    </w:p>
    <w:p>
      <w:pPr>
        <w:ind w:left="195" w:hanging="195"/>
        <w:spacing w:after="0" w:line="225" w:lineRule="auto"/>
        <w:tabs>
          <w:tab w:leader="none" w:pos="195" w:val="left"/>
        </w:tabs>
        <w:numPr>
          <w:ilvl w:val="0"/>
          <w:numId w:val="7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Provide excessive perquisites</w:t>
      </w:r>
    </w:p>
    <w:p>
      <w:pPr>
        <w:spacing w:after="0" w:line="522" w:lineRule="exact"/>
        <w:rPr>
          <w:sz w:val="20"/>
          <w:szCs w:val="20"/>
          <w:color w:val="auto"/>
        </w:rPr>
      </w:pPr>
    </w:p>
    <w:p>
      <w:pPr>
        <w:sectPr>
          <w:pgSz w:w="11900" w:h="16838" w:orient="portrait"/>
          <w:cols w:equalWidth="0" w:num="2">
            <w:col w:w="5340" w:space="385"/>
            <w:col w:w="4935"/>
          </w:cols>
          <w:pgMar w:left="320" w:top="454" w:right="919" w:bottom="1440" w:gutter="0" w:footer="0" w:header="0"/>
          <w:type w:val="continuous"/>
        </w:sectPr>
      </w:pPr>
    </w:p>
    <w:p>
      <w:pPr>
        <w:spacing w:after="0" w:line="2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What Guides Our Program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Executive Compensation Philosophy, Objectives, and Design</w:t>
      </w:r>
    </w:p>
    <w:p>
      <w:pPr>
        <w:spacing w:after="0" w:line="106" w:lineRule="exact"/>
        <w:rPr>
          <w:sz w:val="20"/>
          <w:szCs w:val="20"/>
          <w:color w:val="auto"/>
        </w:rPr>
      </w:pPr>
    </w:p>
    <w:p>
      <w:pPr>
        <w:ind w:left="560"/>
        <w:spacing w:after="0" w:line="248" w:lineRule="auto"/>
        <w:rPr>
          <w:sz w:val="20"/>
          <w:szCs w:val="20"/>
          <w:color w:val="auto"/>
        </w:rPr>
      </w:pPr>
      <w:r>
        <w:rPr>
          <w:rFonts w:ascii="Arial" w:cs="Arial" w:eastAsia="Arial" w:hAnsi="Arial"/>
          <w:sz w:val="15"/>
          <w:szCs w:val="15"/>
          <w:color w:val="auto"/>
        </w:rPr>
        <w:t>Our executive compensation philosophy is to provide market-based pay opportunities with incentive payouts aligned with the achievement of the Company’s overall short- and long-term business strategy, performance goals, and results. The design of our executive compensation programs allocates total compensation to fixed and variable pay elements resulting in a mix of short-term and long-term pay elements. The Committee continually evaluates our executive compensation programs to ensure that the Company provides market-competitive opportunities that enable us to attract and retain highly qualified individuals to lead the organization and drive business success. Our executive compensation programs are designed to achieve the following objectives: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Pay-for-Performance Framework</w:t>
      </w:r>
    </w:p>
    <w:p>
      <w:pPr>
        <w:spacing w:after="0" w:line="74" w:lineRule="exact"/>
        <w:rPr>
          <w:sz w:val="20"/>
          <w:szCs w:val="20"/>
          <w:color w:val="auto"/>
        </w:rPr>
      </w:pPr>
    </w:p>
    <w:p>
      <w:pPr>
        <w:ind w:left="960" w:right="400" w:hanging="198"/>
        <w:spacing w:after="0" w:line="203" w:lineRule="auto"/>
        <w:tabs>
          <w:tab w:leader="none" w:pos="960" w:val="left"/>
        </w:tabs>
        <w:numPr>
          <w:ilvl w:val="0"/>
          <w:numId w:val="8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Align a significant portion of compensation with the achievement of multiple performance goals that motivate and reward executives based on Company, business unit, and individual performance results.</w:t>
      </w:r>
    </w:p>
    <w:p>
      <w:pPr>
        <w:spacing w:after="0" w:line="52" w:lineRule="exact"/>
        <w:rPr>
          <w:rFonts w:ascii="Times New Roman" w:cs="Times New Roman" w:eastAsia="Times New Roman" w:hAnsi="Times New Roman"/>
          <w:sz w:val="23"/>
          <w:szCs w:val="23"/>
          <w:color w:val="00AE4F"/>
          <w:vertAlign w:val="superscript"/>
        </w:rPr>
      </w:pPr>
    </w:p>
    <w:p>
      <w:pPr>
        <w:ind w:left="960" w:right="280" w:hanging="198"/>
        <w:spacing w:after="0" w:line="203" w:lineRule="auto"/>
        <w:tabs>
          <w:tab w:leader="none" w:pos="960" w:val="left"/>
        </w:tabs>
        <w:numPr>
          <w:ilvl w:val="0"/>
          <w:numId w:val="8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Attract and retain exceptional talent with the leadership abilities and experience necessary to develop and execute business strategies, achieve outstanding results, and build long-term shareholder value.</w:t>
      </w:r>
    </w:p>
    <w:p>
      <w:pPr>
        <w:ind w:left="960" w:hanging="198"/>
        <w:spacing w:after="0" w:line="225" w:lineRule="auto"/>
        <w:tabs>
          <w:tab w:leader="none" w:pos="960" w:val="left"/>
        </w:tabs>
        <w:numPr>
          <w:ilvl w:val="0"/>
          <w:numId w:val="8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Support achievement of the Company’s vision and strategy.</w:t>
      </w:r>
    </w:p>
    <w:p>
      <w:pPr>
        <w:spacing w:after="0" w:line="65" w:lineRule="exact"/>
        <w:rPr>
          <w:rFonts w:ascii="Times New Roman" w:cs="Times New Roman" w:eastAsia="Times New Roman" w:hAnsi="Times New Roman"/>
          <w:sz w:val="23"/>
          <w:szCs w:val="23"/>
          <w:color w:val="00AE4F"/>
          <w:vertAlign w:val="superscript"/>
        </w:rPr>
      </w:pPr>
    </w:p>
    <w:p>
      <w:pPr>
        <w:ind w:left="960" w:hanging="198"/>
        <w:spacing w:after="0" w:line="181" w:lineRule="auto"/>
        <w:tabs>
          <w:tab w:leader="none" w:pos="960" w:val="left"/>
        </w:tabs>
        <w:numPr>
          <w:ilvl w:val="0"/>
          <w:numId w:val="80"/>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Create an ownership mindset that closely aligns the interests of management with those of shareholders.</w:t>
      </w:r>
    </w:p>
    <w:p>
      <w:pPr>
        <w:spacing w:after="0" w:line="65" w:lineRule="exact"/>
        <w:rPr>
          <w:rFonts w:ascii="Times New Roman" w:cs="Times New Roman" w:eastAsia="Times New Roman" w:hAnsi="Times New Roman"/>
          <w:sz w:val="21"/>
          <w:szCs w:val="21"/>
          <w:color w:val="00AE4F"/>
          <w:vertAlign w:val="superscript"/>
        </w:rPr>
      </w:pPr>
    </w:p>
    <w:p>
      <w:pPr>
        <w:ind w:left="960" w:right="220" w:hanging="198"/>
        <w:spacing w:after="0" w:line="195" w:lineRule="auto"/>
        <w:tabs>
          <w:tab w:leader="none" w:pos="960" w:val="left"/>
        </w:tabs>
        <w:numPr>
          <w:ilvl w:val="0"/>
          <w:numId w:val="80"/>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Provide appropriate balance between the achievement of both short- and long-term performance objectives, with clear emphasis on affordability, managing the sustainability of the business, and mitigation of risk.</w:t>
      </w:r>
    </w:p>
    <w:p>
      <w:pPr>
        <w:spacing w:after="0" w:line="53" w:lineRule="exact"/>
        <w:rPr>
          <w:sz w:val="20"/>
          <w:szCs w:val="20"/>
          <w:color w:val="auto"/>
        </w:rPr>
      </w:pPr>
    </w:p>
    <w:p>
      <w:pPr>
        <w:ind w:left="560" w:right="40"/>
        <w:spacing w:after="0" w:line="252" w:lineRule="auto"/>
        <w:rPr>
          <w:sz w:val="20"/>
          <w:szCs w:val="20"/>
          <w:color w:val="auto"/>
        </w:rPr>
      </w:pPr>
      <w:r>
        <w:rPr>
          <w:rFonts w:ascii="Arial" w:cs="Arial" w:eastAsia="Arial" w:hAnsi="Arial"/>
          <w:sz w:val="15"/>
          <w:szCs w:val="15"/>
          <w:color w:val="auto"/>
        </w:rPr>
        <w:t>The Committee believes that a majority of a senior officer’s compensation should be “at risk” and based upon the achievement of corporate and business unit results, the Company’s share price performance, as well as the individual’s performance. As a result, senior officers participate in incentive programs that provide them with the opportunity to earn awards that are directly tied to the Company’s performance and that drive sustainable long-term shareholder value. The Company’s compensation programs provide an incentive for senior officers to meet and exceed performance goals.</w:t>
      </w:r>
    </w:p>
    <w:p>
      <w:pPr>
        <w:spacing w:after="0" w:line="32" w:lineRule="exact"/>
        <w:rPr>
          <w:sz w:val="20"/>
          <w:szCs w:val="20"/>
          <w:color w:val="auto"/>
        </w:rPr>
      </w:pPr>
    </w:p>
    <w:p>
      <w:pPr>
        <w:ind w:left="560" w:right="220"/>
        <w:spacing w:after="0" w:line="258" w:lineRule="auto"/>
        <w:rPr>
          <w:sz w:val="20"/>
          <w:szCs w:val="20"/>
          <w:color w:val="auto"/>
        </w:rPr>
      </w:pPr>
      <w:r>
        <w:rPr>
          <w:rFonts w:ascii="Arial" w:cs="Arial" w:eastAsia="Arial" w:hAnsi="Arial"/>
          <w:sz w:val="15"/>
          <w:szCs w:val="15"/>
          <w:color w:val="auto"/>
        </w:rPr>
        <w:t>Executives are held accountable for results and rewarded with above target payout amounts for performance that exceeds target goals. When target goals are not met, award payouts are designed to deliver below target payouts or no payouts. We believe the combination of our annual and long-term equity incentive awards align the interests of our senior officers with the interests of our shareholders.</w:t>
      </w:r>
    </w:p>
    <w:p>
      <w:pPr>
        <w:spacing w:after="0" w:line="3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50 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Elements of Compensation</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elements of our executive compensation programs listed below support our compensation philosophy:</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120" w:type="dxa"/>
            <w:vAlign w:val="bottom"/>
          </w:tcPr>
          <w:p>
            <w:pPr>
              <w:ind w:left="60"/>
              <w:spacing w:after="0"/>
              <w:rPr>
                <w:sz w:val="20"/>
                <w:szCs w:val="20"/>
                <w:color w:val="auto"/>
              </w:rPr>
            </w:pPr>
            <w:r>
              <w:rPr>
                <w:rFonts w:ascii="Arial" w:cs="Arial" w:eastAsia="Arial" w:hAnsi="Arial"/>
                <w:sz w:val="13"/>
                <w:szCs w:val="13"/>
                <w:b w:val="1"/>
                <w:bCs w:val="1"/>
                <w:color w:val="00AE4F"/>
              </w:rPr>
              <w:t>Compensation</w:t>
            </w:r>
          </w:p>
        </w:tc>
        <w:tc>
          <w:tcPr>
            <w:tcW w:w="13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00AE4F"/>
              </w:rPr>
              <w:t>For More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Borders>
              <w:bottom w:val="single" w:sz="8" w:color="33302B"/>
            </w:tcBorders>
          </w:tcPr>
          <w:p>
            <w:pPr>
              <w:ind w:left="60"/>
              <w:spacing w:after="0"/>
              <w:rPr>
                <w:sz w:val="20"/>
                <w:szCs w:val="20"/>
                <w:color w:val="auto"/>
              </w:rPr>
            </w:pPr>
            <w:r>
              <w:rPr>
                <w:rFonts w:ascii="Arial" w:cs="Arial" w:eastAsia="Arial" w:hAnsi="Arial"/>
                <w:sz w:val="13"/>
                <w:szCs w:val="13"/>
                <w:b w:val="1"/>
                <w:bCs w:val="1"/>
                <w:color w:val="00AE4F"/>
              </w:rPr>
              <w:t>Element</w:t>
            </w:r>
          </w:p>
        </w:tc>
        <w:tc>
          <w:tcPr>
            <w:tcW w:w="1300" w:type="dxa"/>
            <w:vAlign w:val="bottom"/>
            <w:tcBorders>
              <w:bottom w:val="single" w:sz="8" w:color="33302B"/>
            </w:tcBorders>
          </w:tcPr>
          <w:p>
            <w:pPr>
              <w:ind w:left="80"/>
              <w:spacing w:after="0"/>
              <w:rPr>
                <w:sz w:val="20"/>
                <w:szCs w:val="20"/>
                <w:color w:val="auto"/>
              </w:rPr>
            </w:pPr>
            <w:r>
              <w:rPr>
                <w:rFonts w:ascii="Arial" w:cs="Arial" w:eastAsia="Arial" w:hAnsi="Arial"/>
                <w:sz w:val="13"/>
                <w:szCs w:val="13"/>
                <w:b w:val="1"/>
                <w:bCs w:val="1"/>
                <w:color w:val="00AE4F"/>
              </w:rPr>
              <w:t>Type</w:t>
            </w:r>
          </w:p>
        </w:tc>
        <w:tc>
          <w:tcPr>
            <w:tcW w:w="3660" w:type="dxa"/>
            <w:vAlign w:val="bottom"/>
            <w:tcBorders>
              <w:bottom w:val="single" w:sz="8" w:color="33302B"/>
            </w:tcBorders>
          </w:tcPr>
          <w:p>
            <w:pPr>
              <w:ind w:left="100"/>
              <w:spacing w:after="0"/>
              <w:rPr>
                <w:sz w:val="20"/>
                <w:szCs w:val="20"/>
                <w:color w:val="auto"/>
              </w:rPr>
            </w:pPr>
            <w:r>
              <w:rPr>
                <w:rFonts w:ascii="Arial" w:cs="Arial" w:eastAsia="Arial" w:hAnsi="Arial"/>
                <w:sz w:val="13"/>
                <w:szCs w:val="13"/>
                <w:b w:val="1"/>
                <w:bCs w:val="1"/>
                <w:color w:val="00AE4F"/>
              </w:rPr>
              <w:t>Considerations</w:t>
            </w:r>
          </w:p>
        </w:tc>
        <w:tc>
          <w:tcPr>
            <w:tcW w:w="3060" w:type="dxa"/>
            <w:vAlign w:val="bottom"/>
            <w:tcBorders>
              <w:bottom w:val="single" w:sz="8" w:color="33302B"/>
            </w:tcBorders>
          </w:tcPr>
          <w:p>
            <w:pPr>
              <w:ind w:left="80"/>
              <w:spacing w:after="0"/>
              <w:rPr>
                <w:sz w:val="20"/>
                <w:szCs w:val="20"/>
                <w:color w:val="auto"/>
              </w:rPr>
            </w:pPr>
            <w:r>
              <w:rPr>
                <w:rFonts w:ascii="Arial" w:cs="Arial" w:eastAsia="Arial" w:hAnsi="Arial"/>
                <w:sz w:val="13"/>
                <w:szCs w:val="13"/>
                <w:b w:val="1"/>
                <w:bCs w:val="1"/>
                <w:color w:val="00AE4F"/>
              </w:rPr>
              <w:t>Objectives</w:t>
            </w:r>
          </w:p>
        </w:tc>
        <w:tc>
          <w:tcPr>
            <w:tcW w:w="1000" w:type="dxa"/>
            <w:vAlign w:val="bottom"/>
            <w:tcBorders>
              <w:bottom w:val="single" w:sz="8" w:color="33302B"/>
            </w:tcBorders>
            <w:gridSpan w:val="3"/>
          </w:tcPr>
          <w:p>
            <w:pPr>
              <w:ind w:left="80"/>
              <w:spacing w:after="0"/>
              <w:rPr>
                <w:sz w:val="20"/>
                <w:szCs w:val="20"/>
                <w:color w:val="auto"/>
              </w:rPr>
            </w:pPr>
            <w:r>
              <w:rPr>
                <w:rFonts w:ascii="Arial" w:cs="Arial" w:eastAsia="Arial" w:hAnsi="Arial"/>
                <w:sz w:val="13"/>
                <w:szCs w:val="13"/>
                <w:b w:val="1"/>
                <w:bCs w:val="1"/>
                <w:color w:val="00AE4F"/>
              </w:rPr>
              <w:t>Information</w:t>
            </w:r>
          </w:p>
        </w:tc>
        <w:tc>
          <w:tcPr>
            <w:tcW w:w="0" w:type="dxa"/>
            <w:vAlign w:val="bottom"/>
          </w:tcPr>
          <w:p>
            <w:pPr>
              <w:spacing w:after="0"/>
              <w:rPr>
                <w:sz w:val="1"/>
                <w:szCs w:val="1"/>
                <w:color w:val="auto"/>
              </w:rPr>
            </w:pPr>
          </w:p>
        </w:tc>
      </w:tr>
      <w:tr>
        <w:trPr>
          <w:trHeight w:val="183"/>
        </w:trPr>
        <w:tc>
          <w:tcPr>
            <w:tcW w:w="1120" w:type="dxa"/>
            <w:vAlign w:val="bottom"/>
            <w:shd w:val="clear" w:color="auto" w:fill="EAEAE9"/>
          </w:tcPr>
          <w:p>
            <w:pPr>
              <w:ind w:left="60"/>
              <w:spacing w:after="0"/>
              <w:rPr>
                <w:sz w:val="20"/>
                <w:szCs w:val="20"/>
                <w:color w:val="auto"/>
              </w:rPr>
            </w:pPr>
            <w:r>
              <w:rPr>
                <w:rFonts w:ascii="Arial" w:cs="Arial" w:eastAsia="Arial" w:hAnsi="Arial"/>
                <w:sz w:val="13"/>
                <w:szCs w:val="13"/>
                <w:b w:val="1"/>
                <w:bCs w:val="1"/>
                <w:color w:val="auto"/>
              </w:rPr>
              <w:t>Base Salary</w:t>
            </w:r>
          </w:p>
        </w:tc>
        <w:tc>
          <w:tcPr>
            <w:tcW w:w="1300" w:type="dxa"/>
            <w:vAlign w:val="bottom"/>
          </w:tcPr>
          <w:p>
            <w:pPr>
              <w:ind w:left="80"/>
              <w:spacing w:after="0"/>
              <w:rPr>
                <w:sz w:val="20"/>
                <w:szCs w:val="20"/>
                <w:color w:val="auto"/>
              </w:rPr>
            </w:pPr>
            <w:r>
              <w:rPr>
                <w:rFonts w:ascii="Arial" w:cs="Arial" w:eastAsia="Arial" w:hAnsi="Arial"/>
                <w:sz w:val="13"/>
                <w:szCs w:val="13"/>
                <w:color w:val="auto"/>
              </w:rPr>
              <w:t>Fixed</w:t>
            </w:r>
          </w:p>
        </w:tc>
        <w:tc>
          <w:tcPr>
            <w:tcW w:w="3660" w:type="dxa"/>
            <w:vAlign w:val="bottom"/>
          </w:tcPr>
          <w:p>
            <w:pPr>
              <w:ind w:left="100"/>
              <w:spacing w:after="0"/>
              <w:rPr>
                <w:sz w:val="20"/>
                <w:szCs w:val="20"/>
                <w:color w:val="auto"/>
              </w:rPr>
            </w:pPr>
            <w:r>
              <w:rPr>
                <w:rFonts w:ascii="Arial" w:cs="Arial" w:eastAsia="Arial" w:hAnsi="Arial"/>
                <w:sz w:val="13"/>
                <w:szCs w:val="13"/>
                <w:color w:val="auto"/>
              </w:rPr>
              <w:t>•   Reviewed annually</w:t>
            </w:r>
          </w:p>
        </w:tc>
        <w:tc>
          <w:tcPr>
            <w:tcW w:w="3060" w:type="dxa"/>
            <w:vAlign w:val="bottom"/>
          </w:tcPr>
          <w:p>
            <w:pPr>
              <w:ind w:left="80"/>
              <w:spacing w:after="0"/>
              <w:rPr>
                <w:sz w:val="20"/>
                <w:szCs w:val="20"/>
                <w:color w:val="auto"/>
              </w:rPr>
            </w:pPr>
            <w:r>
              <w:rPr>
                <w:rFonts w:ascii="Arial" w:cs="Arial" w:eastAsia="Arial" w:hAnsi="Arial"/>
                <w:sz w:val="13"/>
                <w:szCs w:val="13"/>
                <w:color w:val="auto"/>
              </w:rPr>
              <w:t>•   Provide competitive compensation for</w:t>
            </w: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00AE4F"/>
              </w:rPr>
              <w:t>Page 60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3660" w:type="dxa"/>
            <w:vAlign w:val="bottom"/>
          </w:tcPr>
          <w:p>
            <w:pPr>
              <w:ind w:left="100"/>
              <w:spacing w:after="0"/>
              <w:rPr>
                <w:sz w:val="20"/>
                <w:szCs w:val="20"/>
                <w:color w:val="auto"/>
              </w:rPr>
            </w:pPr>
            <w:r>
              <w:rPr>
                <w:rFonts w:ascii="Arial" w:cs="Arial" w:eastAsia="Arial" w:hAnsi="Arial"/>
                <w:sz w:val="13"/>
                <w:szCs w:val="13"/>
                <w:color w:val="auto"/>
              </w:rPr>
              <w:t>•   Adjusted, when appropriate based on role and scope of</w:t>
            </w:r>
          </w:p>
        </w:tc>
        <w:tc>
          <w:tcPr>
            <w:tcW w:w="3060" w:type="dxa"/>
            <w:vAlign w:val="bottom"/>
          </w:tcPr>
          <w:p>
            <w:pPr>
              <w:ind w:left="220"/>
              <w:spacing w:after="0"/>
              <w:rPr>
                <w:sz w:val="20"/>
                <w:szCs w:val="20"/>
                <w:color w:val="auto"/>
              </w:rPr>
            </w:pPr>
            <w:r>
              <w:rPr>
                <w:rFonts w:ascii="Arial" w:cs="Arial" w:eastAsia="Arial" w:hAnsi="Arial"/>
                <w:sz w:val="13"/>
                <w:szCs w:val="13"/>
                <w:color w:val="auto"/>
              </w:rPr>
              <w:t>day-to-day responsibilities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responsibilities, skills, experience, sustained individual</w:t>
            </w:r>
          </w:p>
        </w:tc>
        <w:tc>
          <w:tcPr>
            <w:tcW w:w="3060" w:type="dxa"/>
            <w:vAlign w:val="bottom"/>
          </w:tcPr>
          <w:p>
            <w:pPr>
              <w:ind w:left="80"/>
              <w:spacing w:after="0"/>
              <w:rPr>
                <w:sz w:val="20"/>
                <w:szCs w:val="20"/>
                <w:color w:val="auto"/>
              </w:rPr>
            </w:pPr>
            <w:r>
              <w:rPr>
                <w:rFonts w:ascii="Arial" w:cs="Arial" w:eastAsia="Arial" w:hAnsi="Arial"/>
                <w:sz w:val="13"/>
                <w:szCs w:val="13"/>
                <w:color w:val="auto"/>
              </w:rPr>
              <w:t>•   Attract and retain qualified senior officers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tcBorders>
              <w:bottom w:val="single" w:sz="8" w:color="EAEAE9"/>
            </w:tcBorders>
            <w:shd w:val="clear" w:color="auto" w:fill="EAEAE9"/>
          </w:tcPr>
          <w:p>
            <w:pPr>
              <w:spacing w:after="0"/>
              <w:rPr>
                <w:sz w:val="20"/>
                <w:szCs w:val="20"/>
                <w:color w:val="auto"/>
              </w:rPr>
            </w:pPr>
          </w:p>
        </w:tc>
        <w:tc>
          <w:tcPr>
            <w:tcW w:w="1300" w:type="dxa"/>
            <w:vAlign w:val="bottom"/>
          </w:tcPr>
          <w:p>
            <w:pPr>
              <w:spacing w:after="0"/>
              <w:rPr>
                <w:sz w:val="20"/>
                <w:szCs w:val="20"/>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contribution, and comparison to market- comparable jobs</w:t>
            </w:r>
          </w:p>
        </w:tc>
        <w:tc>
          <w:tcPr>
            <w:tcW w:w="3060" w:type="dxa"/>
            <w:vAlign w:val="bottom"/>
          </w:tcPr>
          <w:p>
            <w:pPr>
              <w:ind w:left="80"/>
              <w:spacing w:after="0"/>
              <w:rPr>
                <w:sz w:val="20"/>
                <w:szCs w:val="20"/>
                <w:color w:val="auto"/>
              </w:rPr>
            </w:pPr>
            <w:r>
              <w:rPr>
                <w:rFonts w:ascii="Arial" w:cs="Arial" w:eastAsia="Arial" w:hAnsi="Arial"/>
                <w:sz w:val="13"/>
                <w:szCs w:val="13"/>
                <w:color w:val="auto"/>
              </w:rPr>
              <w:t>•   Balance risk-taking</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84827F"/>
            </w:tcBorders>
            <w:shd w:val="clear" w:color="auto" w:fill="EAEAE9"/>
          </w:tcPr>
          <w:p>
            <w:pPr>
              <w:ind w:left="60"/>
              <w:spacing w:after="0"/>
              <w:rPr>
                <w:sz w:val="20"/>
                <w:szCs w:val="20"/>
                <w:color w:val="auto"/>
              </w:rPr>
            </w:pPr>
            <w:r>
              <w:rPr>
                <w:rFonts w:ascii="Arial" w:cs="Arial" w:eastAsia="Arial" w:hAnsi="Arial"/>
                <w:sz w:val="13"/>
                <w:szCs w:val="13"/>
                <w:b w:val="1"/>
                <w:bCs w:val="1"/>
                <w:color w:val="auto"/>
              </w:rPr>
              <w:t>Short-Term</w:t>
            </w:r>
          </w:p>
        </w:tc>
        <w:tc>
          <w:tcPr>
            <w:tcW w:w="1300" w:type="dxa"/>
            <w:vAlign w:val="bottom"/>
            <w:tcBorders>
              <w:top w:val="single" w:sz="8" w:color="84827F"/>
            </w:tcBorders>
          </w:tcPr>
          <w:p>
            <w:pPr>
              <w:ind w:left="80"/>
              <w:spacing w:after="0"/>
              <w:rPr>
                <w:sz w:val="20"/>
                <w:szCs w:val="20"/>
                <w:color w:val="auto"/>
              </w:rPr>
            </w:pPr>
            <w:r>
              <w:rPr>
                <w:rFonts w:ascii="Arial" w:cs="Arial" w:eastAsia="Arial" w:hAnsi="Arial"/>
                <w:sz w:val="13"/>
                <w:szCs w:val="13"/>
                <w:color w:val="auto"/>
              </w:rPr>
              <w:t>Variable At-Risk</w:t>
            </w:r>
          </w:p>
        </w:tc>
        <w:tc>
          <w:tcPr>
            <w:tcW w:w="3660" w:type="dxa"/>
            <w:vAlign w:val="bottom"/>
            <w:tcBorders>
              <w:top w:val="single" w:sz="8" w:color="84827F"/>
            </w:tcBorders>
          </w:tcPr>
          <w:p>
            <w:pPr>
              <w:ind w:left="100"/>
              <w:spacing w:after="0"/>
              <w:rPr>
                <w:sz w:val="20"/>
                <w:szCs w:val="20"/>
                <w:color w:val="auto"/>
              </w:rPr>
            </w:pPr>
            <w:r>
              <w:rPr>
                <w:rFonts w:ascii="Arial" w:cs="Arial" w:eastAsia="Arial" w:hAnsi="Arial"/>
                <w:sz w:val="13"/>
                <w:szCs w:val="13"/>
                <w:color w:val="auto"/>
              </w:rPr>
              <w:t>•   Annual performance period</w:t>
            </w:r>
          </w:p>
        </w:tc>
        <w:tc>
          <w:tcPr>
            <w:tcW w:w="3060" w:type="dxa"/>
            <w:vAlign w:val="bottom"/>
            <w:tcBorders>
              <w:top w:val="single" w:sz="8" w:color="84827F"/>
            </w:tcBorders>
          </w:tcPr>
          <w:p>
            <w:pPr>
              <w:ind w:left="80"/>
              <w:spacing w:after="0"/>
              <w:rPr>
                <w:sz w:val="20"/>
                <w:szCs w:val="20"/>
                <w:color w:val="auto"/>
              </w:rPr>
            </w:pPr>
            <w:r>
              <w:rPr>
                <w:rFonts w:ascii="Arial" w:cs="Arial" w:eastAsia="Arial" w:hAnsi="Arial"/>
                <w:sz w:val="13"/>
                <w:szCs w:val="13"/>
                <w:color w:val="auto"/>
              </w:rPr>
              <w:t>•   Motivate and reward senior officers for</w:t>
            </w:r>
          </w:p>
        </w:tc>
        <w:tc>
          <w:tcPr>
            <w:tcW w:w="680" w:type="dxa"/>
            <w:vAlign w:val="bottom"/>
            <w:tcBorders>
              <w:top w:val="single" w:sz="8" w:color="84827F"/>
            </w:tcBorders>
            <w:gridSpan w:val="2"/>
          </w:tcPr>
          <w:p>
            <w:pPr>
              <w:ind w:left="80"/>
              <w:spacing w:after="0"/>
              <w:rPr>
                <w:sz w:val="20"/>
                <w:szCs w:val="20"/>
                <w:color w:val="auto"/>
              </w:rPr>
            </w:pPr>
            <w:r>
              <w:rPr>
                <w:rFonts w:ascii="Arial" w:cs="Arial" w:eastAsia="Arial" w:hAnsi="Arial"/>
                <w:sz w:val="13"/>
                <w:szCs w:val="13"/>
                <w:b w:val="1"/>
                <w:bCs w:val="1"/>
                <w:color w:val="00AE4F"/>
              </w:rPr>
              <w:t>Page 61</w:t>
            </w:r>
          </w:p>
        </w:tc>
        <w:tc>
          <w:tcPr>
            <w:tcW w:w="320" w:type="dxa"/>
            <w:vAlign w:val="bottom"/>
            <w:tcBorders>
              <w:top w:val="single" w:sz="8" w:color="84827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ind w:left="60"/>
              <w:spacing w:after="0"/>
              <w:rPr>
                <w:sz w:val="20"/>
                <w:szCs w:val="20"/>
                <w:color w:val="auto"/>
              </w:rPr>
            </w:pPr>
            <w:r>
              <w:rPr>
                <w:rFonts w:ascii="Arial" w:cs="Arial" w:eastAsia="Arial" w:hAnsi="Arial"/>
                <w:sz w:val="13"/>
                <w:szCs w:val="13"/>
                <w:b w:val="1"/>
                <w:bCs w:val="1"/>
                <w:color w:val="auto"/>
              </w:rPr>
              <w:t>Incentive Plan</w:t>
            </w:r>
          </w:p>
        </w:tc>
        <w:tc>
          <w:tcPr>
            <w:tcW w:w="1300" w:type="dxa"/>
            <w:vAlign w:val="bottom"/>
          </w:tcPr>
          <w:p>
            <w:pPr>
              <w:ind w:left="80"/>
              <w:spacing w:after="0"/>
              <w:rPr>
                <w:sz w:val="20"/>
                <w:szCs w:val="20"/>
                <w:color w:val="auto"/>
              </w:rPr>
            </w:pPr>
            <w:r>
              <w:rPr>
                <w:rFonts w:ascii="Arial" w:cs="Arial" w:eastAsia="Arial" w:hAnsi="Arial"/>
                <w:sz w:val="13"/>
                <w:szCs w:val="13"/>
                <w:color w:val="auto"/>
              </w:rPr>
              <w:t>Performance-</w:t>
            </w:r>
          </w:p>
        </w:tc>
        <w:tc>
          <w:tcPr>
            <w:tcW w:w="3660" w:type="dxa"/>
            <w:vAlign w:val="bottom"/>
          </w:tcPr>
          <w:p>
            <w:pPr>
              <w:ind w:left="100"/>
              <w:spacing w:after="0"/>
              <w:rPr>
                <w:sz w:val="20"/>
                <w:szCs w:val="20"/>
                <w:color w:val="auto"/>
              </w:rPr>
            </w:pPr>
            <w:r>
              <w:rPr>
                <w:rFonts w:ascii="Arial" w:cs="Arial" w:eastAsia="Arial" w:hAnsi="Arial"/>
                <w:sz w:val="13"/>
                <w:szCs w:val="13"/>
                <w:color w:val="auto"/>
              </w:rPr>
              <w:t>•   Target payout opportunity established as percentage of</w:t>
            </w:r>
          </w:p>
        </w:tc>
        <w:tc>
          <w:tcPr>
            <w:tcW w:w="3060" w:type="dxa"/>
            <w:vAlign w:val="bottom"/>
          </w:tcPr>
          <w:p>
            <w:pPr>
              <w:ind w:left="220"/>
              <w:spacing w:after="0"/>
              <w:rPr>
                <w:sz w:val="20"/>
                <w:szCs w:val="20"/>
                <w:color w:val="auto"/>
              </w:rPr>
            </w:pPr>
            <w:r>
              <w:rPr>
                <w:rFonts w:ascii="Arial" w:cs="Arial" w:eastAsia="Arial" w:hAnsi="Arial"/>
                <w:sz w:val="13"/>
                <w:szCs w:val="13"/>
                <w:color w:val="auto"/>
              </w:rPr>
              <w:t>achievement of critical near-term performance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ind w:left="60"/>
              <w:spacing w:after="0"/>
              <w:rPr>
                <w:sz w:val="20"/>
                <w:szCs w:val="20"/>
                <w:color w:val="auto"/>
              </w:rPr>
            </w:pPr>
            <w:r>
              <w:rPr>
                <w:rFonts w:ascii="Arial" w:cs="Arial" w:eastAsia="Arial" w:hAnsi="Arial"/>
                <w:sz w:val="13"/>
                <w:szCs w:val="13"/>
                <w:b w:val="1"/>
                <w:bCs w:val="1"/>
                <w:color w:val="auto"/>
              </w:rPr>
              <w:t>(STIP)</w:t>
            </w:r>
          </w:p>
        </w:tc>
        <w:tc>
          <w:tcPr>
            <w:tcW w:w="1300" w:type="dxa"/>
            <w:vAlign w:val="bottom"/>
          </w:tcPr>
          <w:p>
            <w:pPr>
              <w:ind w:left="80"/>
              <w:spacing w:after="0"/>
              <w:rPr>
                <w:sz w:val="20"/>
                <w:szCs w:val="20"/>
                <w:color w:val="auto"/>
              </w:rPr>
            </w:pPr>
            <w:r>
              <w:rPr>
                <w:rFonts w:ascii="Arial" w:cs="Arial" w:eastAsia="Arial" w:hAnsi="Arial"/>
                <w:sz w:val="13"/>
                <w:szCs w:val="13"/>
                <w:color w:val="auto"/>
              </w:rPr>
              <w:t>Based</w:t>
            </w:r>
          </w:p>
        </w:tc>
        <w:tc>
          <w:tcPr>
            <w:tcW w:w="3660" w:type="dxa"/>
            <w:vAlign w:val="bottom"/>
          </w:tcPr>
          <w:p>
            <w:pPr>
              <w:ind w:left="240"/>
              <w:spacing w:after="0"/>
              <w:rPr>
                <w:sz w:val="20"/>
                <w:szCs w:val="20"/>
                <w:color w:val="auto"/>
              </w:rPr>
            </w:pPr>
            <w:r>
              <w:rPr>
                <w:rFonts w:ascii="Arial" w:cs="Arial" w:eastAsia="Arial" w:hAnsi="Arial"/>
                <w:sz w:val="13"/>
                <w:szCs w:val="13"/>
                <w:color w:val="auto"/>
              </w:rPr>
              <w:t>earnings for each senior officer based on role</w:t>
            </w:r>
          </w:p>
        </w:tc>
        <w:tc>
          <w:tcPr>
            <w:tcW w:w="3060" w:type="dxa"/>
            <w:vAlign w:val="bottom"/>
          </w:tcPr>
          <w:p>
            <w:pPr>
              <w:ind w:left="220"/>
              <w:spacing w:after="0"/>
              <w:rPr>
                <w:sz w:val="20"/>
                <w:szCs w:val="20"/>
                <w:color w:val="auto"/>
              </w:rPr>
            </w:pPr>
            <w:r>
              <w:rPr>
                <w:rFonts w:ascii="Arial" w:cs="Arial" w:eastAsia="Arial" w:hAnsi="Arial"/>
                <w:sz w:val="13"/>
                <w:szCs w:val="13"/>
                <w:color w:val="auto"/>
              </w:rPr>
              <w:t>goals that support the Company’s strategic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3660" w:type="dxa"/>
            <w:vAlign w:val="bottom"/>
          </w:tcPr>
          <w:p>
            <w:pPr>
              <w:ind w:left="100"/>
              <w:spacing w:after="0"/>
              <w:rPr>
                <w:sz w:val="20"/>
                <w:szCs w:val="20"/>
                <w:color w:val="auto"/>
              </w:rPr>
            </w:pPr>
            <w:r>
              <w:rPr>
                <w:rFonts w:ascii="Arial" w:cs="Arial" w:eastAsia="Arial" w:hAnsi="Arial"/>
                <w:sz w:val="13"/>
                <w:szCs w:val="13"/>
                <w:color w:val="auto"/>
              </w:rPr>
              <w:t>•   Performance measures selected to align with our</w:t>
            </w:r>
          </w:p>
        </w:tc>
        <w:tc>
          <w:tcPr>
            <w:tcW w:w="3060" w:type="dxa"/>
            <w:vAlign w:val="bottom"/>
          </w:tcPr>
          <w:p>
            <w:pPr>
              <w:ind w:left="220"/>
              <w:spacing w:after="0"/>
              <w:rPr>
                <w:sz w:val="20"/>
                <w:szCs w:val="20"/>
                <w:color w:val="auto"/>
              </w:rPr>
            </w:pPr>
            <w:r>
              <w:rPr>
                <w:rFonts w:ascii="Arial" w:cs="Arial" w:eastAsia="Arial" w:hAnsi="Arial"/>
                <w:sz w:val="13"/>
                <w:szCs w:val="13"/>
                <w:color w:val="auto"/>
              </w:rPr>
              <w:t>business objectives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business strategy</w:t>
            </w: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3"/>
                <w:szCs w:val="13"/>
                <w:color w:val="auto"/>
              </w:rPr>
              <w:t>•   Multiple performance measures that reflect key</w:t>
            </w: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operational and financial measures of success</w:t>
            </w: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tcBorders>
              <w:bottom w:val="single" w:sz="8" w:color="EAEAE9"/>
            </w:tcBorders>
            <w:shd w:val="clear" w:color="auto" w:fill="EAEAE9"/>
          </w:tcPr>
          <w:p>
            <w:pPr>
              <w:spacing w:after="0"/>
              <w:rPr>
                <w:sz w:val="20"/>
                <w:szCs w:val="20"/>
                <w:color w:val="auto"/>
              </w:rPr>
            </w:pPr>
          </w:p>
        </w:tc>
        <w:tc>
          <w:tcPr>
            <w:tcW w:w="1300" w:type="dxa"/>
            <w:vAlign w:val="bottom"/>
          </w:tcPr>
          <w:p>
            <w:pPr>
              <w:spacing w:after="0"/>
              <w:rPr>
                <w:sz w:val="20"/>
                <w:szCs w:val="20"/>
                <w:color w:val="auto"/>
              </w:rPr>
            </w:pPr>
          </w:p>
        </w:tc>
        <w:tc>
          <w:tcPr>
            <w:tcW w:w="3660" w:type="dxa"/>
            <w:vAlign w:val="bottom"/>
          </w:tcPr>
          <w:p>
            <w:pPr>
              <w:ind w:left="100"/>
              <w:spacing w:after="0"/>
              <w:rPr>
                <w:sz w:val="20"/>
                <w:szCs w:val="20"/>
                <w:color w:val="auto"/>
              </w:rPr>
            </w:pPr>
            <w:r>
              <w:rPr>
                <w:rFonts w:ascii="Arial" w:cs="Arial" w:eastAsia="Arial" w:hAnsi="Arial"/>
                <w:sz w:val="13"/>
                <w:szCs w:val="13"/>
                <w:color w:val="auto"/>
              </w:rPr>
              <w:t>•   Payout based on achievement of predetermined goals</w:t>
            </w:r>
          </w:p>
        </w:tc>
        <w:tc>
          <w:tcPr>
            <w:tcW w:w="3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84827F"/>
            </w:tcBorders>
            <w:shd w:val="clear" w:color="auto" w:fill="EAEAE9"/>
          </w:tcPr>
          <w:p>
            <w:pPr>
              <w:ind w:left="60"/>
              <w:spacing w:after="0"/>
              <w:rPr>
                <w:sz w:val="20"/>
                <w:szCs w:val="20"/>
                <w:color w:val="auto"/>
              </w:rPr>
            </w:pPr>
            <w:r>
              <w:rPr>
                <w:rFonts w:ascii="Arial" w:cs="Arial" w:eastAsia="Arial" w:hAnsi="Arial"/>
                <w:sz w:val="13"/>
                <w:szCs w:val="13"/>
                <w:b w:val="1"/>
                <w:bCs w:val="1"/>
                <w:color w:val="auto"/>
              </w:rPr>
              <w:t>Long Term</w:t>
            </w:r>
          </w:p>
        </w:tc>
        <w:tc>
          <w:tcPr>
            <w:tcW w:w="1300" w:type="dxa"/>
            <w:vAlign w:val="bottom"/>
            <w:tcBorders>
              <w:top w:val="single" w:sz="8" w:color="84827F"/>
            </w:tcBorders>
          </w:tcPr>
          <w:p>
            <w:pPr>
              <w:ind w:left="80"/>
              <w:spacing w:after="0"/>
              <w:rPr>
                <w:sz w:val="20"/>
                <w:szCs w:val="20"/>
                <w:color w:val="auto"/>
              </w:rPr>
            </w:pPr>
            <w:r>
              <w:rPr>
                <w:rFonts w:ascii="Arial" w:cs="Arial" w:eastAsia="Arial" w:hAnsi="Arial"/>
                <w:sz w:val="13"/>
                <w:szCs w:val="13"/>
                <w:color w:val="auto"/>
              </w:rPr>
              <w:t>Time-Based Fixed</w:t>
            </w:r>
          </w:p>
        </w:tc>
        <w:tc>
          <w:tcPr>
            <w:tcW w:w="3660" w:type="dxa"/>
            <w:vAlign w:val="bottom"/>
            <w:tcBorders>
              <w:top w:val="single" w:sz="8" w:color="84827F"/>
            </w:tcBorders>
            <w:shd w:val="clear" w:color="auto" w:fill="EAEAE9"/>
          </w:tcPr>
          <w:p>
            <w:pPr>
              <w:ind w:left="100"/>
              <w:spacing w:after="0"/>
              <w:rPr>
                <w:sz w:val="20"/>
                <w:szCs w:val="20"/>
                <w:color w:val="auto"/>
              </w:rPr>
            </w:pPr>
            <w:r>
              <w:rPr>
                <w:rFonts w:ascii="Arial" w:cs="Arial" w:eastAsia="Arial" w:hAnsi="Arial"/>
                <w:sz w:val="13"/>
                <w:szCs w:val="13"/>
                <w:b w:val="1"/>
                <w:bCs w:val="1"/>
                <w:color w:val="auto"/>
              </w:rPr>
              <w:t>Restricted Stock</w:t>
            </w:r>
          </w:p>
        </w:tc>
        <w:tc>
          <w:tcPr>
            <w:tcW w:w="3060" w:type="dxa"/>
            <w:vAlign w:val="bottom"/>
            <w:tcBorders>
              <w:top w:val="single" w:sz="8" w:color="84827F"/>
            </w:tcBorders>
            <w:shd w:val="clear" w:color="auto" w:fill="EAEAE9"/>
          </w:tcPr>
          <w:p>
            <w:pPr>
              <w:spacing w:after="0"/>
              <w:rPr>
                <w:sz w:val="15"/>
                <w:szCs w:val="15"/>
                <w:color w:val="auto"/>
              </w:rPr>
            </w:pPr>
          </w:p>
        </w:tc>
        <w:tc>
          <w:tcPr>
            <w:tcW w:w="680" w:type="dxa"/>
            <w:vAlign w:val="bottom"/>
            <w:tcBorders>
              <w:top w:val="single" w:sz="8" w:color="84827F"/>
            </w:tcBorders>
            <w:gridSpan w:val="2"/>
            <w:shd w:val="clear" w:color="auto" w:fill="EAEAE9"/>
          </w:tcPr>
          <w:p>
            <w:pPr>
              <w:ind w:left="80"/>
              <w:spacing w:after="0"/>
              <w:rPr>
                <w:sz w:val="20"/>
                <w:szCs w:val="20"/>
                <w:color w:val="auto"/>
              </w:rPr>
            </w:pPr>
            <w:r>
              <w:rPr>
                <w:rFonts w:ascii="Arial" w:cs="Arial" w:eastAsia="Arial" w:hAnsi="Arial"/>
                <w:sz w:val="13"/>
                <w:szCs w:val="13"/>
                <w:b w:val="1"/>
                <w:bCs w:val="1"/>
                <w:color w:val="00AE4F"/>
              </w:rPr>
              <w:t>Page 65</w:t>
            </w:r>
          </w:p>
        </w:tc>
        <w:tc>
          <w:tcPr>
            <w:tcW w:w="320" w:type="dxa"/>
            <w:vAlign w:val="bottom"/>
            <w:tcBorders>
              <w:top w:val="single" w:sz="8" w:color="84827F"/>
            </w:tcBorders>
            <w:shd w:val="clear" w:color="auto" w:fill="EAEAE9"/>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120" w:type="dxa"/>
            <w:vAlign w:val="bottom"/>
            <w:vMerge w:val="restart"/>
            <w:shd w:val="clear" w:color="auto" w:fill="EAEAE9"/>
          </w:tcPr>
          <w:p>
            <w:pPr>
              <w:ind w:left="60"/>
              <w:spacing w:after="0"/>
              <w:rPr>
                <w:sz w:val="20"/>
                <w:szCs w:val="20"/>
                <w:color w:val="auto"/>
              </w:rPr>
            </w:pPr>
            <w:r>
              <w:rPr>
                <w:rFonts w:ascii="Arial" w:cs="Arial" w:eastAsia="Arial" w:hAnsi="Arial"/>
                <w:sz w:val="13"/>
                <w:szCs w:val="13"/>
                <w:b w:val="1"/>
                <w:bCs w:val="1"/>
                <w:color w:val="auto"/>
              </w:rPr>
              <w:t>Incentives (LTI)</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Compensation</w:t>
            </w:r>
          </w:p>
        </w:tc>
        <w:tc>
          <w:tcPr>
            <w:tcW w:w="3660" w:type="dxa"/>
            <w:vAlign w:val="bottom"/>
            <w:shd w:val="clear" w:color="auto" w:fill="EAEAE9"/>
          </w:tcPr>
          <w:p>
            <w:pPr>
              <w:spacing w:after="0"/>
              <w:rPr>
                <w:sz w:val="7"/>
                <w:szCs w:val="7"/>
                <w:color w:val="auto"/>
              </w:rPr>
            </w:pPr>
          </w:p>
        </w:tc>
        <w:tc>
          <w:tcPr>
            <w:tcW w:w="3060" w:type="dxa"/>
            <w:vAlign w:val="bottom"/>
            <w:shd w:val="clear" w:color="auto" w:fill="EAEAE9"/>
          </w:tcPr>
          <w:p>
            <w:pPr>
              <w:spacing w:after="0"/>
              <w:rPr>
                <w:sz w:val="7"/>
                <w:szCs w:val="7"/>
                <w:color w:val="auto"/>
              </w:rPr>
            </w:pPr>
          </w:p>
        </w:tc>
        <w:tc>
          <w:tcPr>
            <w:tcW w:w="520" w:type="dxa"/>
            <w:vAlign w:val="bottom"/>
            <w:shd w:val="clear" w:color="auto" w:fill="EAEAE9"/>
          </w:tcPr>
          <w:p>
            <w:pPr>
              <w:spacing w:after="0"/>
              <w:rPr>
                <w:sz w:val="7"/>
                <w:szCs w:val="7"/>
                <w:color w:val="auto"/>
              </w:rPr>
            </w:pPr>
          </w:p>
        </w:tc>
        <w:tc>
          <w:tcPr>
            <w:tcW w:w="160" w:type="dxa"/>
            <w:vAlign w:val="bottom"/>
            <w:tcBorders>
              <w:left w:val="single" w:sz="8" w:color="EAEAE9"/>
            </w:tcBorders>
            <w:shd w:val="clear" w:color="auto" w:fill="EAEAE9"/>
          </w:tcPr>
          <w:p>
            <w:pPr>
              <w:spacing w:after="0"/>
              <w:rPr>
                <w:sz w:val="7"/>
                <w:szCs w:val="7"/>
                <w:color w:val="auto"/>
              </w:rPr>
            </w:pPr>
          </w:p>
        </w:tc>
        <w:tc>
          <w:tcPr>
            <w:tcW w:w="320" w:type="dxa"/>
            <w:vAlign w:val="bottom"/>
            <w:shd w:val="clear" w:color="auto" w:fill="EAEAE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20" w:type="dxa"/>
            <w:vAlign w:val="bottom"/>
            <w:vMerge w:val="continue"/>
            <w:shd w:val="clear" w:color="auto" w:fill="EAEAE9"/>
          </w:tcPr>
          <w:p>
            <w:pPr>
              <w:spacing w:after="0"/>
              <w:rPr>
                <w:sz w:val="8"/>
                <w:szCs w:val="8"/>
                <w:color w:val="auto"/>
              </w:rPr>
            </w:pPr>
          </w:p>
        </w:tc>
        <w:tc>
          <w:tcPr>
            <w:tcW w:w="1300" w:type="dxa"/>
            <w:vAlign w:val="bottom"/>
            <w:vMerge w:val="continue"/>
          </w:tcPr>
          <w:p>
            <w:pPr>
              <w:spacing w:after="0"/>
              <w:rPr>
                <w:sz w:val="8"/>
                <w:szCs w:val="8"/>
                <w:color w:val="auto"/>
              </w:rPr>
            </w:pPr>
          </w:p>
        </w:tc>
        <w:tc>
          <w:tcPr>
            <w:tcW w:w="3660" w:type="dxa"/>
            <w:vAlign w:val="bottom"/>
            <w:vMerge w:val="restart"/>
          </w:tcPr>
          <w:p>
            <w:pPr>
              <w:ind w:left="100"/>
              <w:spacing w:after="0"/>
              <w:rPr>
                <w:sz w:val="20"/>
                <w:szCs w:val="20"/>
                <w:color w:val="auto"/>
              </w:rPr>
            </w:pPr>
            <w:r>
              <w:rPr>
                <w:rFonts w:ascii="Arial" w:cs="Arial" w:eastAsia="Arial" w:hAnsi="Arial"/>
                <w:sz w:val="13"/>
                <w:szCs w:val="13"/>
                <w:color w:val="auto"/>
              </w:rPr>
              <w:t>•   Accounts for 25% for CEO and 40% for other named</w:t>
            </w:r>
          </w:p>
        </w:tc>
        <w:tc>
          <w:tcPr>
            <w:tcW w:w="3060" w:type="dxa"/>
            <w:vAlign w:val="bottom"/>
            <w:vMerge w:val="restart"/>
          </w:tcPr>
          <w:p>
            <w:pPr>
              <w:ind w:left="80"/>
              <w:spacing w:after="0"/>
              <w:rPr>
                <w:sz w:val="20"/>
                <w:szCs w:val="20"/>
                <w:color w:val="auto"/>
              </w:rPr>
            </w:pPr>
            <w:r>
              <w:rPr>
                <w:rFonts w:ascii="Arial" w:cs="Arial" w:eastAsia="Arial" w:hAnsi="Arial"/>
                <w:sz w:val="13"/>
                <w:szCs w:val="13"/>
                <w:color w:val="auto"/>
              </w:rPr>
              <w:t>•   Align interests of senior officers and</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20" w:type="dxa"/>
            <w:vAlign w:val="bottom"/>
            <w:shd w:val="clear" w:color="auto" w:fill="EAEAE9"/>
          </w:tcPr>
          <w:p>
            <w:pPr>
              <w:spacing w:after="0"/>
              <w:rPr>
                <w:sz w:val="7"/>
                <w:szCs w:val="7"/>
                <w:color w:val="auto"/>
              </w:rPr>
            </w:pPr>
          </w:p>
        </w:tc>
        <w:tc>
          <w:tcPr>
            <w:tcW w:w="13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executive officers of total LTI award opportunity</w:t>
            </w:r>
          </w:p>
        </w:tc>
        <w:tc>
          <w:tcPr>
            <w:tcW w:w="3060" w:type="dxa"/>
            <w:vAlign w:val="bottom"/>
          </w:tcPr>
          <w:p>
            <w:pPr>
              <w:ind w:left="220"/>
              <w:spacing w:after="0"/>
              <w:rPr>
                <w:sz w:val="20"/>
                <w:szCs w:val="20"/>
                <w:color w:val="auto"/>
              </w:rPr>
            </w:pPr>
            <w:r>
              <w:rPr>
                <w:rFonts w:ascii="Arial" w:cs="Arial" w:eastAsia="Arial" w:hAnsi="Arial"/>
                <w:sz w:val="13"/>
                <w:szCs w:val="13"/>
                <w:color w:val="auto"/>
              </w:rPr>
              <w:t>shareholders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3"/>
                <w:szCs w:val="13"/>
                <w:color w:val="auto"/>
              </w:rPr>
              <w:t>•   Shares vest ratably over three years</w:t>
            </w:r>
          </w:p>
        </w:tc>
        <w:tc>
          <w:tcPr>
            <w:tcW w:w="3060" w:type="dxa"/>
            <w:vAlign w:val="bottom"/>
          </w:tcPr>
          <w:p>
            <w:pPr>
              <w:ind w:left="80"/>
              <w:spacing w:after="0"/>
              <w:rPr>
                <w:sz w:val="20"/>
                <w:szCs w:val="20"/>
                <w:color w:val="auto"/>
              </w:rPr>
            </w:pPr>
            <w:r>
              <w:rPr>
                <w:rFonts w:ascii="Arial" w:cs="Arial" w:eastAsia="Arial" w:hAnsi="Arial"/>
                <w:sz w:val="13"/>
                <w:szCs w:val="13"/>
                <w:color w:val="auto"/>
              </w:rPr>
              <w:t>•   Support retention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20" w:type="dxa"/>
            <w:vAlign w:val="bottom"/>
            <w:shd w:val="clear" w:color="auto" w:fill="EAEAE9"/>
          </w:tcPr>
          <w:p>
            <w:pPr>
              <w:spacing w:after="0"/>
              <w:rPr>
                <w:sz w:val="15"/>
                <w:szCs w:val="15"/>
                <w:color w:val="auto"/>
              </w:rPr>
            </w:pPr>
          </w:p>
        </w:tc>
        <w:tc>
          <w:tcPr>
            <w:tcW w:w="13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3"/>
                <w:szCs w:val="13"/>
                <w:color w:val="auto"/>
              </w:rPr>
              <w:t>•   Support meaningful stock ownership</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120" w:type="dxa"/>
            <w:vAlign w:val="bottom"/>
            <w:tcBorders>
              <w:bottom w:val="single" w:sz="8" w:color="EAEAE9"/>
            </w:tcBorders>
            <w:shd w:val="clear" w:color="auto" w:fill="EAEAE9"/>
          </w:tcPr>
          <w:p>
            <w:pPr>
              <w:spacing w:after="0"/>
              <w:rPr>
                <w:sz w:val="4"/>
                <w:szCs w:val="4"/>
                <w:color w:val="auto"/>
              </w:rPr>
            </w:pPr>
          </w:p>
        </w:tc>
        <w:tc>
          <w:tcPr>
            <w:tcW w:w="1300" w:type="dxa"/>
            <w:vAlign w:val="bottom"/>
            <w:tcBorders>
              <w:bottom w:val="single" w:sz="8" w:color="84827F"/>
            </w:tcBorders>
          </w:tcPr>
          <w:p>
            <w:pPr>
              <w:spacing w:after="0"/>
              <w:rPr>
                <w:sz w:val="4"/>
                <w:szCs w:val="4"/>
                <w:color w:val="auto"/>
              </w:rPr>
            </w:pPr>
          </w:p>
        </w:tc>
        <w:tc>
          <w:tcPr>
            <w:tcW w:w="3660" w:type="dxa"/>
            <w:vAlign w:val="bottom"/>
            <w:tcBorders>
              <w:bottom w:val="single" w:sz="8" w:color="84827F"/>
            </w:tcBorders>
          </w:tcPr>
          <w:p>
            <w:pPr>
              <w:spacing w:after="0"/>
              <w:rPr>
                <w:sz w:val="4"/>
                <w:szCs w:val="4"/>
                <w:color w:val="auto"/>
              </w:rPr>
            </w:pPr>
          </w:p>
        </w:tc>
        <w:tc>
          <w:tcPr>
            <w:tcW w:w="3060" w:type="dxa"/>
            <w:vAlign w:val="bottom"/>
            <w:tcBorders>
              <w:bottom w:val="single" w:sz="8" w:color="84827F"/>
            </w:tcBorders>
          </w:tcPr>
          <w:p>
            <w:pPr>
              <w:spacing w:after="0"/>
              <w:rPr>
                <w:sz w:val="4"/>
                <w:szCs w:val="4"/>
                <w:color w:val="auto"/>
              </w:rPr>
            </w:pPr>
          </w:p>
        </w:tc>
        <w:tc>
          <w:tcPr>
            <w:tcW w:w="520" w:type="dxa"/>
            <w:vAlign w:val="bottom"/>
            <w:tcBorders>
              <w:bottom w:val="single" w:sz="8" w:color="84827F"/>
            </w:tcBorders>
          </w:tcPr>
          <w:p>
            <w:pPr>
              <w:spacing w:after="0"/>
              <w:rPr>
                <w:sz w:val="4"/>
                <w:szCs w:val="4"/>
                <w:color w:val="auto"/>
              </w:rPr>
            </w:pPr>
          </w:p>
        </w:tc>
        <w:tc>
          <w:tcPr>
            <w:tcW w:w="160" w:type="dxa"/>
            <w:vAlign w:val="bottom"/>
            <w:tcBorders>
              <w:bottom w:val="single" w:sz="8" w:color="84827F"/>
            </w:tcBorders>
          </w:tcPr>
          <w:p>
            <w:pPr>
              <w:spacing w:after="0"/>
              <w:rPr>
                <w:sz w:val="4"/>
                <w:szCs w:val="4"/>
                <w:color w:val="auto"/>
              </w:rPr>
            </w:pPr>
          </w:p>
        </w:tc>
        <w:tc>
          <w:tcPr>
            <w:tcW w:w="320" w:type="dxa"/>
            <w:vAlign w:val="bottom"/>
            <w:tcBorders>
              <w:bottom w:val="single" w:sz="8" w:color="8482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EAEAE9"/>
          </w:tcPr>
          <w:p>
            <w:pPr>
              <w:spacing w:after="0"/>
              <w:rPr>
                <w:sz w:val="17"/>
                <w:szCs w:val="17"/>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Variable At-Risk</w:t>
            </w:r>
          </w:p>
        </w:tc>
        <w:tc>
          <w:tcPr>
            <w:tcW w:w="3660" w:type="dxa"/>
            <w:vAlign w:val="bottom"/>
            <w:shd w:val="clear" w:color="auto" w:fill="EAEAE9"/>
          </w:tcPr>
          <w:p>
            <w:pPr>
              <w:ind w:left="100"/>
              <w:spacing w:after="0"/>
              <w:rPr>
                <w:sz w:val="20"/>
                <w:szCs w:val="20"/>
                <w:color w:val="auto"/>
              </w:rPr>
            </w:pPr>
            <w:r>
              <w:rPr>
                <w:rFonts w:ascii="Arial" w:cs="Arial" w:eastAsia="Arial" w:hAnsi="Arial"/>
                <w:sz w:val="13"/>
                <w:szCs w:val="13"/>
                <w:b w:val="1"/>
                <w:bCs w:val="1"/>
                <w:color w:val="auto"/>
              </w:rPr>
              <w:t>Performance Shares</w:t>
            </w:r>
          </w:p>
        </w:tc>
        <w:tc>
          <w:tcPr>
            <w:tcW w:w="3060" w:type="dxa"/>
            <w:vAlign w:val="bottom"/>
            <w:shd w:val="clear" w:color="auto" w:fill="EAEAE9"/>
          </w:tcPr>
          <w:p>
            <w:pPr>
              <w:spacing w:after="0"/>
              <w:rPr>
                <w:sz w:val="17"/>
                <w:szCs w:val="17"/>
                <w:color w:val="auto"/>
              </w:rPr>
            </w:pPr>
          </w:p>
        </w:tc>
        <w:tc>
          <w:tcPr>
            <w:tcW w:w="680" w:type="dxa"/>
            <w:vAlign w:val="bottom"/>
            <w:gridSpan w:val="2"/>
            <w:shd w:val="clear" w:color="auto" w:fill="EAEAE9"/>
          </w:tcPr>
          <w:p>
            <w:pPr>
              <w:ind w:left="80"/>
              <w:spacing w:after="0"/>
              <w:rPr>
                <w:sz w:val="20"/>
                <w:szCs w:val="20"/>
                <w:color w:val="auto"/>
              </w:rPr>
            </w:pPr>
            <w:r>
              <w:rPr>
                <w:rFonts w:ascii="Arial" w:cs="Arial" w:eastAsia="Arial" w:hAnsi="Arial"/>
                <w:sz w:val="13"/>
                <w:szCs w:val="13"/>
                <w:b w:val="1"/>
                <w:bCs w:val="1"/>
                <w:color w:val="00AE4F"/>
              </w:rPr>
              <w:t>Page 63</w:t>
            </w:r>
          </w:p>
        </w:tc>
        <w:tc>
          <w:tcPr>
            <w:tcW w:w="320" w:type="dxa"/>
            <w:vAlign w:val="bottom"/>
            <w:shd w:val="clear" w:color="auto" w:fill="EAEAE9"/>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120" w:type="dxa"/>
            <w:vAlign w:val="bottom"/>
            <w:shd w:val="clear" w:color="auto" w:fill="EAEAE9"/>
          </w:tcPr>
          <w:p>
            <w:pPr>
              <w:spacing w:after="0"/>
              <w:rPr>
                <w:sz w:val="8"/>
                <w:szCs w:val="8"/>
                <w:color w:val="auto"/>
              </w:rPr>
            </w:pPr>
          </w:p>
        </w:tc>
        <w:tc>
          <w:tcPr>
            <w:tcW w:w="1300" w:type="dxa"/>
            <w:vAlign w:val="bottom"/>
            <w:vMerge w:val="restart"/>
          </w:tcPr>
          <w:p>
            <w:pPr>
              <w:ind w:left="80"/>
              <w:spacing w:after="0" w:line="129" w:lineRule="exact"/>
              <w:rPr>
                <w:sz w:val="20"/>
                <w:szCs w:val="20"/>
                <w:color w:val="auto"/>
              </w:rPr>
            </w:pPr>
            <w:r>
              <w:rPr>
                <w:rFonts w:ascii="Arial" w:cs="Arial" w:eastAsia="Arial" w:hAnsi="Arial"/>
                <w:sz w:val="13"/>
                <w:szCs w:val="13"/>
                <w:color w:val="auto"/>
              </w:rPr>
              <w:t>Performance-</w:t>
            </w:r>
          </w:p>
        </w:tc>
        <w:tc>
          <w:tcPr>
            <w:tcW w:w="3660" w:type="dxa"/>
            <w:vAlign w:val="bottom"/>
            <w:shd w:val="clear" w:color="auto" w:fill="EAEAE9"/>
          </w:tcPr>
          <w:p>
            <w:pPr>
              <w:spacing w:after="0"/>
              <w:rPr>
                <w:sz w:val="8"/>
                <w:szCs w:val="8"/>
                <w:color w:val="auto"/>
              </w:rPr>
            </w:pPr>
          </w:p>
        </w:tc>
        <w:tc>
          <w:tcPr>
            <w:tcW w:w="3060" w:type="dxa"/>
            <w:vAlign w:val="bottom"/>
            <w:shd w:val="clear" w:color="auto" w:fill="EAEAE9"/>
          </w:tcPr>
          <w:p>
            <w:pPr>
              <w:spacing w:after="0"/>
              <w:rPr>
                <w:sz w:val="8"/>
                <w:szCs w:val="8"/>
                <w:color w:val="auto"/>
              </w:rPr>
            </w:pPr>
          </w:p>
        </w:tc>
        <w:tc>
          <w:tcPr>
            <w:tcW w:w="520" w:type="dxa"/>
            <w:vAlign w:val="bottom"/>
            <w:shd w:val="clear" w:color="auto" w:fill="EAEAE9"/>
          </w:tcPr>
          <w:p>
            <w:pPr>
              <w:spacing w:after="0"/>
              <w:rPr>
                <w:sz w:val="8"/>
                <w:szCs w:val="8"/>
                <w:color w:val="auto"/>
              </w:rPr>
            </w:pPr>
          </w:p>
        </w:tc>
        <w:tc>
          <w:tcPr>
            <w:tcW w:w="160" w:type="dxa"/>
            <w:vAlign w:val="bottom"/>
            <w:tcBorders>
              <w:left w:val="single" w:sz="8" w:color="EAEAE9"/>
            </w:tcBorders>
            <w:shd w:val="clear" w:color="auto" w:fill="EAEAE9"/>
          </w:tcPr>
          <w:p>
            <w:pPr>
              <w:spacing w:after="0"/>
              <w:rPr>
                <w:sz w:val="8"/>
                <w:szCs w:val="8"/>
                <w:color w:val="auto"/>
              </w:rPr>
            </w:pPr>
          </w:p>
        </w:tc>
        <w:tc>
          <w:tcPr>
            <w:tcW w:w="320" w:type="dxa"/>
            <w:vAlign w:val="bottom"/>
            <w:shd w:val="clear" w:color="auto" w:fill="EAEAE9"/>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120" w:type="dxa"/>
            <w:vAlign w:val="bottom"/>
            <w:shd w:val="clear" w:color="auto" w:fill="EAEAE9"/>
          </w:tcPr>
          <w:p>
            <w:pPr>
              <w:spacing w:after="0"/>
              <w:rPr>
                <w:sz w:val="2"/>
                <w:szCs w:val="2"/>
                <w:color w:val="auto"/>
              </w:rPr>
            </w:pPr>
          </w:p>
        </w:tc>
        <w:tc>
          <w:tcPr>
            <w:tcW w:w="1300" w:type="dxa"/>
            <w:vAlign w:val="bottom"/>
            <w:vMerge w:val="continue"/>
          </w:tcPr>
          <w:p>
            <w:pPr>
              <w:spacing w:after="0"/>
              <w:rPr>
                <w:sz w:val="2"/>
                <w:szCs w:val="2"/>
                <w:color w:val="auto"/>
              </w:rPr>
            </w:pPr>
          </w:p>
        </w:tc>
        <w:tc>
          <w:tcPr>
            <w:tcW w:w="3660" w:type="dxa"/>
            <w:vAlign w:val="bottom"/>
          </w:tcPr>
          <w:p>
            <w:pPr>
              <w:spacing w:after="0"/>
              <w:rPr>
                <w:sz w:val="2"/>
                <w:szCs w:val="2"/>
                <w:color w:val="auto"/>
              </w:rPr>
            </w:pPr>
          </w:p>
        </w:tc>
        <w:tc>
          <w:tcPr>
            <w:tcW w:w="3060" w:type="dxa"/>
            <w:vAlign w:val="bottom"/>
            <w:vMerge w:val="restart"/>
          </w:tcPr>
          <w:p>
            <w:pPr>
              <w:ind w:left="80"/>
              <w:spacing w:after="0"/>
              <w:rPr>
                <w:sz w:val="20"/>
                <w:szCs w:val="20"/>
                <w:color w:val="auto"/>
              </w:rPr>
            </w:pPr>
            <w:r>
              <w:rPr>
                <w:rFonts w:ascii="Arial" w:cs="Arial" w:eastAsia="Arial" w:hAnsi="Arial"/>
                <w:sz w:val="13"/>
                <w:szCs w:val="13"/>
                <w:color w:val="auto"/>
              </w:rPr>
              <w:t>•   Drive long-term value creation for shareholders</w:t>
            </w: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120" w:type="dxa"/>
            <w:vAlign w:val="bottom"/>
            <w:shd w:val="clear" w:color="auto" w:fill="EAEAE9"/>
          </w:tcPr>
          <w:p>
            <w:pPr>
              <w:spacing w:after="0"/>
              <w:rPr>
                <w:sz w:val="11"/>
                <w:szCs w:val="11"/>
                <w:color w:val="auto"/>
              </w:rPr>
            </w:pPr>
          </w:p>
        </w:tc>
        <w:tc>
          <w:tcPr>
            <w:tcW w:w="1300" w:type="dxa"/>
            <w:vAlign w:val="bottom"/>
          </w:tcPr>
          <w:p>
            <w:pPr>
              <w:ind w:left="80"/>
              <w:spacing w:after="0" w:line="132" w:lineRule="exact"/>
              <w:rPr>
                <w:sz w:val="20"/>
                <w:szCs w:val="20"/>
                <w:color w:val="auto"/>
              </w:rPr>
            </w:pPr>
            <w:r>
              <w:rPr>
                <w:rFonts w:ascii="Arial" w:cs="Arial" w:eastAsia="Arial" w:hAnsi="Arial"/>
                <w:sz w:val="13"/>
                <w:szCs w:val="13"/>
                <w:color w:val="auto"/>
              </w:rPr>
              <w:t>Based</w:t>
            </w:r>
          </w:p>
        </w:tc>
        <w:tc>
          <w:tcPr>
            <w:tcW w:w="3660" w:type="dxa"/>
            <w:vAlign w:val="bottom"/>
          </w:tcPr>
          <w:p>
            <w:pPr>
              <w:ind w:left="100"/>
              <w:spacing w:after="0" w:line="132" w:lineRule="exact"/>
              <w:rPr>
                <w:sz w:val="20"/>
                <w:szCs w:val="20"/>
                <w:color w:val="auto"/>
              </w:rPr>
            </w:pPr>
            <w:r>
              <w:rPr>
                <w:rFonts w:ascii="Arial" w:cs="Arial" w:eastAsia="Arial" w:hAnsi="Arial"/>
                <w:sz w:val="13"/>
                <w:szCs w:val="13"/>
                <w:color w:val="auto"/>
              </w:rPr>
              <w:t>•   Accounts for 75% for CEO and 60% for other named</w:t>
            </w:r>
          </w:p>
        </w:tc>
        <w:tc>
          <w:tcPr>
            <w:tcW w:w="30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3660" w:type="dxa"/>
            <w:vAlign w:val="bottom"/>
          </w:tcPr>
          <w:p>
            <w:pPr>
              <w:ind w:left="240"/>
              <w:spacing w:after="0"/>
              <w:rPr>
                <w:sz w:val="20"/>
                <w:szCs w:val="20"/>
                <w:color w:val="auto"/>
              </w:rPr>
            </w:pPr>
            <w:r>
              <w:rPr>
                <w:rFonts w:ascii="Arial" w:cs="Arial" w:eastAsia="Arial" w:hAnsi="Arial"/>
                <w:sz w:val="13"/>
                <w:szCs w:val="13"/>
                <w:color w:val="auto"/>
              </w:rPr>
              <w:t>executive officers of total LTI award opportunity</w:t>
            </w:r>
          </w:p>
        </w:tc>
        <w:tc>
          <w:tcPr>
            <w:tcW w:w="3060" w:type="dxa"/>
            <w:vAlign w:val="bottom"/>
          </w:tcPr>
          <w:p>
            <w:pPr>
              <w:ind w:left="80"/>
              <w:spacing w:after="0"/>
              <w:rPr>
                <w:sz w:val="20"/>
                <w:szCs w:val="20"/>
                <w:color w:val="auto"/>
              </w:rPr>
            </w:pPr>
            <w:r>
              <w:rPr>
                <w:rFonts w:ascii="Arial" w:cs="Arial" w:eastAsia="Arial" w:hAnsi="Arial"/>
                <w:sz w:val="13"/>
                <w:szCs w:val="13"/>
                <w:color w:val="auto"/>
              </w:rPr>
              <w:t>•   Motivate and reward senior officers for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3"/>
                <w:szCs w:val="13"/>
                <w:color w:val="auto"/>
              </w:rPr>
              <w:t>•   Provides opportunity to earn shares based on</w:t>
            </w:r>
          </w:p>
        </w:tc>
        <w:tc>
          <w:tcPr>
            <w:tcW w:w="3060" w:type="dxa"/>
            <w:vAlign w:val="bottom"/>
          </w:tcPr>
          <w:p>
            <w:pPr>
              <w:ind w:left="220"/>
              <w:spacing w:after="0"/>
              <w:rPr>
                <w:sz w:val="20"/>
                <w:szCs w:val="20"/>
                <w:color w:val="auto"/>
              </w:rPr>
            </w:pPr>
            <w:r>
              <w:rPr>
                <w:rFonts w:ascii="Arial" w:cs="Arial" w:eastAsia="Arial" w:hAnsi="Arial"/>
                <w:sz w:val="13"/>
                <w:szCs w:val="13"/>
                <w:color w:val="auto"/>
              </w:rPr>
              <w:t>achievement of strategic business objectives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achievement of multiple specific performance goals</w:t>
            </w:r>
          </w:p>
        </w:tc>
        <w:tc>
          <w:tcPr>
            <w:tcW w:w="3060" w:type="dxa"/>
            <w:vAlign w:val="bottom"/>
          </w:tcPr>
          <w:p>
            <w:pPr>
              <w:ind w:left="220"/>
              <w:spacing w:after="0"/>
              <w:rPr>
                <w:sz w:val="20"/>
                <w:szCs w:val="20"/>
                <w:color w:val="auto"/>
              </w:rPr>
            </w:pPr>
            <w:r>
              <w:rPr>
                <w:rFonts w:ascii="Arial" w:cs="Arial" w:eastAsia="Arial" w:hAnsi="Arial"/>
                <w:sz w:val="13"/>
                <w:szCs w:val="13"/>
                <w:color w:val="auto"/>
              </w:rPr>
              <w:t>over a three-year period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3"/>
                <w:szCs w:val="13"/>
                <w:color w:val="auto"/>
              </w:rPr>
              <w:t>•   Given the continued complexity of goal setting in the</w:t>
            </w:r>
          </w:p>
        </w:tc>
        <w:tc>
          <w:tcPr>
            <w:tcW w:w="3060" w:type="dxa"/>
            <w:vAlign w:val="bottom"/>
          </w:tcPr>
          <w:p>
            <w:pPr>
              <w:ind w:left="80"/>
              <w:spacing w:after="0"/>
              <w:rPr>
                <w:sz w:val="20"/>
                <w:szCs w:val="20"/>
                <w:color w:val="auto"/>
              </w:rPr>
            </w:pPr>
            <w:r>
              <w:rPr>
                <w:rFonts w:ascii="Arial" w:cs="Arial" w:eastAsia="Arial" w:hAnsi="Arial"/>
                <w:sz w:val="13"/>
                <w:szCs w:val="13"/>
                <w:color w:val="auto"/>
              </w:rPr>
              <w:t>•   Align the interests of senior officers with the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current business environment, financial measures for</w:t>
            </w:r>
          </w:p>
        </w:tc>
        <w:tc>
          <w:tcPr>
            <w:tcW w:w="3060" w:type="dxa"/>
            <w:vAlign w:val="bottom"/>
          </w:tcPr>
          <w:p>
            <w:pPr>
              <w:ind w:left="220"/>
              <w:spacing w:after="0"/>
              <w:rPr>
                <w:sz w:val="20"/>
                <w:szCs w:val="20"/>
                <w:color w:val="auto"/>
              </w:rPr>
            </w:pPr>
            <w:r>
              <w:rPr>
                <w:rFonts w:ascii="Arial" w:cs="Arial" w:eastAsia="Arial" w:hAnsi="Arial"/>
                <w:sz w:val="13"/>
                <w:szCs w:val="13"/>
                <w:color w:val="auto"/>
              </w:rPr>
              <w:t>long-term interests of the Company and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20" w:type="dxa"/>
            <w:vAlign w:val="bottom"/>
            <w:shd w:val="clear" w:color="auto" w:fill="EAEAE9"/>
          </w:tcPr>
          <w:p>
            <w:pPr>
              <w:spacing w:after="0"/>
              <w:rPr>
                <w:sz w:val="14"/>
                <w:szCs w:val="14"/>
                <w:color w:val="auto"/>
              </w:rPr>
            </w:pPr>
          </w:p>
        </w:tc>
        <w:tc>
          <w:tcPr>
            <w:tcW w:w="1300" w:type="dxa"/>
            <w:vAlign w:val="bottom"/>
          </w:tcPr>
          <w:p>
            <w:pPr>
              <w:spacing w:after="0"/>
              <w:rPr>
                <w:sz w:val="14"/>
                <w:szCs w:val="14"/>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2025-2027 LTI awards are established and assessed</w:t>
            </w:r>
          </w:p>
        </w:tc>
        <w:tc>
          <w:tcPr>
            <w:tcW w:w="3060" w:type="dxa"/>
            <w:vAlign w:val="bottom"/>
          </w:tcPr>
          <w:p>
            <w:pPr>
              <w:ind w:left="220"/>
              <w:spacing w:after="0"/>
              <w:rPr>
                <w:sz w:val="20"/>
                <w:szCs w:val="20"/>
                <w:color w:val="auto"/>
              </w:rPr>
            </w:pPr>
            <w:r>
              <w:rPr>
                <w:rFonts w:ascii="Arial" w:cs="Arial" w:eastAsia="Arial" w:hAnsi="Arial"/>
                <w:sz w:val="13"/>
                <w:szCs w:val="13"/>
                <w:color w:val="auto"/>
              </w:rPr>
              <w:t>shareholders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independently for each of three one-year performance</w:t>
            </w: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EAEAE9"/>
          </w:tcPr>
          <w:p>
            <w:pPr>
              <w:spacing w:after="0"/>
              <w:rPr>
                <w:sz w:val="12"/>
                <w:szCs w:val="12"/>
                <w:color w:val="auto"/>
              </w:rPr>
            </w:pPr>
          </w:p>
        </w:tc>
        <w:tc>
          <w:tcPr>
            <w:tcW w:w="1300" w:type="dxa"/>
            <w:vAlign w:val="bottom"/>
          </w:tcPr>
          <w:p>
            <w:pPr>
              <w:spacing w:after="0"/>
              <w:rPr>
                <w:sz w:val="12"/>
                <w:szCs w:val="12"/>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periods (2025, 2026, and 2027) with goals set early in</w:t>
            </w: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tcBorders>
              <w:bottom w:val="single" w:sz="8" w:color="EAEAE9"/>
            </w:tcBorders>
            <w:shd w:val="clear" w:color="auto" w:fill="EAEAE9"/>
          </w:tcPr>
          <w:p>
            <w:pPr>
              <w:spacing w:after="0"/>
              <w:rPr>
                <w:sz w:val="20"/>
                <w:szCs w:val="20"/>
                <w:color w:val="auto"/>
              </w:rPr>
            </w:pPr>
          </w:p>
        </w:tc>
        <w:tc>
          <w:tcPr>
            <w:tcW w:w="1300" w:type="dxa"/>
            <w:vAlign w:val="bottom"/>
          </w:tcPr>
          <w:p>
            <w:pPr>
              <w:spacing w:after="0"/>
              <w:rPr>
                <w:sz w:val="20"/>
                <w:szCs w:val="20"/>
                <w:color w:val="auto"/>
              </w:rPr>
            </w:pPr>
          </w:p>
        </w:tc>
        <w:tc>
          <w:tcPr>
            <w:tcW w:w="3660" w:type="dxa"/>
            <w:vAlign w:val="bottom"/>
          </w:tcPr>
          <w:p>
            <w:pPr>
              <w:ind w:left="240"/>
              <w:spacing w:after="0"/>
              <w:rPr>
                <w:sz w:val="20"/>
                <w:szCs w:val="20"/>
                <w:color w:val="auto"/>
              </w:rPr>
            </w:pPr>
            <w:r>
              <w:rPr>
                <w:rFonts w:ascii="Arial" w:cs="Arial" w:eastAsia="Arial" w:hAnsi="Arial"/>
                <w:sz w:val="13"/>
                <w:szCs w:val="13"/>
                <w:color w:val="auto"/>
              </w:rPr>
              <w:t>each performance period</w:t>
            </w:r>
          </w:p>
        </w:tc>
        <w:tc>
          <w:tcPr>
            <w:tcW w:w="3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120" w:type="dxa"/>
            <w:vAlign w:val="bottom"/>
            <w:tcBorders>
              <w:top w:val="single" w:sz="8" w:color="84827F"/>
            </w:tcBorders>
          </w:tcPr>
          <w:p>
            <w:pPr>
              <w:spacing w:after="0"/>
              <w:rPr>
                <w:sz w:val="24"/>
                <w:szCs w:val="24"/>
                <w:color w:val="auto"/>
              </w:rPr>
            </w:pPr>
          </w:p>
        </w:tc>
        <w:tc>
          <w:tcPr>
            <w:tcW w:w="1300" w:type="dxa"/>
            <w:vAlign w:val="bottom"/>
            <w:tcBorders>
              <w:top w:val="single" w:sz="8" w:color="84827F"/>
            </w:tcBorders>
          </w:tcPr>
          <w:p>
            <w:pPr>
              <w:spacing w:after="0"/>
              <w:rPr>
                <w:sz w:val="24"/>
                <w:szCs w:val="24"/>
                <w:color w:val="auto"/>
              </w:rPr>
            </w:pPr>
          </w:p>
        </w:tc>
        <w:tc>
          <w:tcPr>
            <w:tcW w:w="3660" w:type="dxa"/>
            <w:vAlign w:val="bottom"/>
            <w:tcBorders>
              <w:top w:val="single" w:sz="8" w:color="84827F"/>
            </w:tcBorders>
          </w:tcPr>
          <w:p>
            <w:pPr>
              <w:spacing w:after="0"/>
              <w:rPr>
                <w:sz w:val="24"/>
                <w:szCs w:val="24"/>
                <w:color w:val="auto"/>
              </w:rPr>
            </w:pPr>
          </w:p>
        </w:tc>
        <w:tc>
          <w:tcPr>
            <w:tcW w:w="3060" w:type="dxa"/>
            <w:vAlign w:val="bottom"/>
            <w:tcBorders>
              <w:top w:val="single" w:sz="8" w:color="84827F"/>
            </w:tcBorders>
            <w:vMerge w:val="restart"/>
          </w:tcPr>
          <w:p>
            <w:pPr>
              <w:ind w:left="2480"/>
              <w:spacing w:after="0"/>
              <w:rPr>
                <w:sz w:val="20"/>
                <w:szCs w:val="20"/>
                <w:color w:val="auto"/>
              </w:rPr>
            </w:pPr>
            <w:r>
              <w:rPr>
                <w:rFonts w:ascii="Arial" w:cs="Arial" w:eastAsia="Arial" w:hAnsi="Arial"/>
                <w:sz w:val="20"/>
                <w:szCs w:val="20"/>
                <w:color w:val="auto"/>
              </w:rPr>
              <w:t> </w:t>
            </w:r>
          </w:p>
        </w:tc>
        <w:tc>
          <w:tcPr>
            <w:tcW w:w="520" w:type="dxa"/>
            <w:vAlign w:val="bottom"/>
            <w:tcBorders>
              <w:top w:val="single" w:sz="8" w:color="84827F"/>
            </w:tcBorders>
            <w:vMerge w:val="restart"/>
          </w:tcPr>
          <w:p>
            <w:pPr>
              <w:ind w:left="260"/>
              <w:spacing w:after="0"/>
              <w:rPr>
                <w:sz w:val="20"/>
                <w:szCs w:val="20"/>
                <w:color w:val="auto"/>
              </w:rPr>
            </w:pPr>
            <w:r>
              <w:rPr>
                <w:rFonts w:ascii="Arial" w:cs="Arial" w:eastAsia="Arial" w:hAnsi="Arial"/>
                <w:sz w:val="20"/>
                <w:szCs w:val="20"/>
                <w:color w:val="auto"/>
                <w:w w:val="85"/>
              </w:rPr>
              <w:t xml:space="preserve">  </w:t>
            </w:r>
          </w:p>
        </w:tc>
        <w:tc>
          <w:tcPr>
            <w:tcW w:w="160" w:type="dxa"/>
            <w:vAlign w:val="bottom"/>
            <w:tcBorders>
              <w:top w:val="single" w:sz="8" w:color="84827F"/>
            </w:tcBorders>
          </w:tcPr>
          <w:p>
            <w:pPr>
              <w:spacing w:after="0"/>
              <w:rPr>
                <w:sz w:val="24"/>
                <w:szCs w:val="24"/>
                <w:color w:val="auto"/>
              </w:rPr>
            </w:pPr>
          </w:p>
        </w:tc>
        <w:tc>
          <w:tcPr>
            <w:tcW w:w="320" w:type="dxa"/>
            <w:vAlign w:val="bottom"/>
            <w:tcBorders>
              <w:top w:val="single" w:sz="8" w:color="84827F"/>
            </w:tcBorders>
            <w:vMerge w:val="restart"/>
          </w:tcPr>
          <w:p>
            <w:pPr>
              <w:jc w:val="right"/>
              <w:spacing w:after="0"/>
              <w:rPr>
                <w:sz w:val="20"/>
                <w:szCs w:val="20"/>
                <w:color w:val="auto"/>
              </w:rPr>
            </w:pPr>
            <w:r>
              <w:rPr>
                <w:rFonts w:ascii="Arial" w:cs="Arial" w:eastAsia="Arial" w:hAnsi="Arial"/>
                <w:sz w:val="20"/>
                <w:szCs w:val="20"/>
                <w:color w:val="auto"/>
                <w:w w:val="98"/>
              </w:rPr>
              <w:t>51</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60" w:type="dxa"/>
            <w:vAlign w:val="bottom"/>
            <w:tcBorders>
              <w:left w:val="single" w:sz="8" w:color="auto"/>
            </w:tcBorders>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80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Pay Mix</w:t>
      </w:r>
    </w:p>
    <w:p>
      <w:pPr>
        <w:spacing w:after="0" w:line="92" w:lineRule="exact"/>
        <w:rPr>
          <w:sz w:val="20"/>
          <w:szCs w:val="20"/>
          <w:color w:val="auto"/>
        </w:rPr>
      </w:pPr>
    </w:p>
    <w:p>
      <w:pPr>
        <w:ind w:left="560" w:right="80"/>
        <w:spacing w:after="0" w:line="248" w:lineRule="auto"/>
        <w:rPr>
          <w:sz w:val="20"/>
          <w:szCs w:val="20"/>
          <w:color w:val="auto"/>
        </w:rPr>
      </w:pPr>
      <w:r>
        <w:rPr>
          <w:rFonts w:ascii="Arial" w:cs="Arial" w:eastAsia="Arial" w:hAnsi="Arial"/>
          <w:sz w:val="15"/>
          <w:szCs w:val="15"/>
          <w:color w:val="auto"/>
        </w:rPr>
        <w:t>We structure executive compensation so that the senior officer roles have a greater proportion of performance-based pay. The CEO has the highest percentage of at-risk compensation through elevated STIP and LTI targets compared to other named executive officers. At-risk compensation includes annual cash incentives and performance shares contingent upon achieving pre-established performance goals. While restricted shares are not classified as at-risk, they align with shareholder experience by reflecting stock price performance from grant date to vesting. The following charts illustrate the Target Total Direct Compensation mix for our CEO and other named executive officers, including base salary, STIP (at target), restricted shares and performance shares (at target), and excluding one-time awards.</w:t>
      </w:r>
    </w:p>
    <w:p>
      <w:pPr>
        <w:spacing w:after="0" w:line="157"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Target Compensation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153670</wp:posOffset>
            </wp:positionV>
            <wp:extent cx="6457950" cy="24733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57950"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Process for Determining Executive Compensation</w:t>
      </w:r>
    </w:p>
    <w:p>
      <w:pPr>
        <w:spacing w:after="0" w:line="69" w:lineRule="exact"/>
        <w:rPr>
          <w:sz w:val="20"/>
          <w:szCs w:val="20"/>
          <w:color w:val="auto"/>
        </w:rPr>
      </w:pPr>
    </w:p>
    <w:p>
      <w:pPr>
        <w:ind w:left="560"/>
        <w:spacing w:after="0" w:line="247" w:lineRule="auto"/>
        <w:rPr>
          <w:sz w:val="20"/>
          <w:szCs w:val="20"/>
          <w:color w:val="auto"/>
        </w:rPr>
      </w:pPr>
      <w:r>
        <w:rPr>
          <w:rFonts w:ascii="Arial" w:cs="Arial" w:eastAsia="Arial" w:hAnsi="Arial"/>
          <w:sz w:val="15"/>
          <w:szCs w:val="15"/>
          <w:color w:val="auto"/>
        </w:rPr>
        <w:t>The Committee manages the Company’s executive compensation programs, reviewing goals, legal requirement, best practices, and governance trends. The Committee and members of the Board of Directors set the CEO pay, which follows the same structure as other named executive officers (base salary, STIP, and LTI). The CEO does not participate in recommendations or discussions related to his own compensation. Each year, the Committee sets pay for senior officers based on performance, ethics, goal achievement, market comparisons, the recommendations of the CEO, and other factors. It also reviews the costs and benefits of the compensation plans. Under the Kelly Services, Inc. 2025 Equity Incentive Plan, the Committee may delegate its authority to the CEO and/or to other executives to grant Awards under the Plan to Employees who are not Section 16 Reporting Persons or Senior Vice Presidents.The CEO shall periodically notify the Committee of any grants made pursuant to such delegation of authority.</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The responsibilities of the Committee are defined in its charter, which can be found on the Company’s website at </w:t>
      </w:r>
      <w:r>
        <w:rPr>
          <w:rFonts w:ascii="Arial" w:cs="Arial" w:eastAsia="Arial" w:hAnsi="Arial"/>
          <w:sz w:val="15"/>
          <w:szCs w:val="15"/>
          <w:i w:val="1"/>
          <w:iCs w:val="1"/>
          <w:color w:val="auto"/>
        </w:rPr>
        <w:t>kellyservices.com</w:t>
      </w:r>
      <w:r>
        <w:rPr>
          <w:rFonts w:ascii="Arial" w:cs="Arial" w:eastAsia="Arial" w:hAnsi="Arial"/>
          <w:sz w:val="15"/>
          <w:szCs w:val="15"/>
          <w:color w:val="auto"/>
        </w:rPr>
        <w: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Role of the Independent Compensation Consultant</w:t>
      </w:r>
    </w:p>
    <w:p>
      <w:pPr>
        <w:spacing w:after="0" w:line="68" w:lineRule="exact"/>
        <w:rPr>
          <w:sz w:val="20"/>
          <w:szCs w:val="20"/>
          <w:color w:val="auto"/>
        </w:rPr>
      </w:pPr>
    </w:p>
    <w:p>
      <w:pPr>
        <w:ind w:left="560" w:right="460"/>
        <w:spacing w:after="0" w:line="252" w:lineRule="auto"/>
        <w:rPr>
          <w:sz w:val="20"/>
          <w:szCs w:val="20"/>
          <w:color w:val="auto"/>
        </w:rPr>
      </w:pPr>
      <w:r>
        <w:rPr>
          <w:rFonts w:ascii="Arial" w:cs="Arial" w:eastAsia="Arial" w:hAnsi="Arial"/>
          <w:sz w:val="15"/>
          <w:szCs w:val="15"/>
          <w:color w:val="auto"/>
        </w:rPr>
        <w:t>The Committee has exclusive authority to select, retain, and, when appropriate, replace its independent compensation advisor. In early 2025, the Committee undertook a formal request-for-proposal (RFP) process to evaluate the qualifications, independence, and capabilities of several leading advisory firms. As a result of that process, the Committee appointed Pearl Meyer as its new independent compensation consultant, replacing Pay Governance LLC, which served in the role through the first half of 2025.</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Under the Committee’s direction:</w:t>
      </w:r>
    </w:p>
    <w:p>
      <w:pPr>
        <w:spacing w:after="0" w:line="63"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The Committee’s independent compensation consultant provides market benchmarking on executive pay, incentive design advice, annual CD&amp;A input, peer group composition and shareholder engagement counsel, and director compensation recommendations, and does not provide any other services to the Company. Both firms reported directly to the Committee and operated independently of management. The Committee conducts an annual review of its advisor’s independence in accordance with Nasdaq listing standards. The Committee determined that its compensation consultants were independent and that no conflicts of interest existed in connection with their engagement.</w:t>
      </w:r>
    </w:p>
    <w:p>
      <w:pPr>
        <w:spacing w:after="0" w:line="3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52 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Role of Management</w:t>
      </w:r>
    </w:p>
    <w:p>
      <w:pPr>
        <w:spacing w:after="0" w:line="55" w:lineRule="exact"/>
        <w:rPr>
          <w:sz w:val="20"/>
          <w:szCs w:val="20"/>
          <w:color w:val="auto"/>
        </w:rPr>
      </w:pPr>
    </w:p>
    <w:p>
      <w:pPr>
        <w:ind w:left="560" w:right="900"/>
        <w:spacing w:after="0" w:line="275" w:lineRule="auto"/>
        <w:rPr>
          <w:sz w:val="20"/>
          <w:szCs w:val="20"/>
          <w:color w:val="auto"/>
        </w:rPr>
      </w:pPr>
      <w:r>
        <w:rPr>
          <w:rFonts w:ascii="Arial" w:cs="Arial" w:eastAsia="Arial" w:hAnsi="Arial"/>
          <w:sz w:val="15"/>
          <w:szCs w:val="15"/>
          <w:color w:val="auto"/>
        </w:rPr>
        <w:t>The Committee consults with the CEO and the Chief People Officer to obtain feedback with respect to the strategic direction of our executive compensation programs.</w:t>
      </w:r>
    </w:p>
    <w:p>
      <w:pPr>
        <w:spacing w:after="0" w:line="14" w:lineRule="exact"/>
        <w:rPr>
          <w:sz w:val="20"/>
          <w:szCs w:val="20"/>
          <w:color w:val="auto"/>
        </w:rPr>
      </w:pPr>
    </w:p>
    <w:p>
      <w:pPr>
        <w:ind w:left="560" w:right="100"/>
        <w:spacing w:after="0" w:line="258" w:lineRule="auto"/>
        <w:rPr>
          <w:sz w:val="20"/>
          <w:szCs w:val="20"/>
          <w:color w:val="auto"/>
        </w:rPr>
      </w:pPr>
      <w:r>
        <w:rPr>
          <w:rFonts w:ascii="Arial" w:cs="Arial" w:eastAsia="Arial" w:hAnsi="Arial"/>
          <w:sz w:val="15"/>
          <w:szCs w:val="15"/>
          <w:color w:val="auto"/>
        </w:rPr>
        <w:t>The CEO makes recommendations for each of the executive officers about elements of their total compensation. His recommendations are based on the assessment of each executive officer’s performance, as well as the performance of their respective business or function and other factors. The Committee takes into consideration the recommendations of the CEO when determining the compensation of the other executive officers.</w:t>
      </w:r>
    </w:p>
    <w:p>
      <w:pPr>
        <w:spacing w:after="0" w:line="39" w:lineRule="exact"/>
        <w:rPr>
          <w:sz w:val="20"/>
          <w:szCs w:val="20"/>
          <w:color w:val="auto"/>
        </w:rPr>
      </w:pPr>
    </w:p>
    <w:p>
      <w:pPr>
        <w:ind w:left="560" w:right="400"/>
        <w:spacing w:after="0" w:line="275" w:lineRule="auto"/>
        <w:rPr>
          <w:sz w:val="20"/>
          <w:szCs w:val="20"/>
          <w:color w:val="auto"/>
        </w:rPr>
      </w:pPr>
      <w:r>
        <w:rPr>
          <w:rFonts w:ascii="Arial" w:cs="Arial" w:eastAsia="Arial" w:hAnsi="Arial"/>
          <w:sz w:val="15"/>
          <w:szCs w:val="15"/>
          <w:color w:val="auto"/>
        </w:rPr>
        <w:t>In addition, the CFO provides periodic financial updates and information to the Committee to aid in establishing incentive plan goals and determining payout amounts.</w:t>
      </w:r>
    </w:p>
    <w:p>
      <w:pPr>
        <w:spacing w:after="0" w:line="14" w:lineRule="exact"/>
        <w:rPr>
          <w:sz w:val="20"/>
          <w:szCs w:val="20"/>
          <w:color w:val="auto"/>
        </w:rPr>
      </w:pPr>
    </w:p>
    <w:p>
      <w:pPr>
        <w:ind w:left="560" w:right="280"/>
        <w:spacing w:after="0" w:line="275" w:lineRule="auto"/>
        <w:rPr>
          <w:sz w:val="20"/>
          <w:szCs w:val="20"/>
          <w:color w:val="auto"/>
        </w:rPr>
      </w:pPr>
      <w:r>
        <w:rPr>
          <w:rFonts w:ascii="Arial" w:cs="Arial" w:eastAsia="Arial" w:hAnsi="Arial"/>
          <w:sz w:val="15"/>
          <w:szCs w:val="15"/>
          <w:color w:val="auto"/>
        </w:rPr>
        <w:t>The Committee consults with the Corporate Secretary and its independent compensation consultant on matters related to executive and director stock ownership requirements and director compensation.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Comparator Data</w:t>
      </w:r>
    </w:p>
    <w:p>
      <w:pPr>
        <w:spacing w:after="0" w:line="55" w:lineRule="exact"/>
        <w:rPr>
          <w:sz w:val="20"/>
          <w:szCs w:val="20"/>
          <w:color w:val="auto"/>
        </w:rPr>
      </w:pPr>
    </w:p>
    <w:p>
      <w:pPr>
        <w:ind w:left="560" w:right="140"/>
        <w:spacing w:after="0" w:line="258" w:lineRule="auto"/>
        <w:rPr>
          <w:sz w:val="20"/>
          <w:szCs w:val="20"/>
          <w:color w:val="auto"/>
        </w:rPr>
      </w:pPr>
      <w:r>
        <w:rPr>
          <w:rFonts w:ascii="Arial" w:cs="Arial" w:eastAsia="Arial" w:hAnsi="Arial"/>
          <w:sz w:val="15"/>
          <w:szCs w:val="15"/>
          <w:color w:val="auto"/>
        </w:rPr>
        <w:t>The Committee uses third-party survey data for comparably sized general industry companies and available data from a select group of peer companies in determining the competitive positioning of our compensation programs. Comparator data is also used as one of several inputs to establish the individual compensation opportunities of each of our senior officers, including the named executive officers.</w:t>
      </w:r>
    </w:p>
    <w:p>
      <w:pPr>
        <w:spacing w:after="0" w:line="39" w:lineRule="exact"/>
        <w:rPr>
          <w:sz w:val="20"/>
          <w:szCs w:val="20"/>
          <w:color w:val="auto"/>
        </w:rPr>
      </w:pPr>
    </w:p>
    <w:p>
      <w:pPr>
        <w:ind w:left="560" w:right="80"/>
        <w:spacing w:after="0" w:line="250" w:lineRule="auto"/>
        <w:rPr>
          <w:sz w:val="20"/>
          <w:szCs w:val="20"/>
          <w:color w:val="auto"/>
        </w:rPr>
      </w:pPr>
      <w:r>
        <w:rPr>
          <w:rFonts w:ascii="Arial" w:cs="Arial" w:eastAsia="Arial" w:hAnsi="Arial"/>
          <w:sz w:val="15"/>
          <w:szCs w:val="15"/>
          <w:color w:val="auto"/>
        </w:rPr>
        <w:t>Each senior officer’s performance is reviewed (see Senior Officer Performance Reviews and Succession Planning below) and compensation decisions are made on an annual basis (or as a senior officer’s duties and responsibilities change). Base salaries, target STIP, and target LTI opportunities are benchmarked against a group of comparable executive positions in general industry companies of similar revenue size as reflected in multiple third-party surveys. We seek to establish target total direct compensation opportunities (defined as base salary, target STIP, and target LTI) for our named executive officers that are near a competitive range of the median of the market data.</w:t>
      </w:r>
    </w:p>
    <w:p>
      <w:pPr>
        <w:spacing w:after="0" w:line="32" w:lineRule="exact"/>
        <w:rPr>
          <w:sz w:val="20"/>
          <w:szCs w:val="20"/>
          <w:color w:val="auto"/>
        </w:rPr>
      </w:pPr>
    </w:p>
    <w:p>
      <w:pPr>
        <w:ind w:left="560" w:right="60"/>
        <w:spacing w:after="0" w:line="248" w:lineRule="auto"/>
        <w:rPr>
          <w:sz w:val="20"/>
          <w:szCs w:val="20"/>
          <w:color w:val="auto"/>
        </w:rPr>
      </w:pPr>
      <w:r>
        <w:rPr>
          <w:rFonts w:ascii="Arial" w:cs="Arial" w:eastAsia="Arial" w:hAnsi="Arial"/>
          <w:sz w:val="15"/>
          <w:szCs w:val="15"/>
          <w:color w:val="auto"/>
        </w:rPr>
        <w:t>Compensation ultimately earned from these opportunities can vary from the targeted levels based on Company, business unit, and individual performance. Various other factors are taken into consideration and in certain circumstances, we may target pay above or below the competitive median. Individual target total direct compensation may be above or below the median depending on Company performance, cost considerations, the role’s scope of responsibilities, individual experience and performance, and any succession, retention, or internal equity considerations. The Company has taken a conservative approach to target long-term incentive opportunities generally below market median for senior officers. This approach supports the Company’s efforts to reduce costs in connection with its investment strategy and its goal to become more profitable.</w:t>
      </w:r>
    </w:p>
    <w:p>
      <w:pPr>
        <w:spacing w:after="0" w:line="34" w:lineRule="exact"/>
        <w:rPr>
          <w:sz w:val="20"/>
          <w:szCs w:val="20"/>
          <w:color w:val="auto"/>
        </w:rPr>
      </w:pPr>
    </w:p>
    <w:p>
      <w:pPr>
        <w:ind w:left="560" w:right="20"/>
        <w:spacing w:after="0" w:line="250" w:lineRule="auto"/>
        <w:rPr>
          <w:sz w:val="20"/>
          <w:szCs w:val="20"/>
          <w:color w:val="auto"/>
        </w:rPr>
      </w:pPr>
      <w:r>
        <w:rPr>
          <w:rFonts w:ascii="Arial" w:cs="Arial" w:eastAsia="Arial" w:hAnsi="Arial"/>
          <w:sz w:val="15"/>
          <w:szCs w:val="15"/>
          <w:color w:val="auto"/>
        </w:rPr>
        <w:t>In setting 2025 target compensation, the Committee performed a competitive executive compensation analysis, which included an analysis of third-party survey data prepared internally by the Company’s executive compensation group, and a peer group review of CEO and CFO pay prepared by the independent compensation consultant. Third-party general industry survey data from Aon, Pearl Meyer, and WTW were used to prepare the survey analysis. Specific companies that participated in the third-party surveys were unknown and not a factor in the Committee’s deliberations. The independent compensation consultant reviewed the survey analysis for the Committee.</w:t>
      </w:r>
    </w:p>
    <w:p>
      <w:pPr>
        <w:spacing w:after="0" w:line="32" w:lineRule="exact"/>
        <w:rPr>
          <w:sz w:val="20"/>
          <w:szCs w:val="20"/>
          <w:color w:val="auto"/>
        </w:rPr>
      </w:pPr>
    </w:p>
    <w:p>
      <w:pPr>
        <w:ind w:left="560" w:right="140"/>
        <w:spacing w:after="0" w:line="245" w:lineRule="auto"/>
        <w:rPr>
          <w:sz w:val="20"/>
          <w:szCs w:val="20"/>
          <w:color w:val="auto"/>
        </w:rPr>
      </w:pPr>
      <w:r>
        <w:rPr>
          <w:rFonts w:ascii="Arial" w:cs="Arial" w:eastAsia="Arial" w:hAnsi="Arial"/>
          <w:sz w:val="15"/>
          <w:szCs w:val="15"/>
          <w:color w:val="auto"/>
        </w:rPr>
        <w:t>The Committee and management were supported by the independent compensation consultant in the second half of 2024 in developing a group of peer companies to be used for market comparison purposes in terms of CEO and CFO pay levels and executive pay practices. We do not believe many companies compete directly with us in all areas of our business or are of similar size. However, in order to have a reference group of publicly traded comparators, the independent compensation consultant identified a group of relevant companies that compare to Kelly in at least some areas of our business. The resulting group of twelve comparator companies consists solely of staffing and HR-focused companies with generally similar annual revenues and recent market cap. The majority are multi-national/ global companies headquartered in U.S. The following group of companies includes direct peers and a balanced mix of some significantly smaller and larger companies in similar industries and was unchanged from last year. The peer group was used by the Committee and management as another reference point when assessing 2025 executive pay practices and CEO and CFO pay levels:</w:t>
      </w: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00AE4F"/>
        </w:rPr>
        <w:t>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47625</wp:posOffset>
            </wp:positionV>
            <wp:extent cx="642683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00AE4F"/>
              </w:rPr>
              <w:t>●</w:t>
            </w:r>
          </w:p>
        </w:tc>
        <w:tc>
          <w:tcPr>
            <w:tcW w:w="2600" w:type="dxa"/>
            <w:vAlign w:val="bottom"/>
          </w:tcPr>
          <w:p>
            <w:pPr>
              <w:ind w:left="60"/>
              <w:spacing w:after="0"/>
              <w:rPr>
                <w:sz w:val="20"/>
                <w:szCs w:val="20"/>
                <w:color w:val="auto"/>
              </w:rPr>
            </w:pPr>
            <w:r>
              <w:rPr>
                <w:rFonts w:ascii="Arial" w:cs="Arial" w:eastAsia="Arial" w:hAnsi="Arial"/>
                <w:sz w:val="15"/>
                <w:szCs w:val="15"/>
                <w:color w:val="auto"/>
              </w:rPr>
              <w:t>Korn Ferry</w:t>
            </w:r>
          </w:p>
        </w:tc>
        <w:tc>
          <w:tcPr>
            <w:tcW w:w="36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Barrett Business Services, Inc.</w:t>
            </w:r>
          </w:p>
        </w:tc>
        <w:tc>
          <w:tcPr>
            <w:tcW w:w="520" w:type="dxa"/>
            <w:vAlign w:val="bottom"/>
          </w:tcPr>
          <w:p>
            <w:pPr>
              <w:ind w:left="400"/>
              <w:spacing w:after="0"/>
              <w:rPr>
                <w:sz w:val="20"/>
                <w:szCs w:val="20"/>
                <w:color w:val="auto"/>
              </w:rPr>
            </w:pPr>
            <w:r>
              <w:rPr>
                <w:rFonts w:ascii="Times New Roman" w:cs="Times New Roman" w:eastAsia="Times New Roman" w:hAnsi="Times New Roman"/>
                <w:sz w:val="12"/>
                <w:szCs w:val="12"/>
                <w:color w:val="00AE4F"/>
              </w:rPr>
              <w:t>●</w:t>
            </w:r>
          </w:p>
        </w:tc>
        <w:tc>
          <w:tcPr>
            <w:tcW w:w="2140" w:type="dxa"/>
            <w:vAlign w:val="bottom"/>
          </w:tcPr>
          <w:p>
            <w:pPr>
              <w:ind w:left="60"/>
              <w:spacing w:after="0"/>
              <w:rPr>
                <w:sz w:val="20"/>
                <w:szCs w:val="20"/>
                <w:color w:val="auto"/>
              </w:rPr>
            </w:pPr>
            <w:r>
              <w:rPr>
                <w:rFonts w:ascii="Arial" w:cs="Arial" w:eastAsia="Arial" w:hAnsi="Arial"/>
                <w:sz w:val="15"/>
                <w:szCs w:val="15"/>
                <w:color w:val="auto"/>
              </w:rPr>
              <w:t>ManpowerGroup Inc.</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00AE4F"/>
              </w:rPr>
              <w:t>●</w:t>
            </w:r>
          </w:p>
        </w:tc>
        <w:tc>
          <w:tcPr>
            <w:tcW w:w="2600" w:type="dxa"/>
            <w:vAlign w:val="bottom"/>
          </w:tcPr>
          <w:p>
            <w:pPr>
              <w:ind w:left="60"/>
              <w:spacing w:after="0"/>
              <w:rPr>
                <w:sz w:val="20"/>
                <w:szCs w:val="20"/>
                <w:color w:val="auto"/>
              </w:rPr>
            </w:pPr>
            <w:r>
              <w:rPr>
                <w:rFonts w:ascii="Arial" w:cs="Arial" w:eastAsia="Arial" w:hAnsi="Arial"/>
                <w:sz w:val="15"/>
                <w:szCs w:val="15"/>
                <w:color w:val="auto"/>
              </w:rPr>
              <w:t>Adecco Group AG</w:t>
            </w:r>
          </w:p>
        </w:tc>
        <w:tc>
          <w:tcPr>
            <w:tcW w:w="36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Heidrick &amp; Struggles International, Inc.</w:t>
            </w:r>
          </w:p>
        </w:tc>
        <w:tc>
          <w:tcPr>
            <w:tcW w:w="520" w:type="dxa"/>
            <w:vAlign w:val="bottom"/>
          </w:tcPr>
          <w:p>
            <w:pPr>
              <w:ind w:left="400"/>
              <w:spacing w:after="0"/>
              <w:rPr>
                <w:sz w:val="20"/>
                <w:szCs w:val="20"/>
                <w:color w:val="auto"/>
              </w:rPr>
            </w:pPr>
            <w:r>
              <w:rPr>
                <w:rFonts w:ascii="Times New Roman" w:cs="Times New Roman" w:eastAsia="Times New Roman" w:hAnsi="Times New Roman"/>
                <w:sz w:val="12"/>
                <w:szCs w:val="12"/>
                <w:color w:val="00AE4F"/>
              </w:rPr>
              <w:t>●</w:t>
            </w:r>
          </w:p>
        </w:tc>
        <w:tc>
          <w:tcPr>
            <w:tcW w:w="2140" w:type="dxa"/>
            <w:vAlign w:val="bottom"/>
          </w:tcPr>
          <w:p>
            <w:pPr>
              <w:ind w:left="60"/>
              <w:spacing w:after="0"/>
              <w:rPr>
                <w:sz w:val="20"/>
                <w:szCs w:val="20"/>
                <w:color w:val="auto"/>
              </w:rPr>
            </w:pPr>
            <w:r>
              <w:rPr>
                <w:rFonts w:ascii="Arial" w:cs="Arial" w:eastAsia="Arial" w:hAnsi="Arial"/>
                <w:sz w:val="15"/>
                <w:szCs w:val="15"/>
                <w:color w:val="auto"/>
              </w:rPr>
              <w:t>Randstad NV</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AMN Healthcare Services, Inc.</w:t>
            </w:r>
          </w:p>
        </w:tc>
        <w:tc>
          <w:tcPr>
            <w:tcW w:w="660" w:type="dxa"/>
            <w:vAlign w:val="bottom"/>
          </w:tcPr>
          <w:p>
            <w:pPr>
              <w:ind w:left="520"/>
              <w:spacing w:after="0"/>
              <w:rPr>
                <w:sz w:val="20"/>
                <w:szCs w:val="20"/>
                <w:color w:val="auto"/>
              </w:rPr>
            </w:pPr>
            <w:r>
              <w:rPr>
                <w:rFonts w:ascii="Times New Roman" w:cs="Times New Roman" w:eastAsia="Times New Roman" w:hAnsi="Times New Roman"/>
                <w:sz w:val="12"/>
                <w:szCs w:val="12"/>
                <w:color w:val="00AE4F"/>
              </w:rPr>
              <w:t>●</w:t>
            </w:r>
          </w:p>
        </w:tc>
        <w:tc>
          <w:tcPr>
            <w:tcW w:w="3000" w:type="dxa"/>
            <w:vAlign w:val="bottom"/>
          </w:tcPr>
          <w:p>
            <w:pPr>
              <w:ind w:left="60"/>
              <w:spacing w:after="0"/>
              <w:rPr>
                <w:sz w:val="20"/>
                <w:szCs w:val="20"/>
                <w:color w:val="auto"/>
              </w:rPr>
            </w:pPr>
            <w:r>
              <w:rPr>
                <w:rFonts w:ascii="Arial" w:cs="Arial" w:eastAsia="Arial" w:hAnsi="Arial"/>
                <w:sz w:val="15"/>
                <w:szCs w:val="15"/>
                <w:color w:val="auto"/>
              </w:rPr>
              <w:t>Insperity, Inc.</w:t>
            </w:r>
          </w:p>
        </w:tc>
        <w:tc>
          <w:tcPr>
            <w:tcW w:w="26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00AE4F"/>
              </w:rPr>
              <w:t xml:space="preserve">●  </w:t>
            </w:r>
            <w:r>
              <w:rPr>
                <w:rFonts w:ascii="Arial" w:cs="Arial" w:eastAsia="Arial" w:hAnsi="Arial"/>
                <w:sz w:val="14"/>
                <w:szCs w:val="14"/>
                <w:color w:val="000000"/>
              </w:rPr>
              <w:t>Robert Half International Inc.</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20" w:type="dxa"/>
            <w:vAlign w:val="bottom"/>
            <w:tcBorders>
              <w:bottom w:val="single" w:sz="8" w:color="7F7F7F"/>
            </w:tcBorders>
          </w:tcPr>
          <w:p>
            <w:pPr>
              <w:ind w:left="200"/>
              <w:spacing w:after="0"/>
              <w:rPr>
                <w:sz w:val="20"/>
                <w:szCs w:val="20"/>
                <w:color w:val="auto"/>
              </w:rPr>
            </w:pPr>
            <w:r>
              <w:rPr>
                <w:rFonts w:ascii="Times New Roman" w:cs="Times New Roman" w:eastAsia="Times New Roman" w:hAnsi="Times New Roman"/>
                <w:sz w:val="12"/>
                <w:szCs w:val="12"/>
                <w:color w:val="00AE4F"/>
              </w:rPr>
              <w:t>●</w:t>
            </w:r>
          </w:p>
        </w:tc>
        <w:tc>
          <w:tcPr>
            <w:tcW w:w="26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ASGN Inc.</w:t>
            </w:r>
          </w:p>
        </w:tc>
        <w:tc>
          <w:tcPr>
            <w:tcW w:w="660" w:type="dxa"/>
            <w:vAlign w:val="bottom"/>
            <w:tcBorders>
              <w:bottom w:val="single" w:sz="8" w:color="7F7F7F"/>
            </w:tcBorders>
          </w:tcPr>
          <w:p>
            <w:pPr>
              <w:ind w:left="520"/>
              <w:spacing w:after="0"/>
              <w:rPr>
                <w:sz w:val="20"/>
                <w:szCs w:val="20"/>
                <w:color w:val="auto"/>
              </w:rPr>
            </w:pPr>
            <w:r>
              <w:rPr>
                <w:rFonts w:ascii="Times New Roman" w:cs="Times New Roman" w:eastAsia="Times New Roman" w:hAnsi="Times New Roman"/>
                <w:sz w:val="12"/>
                <w:szCs w:val="12"/>
                <w:color w:val="00AE4F"/>
              </w:rPr>
              <w:t>●</w:t>
            </w:r>
          </w:p>
        </w:tc>
        <w:tc>
          <w:tcPr>
            <w:tcW w:w="30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Kforce Inc.</w:t>
            </w:r>
          </w:p>
        </w:tc>
        <w:tc>
          <w:tcPr>
            <w:tcW w:w="520" w:type="dxa"/>
            <w:vAlign w:val="bottom"/>
            <w:tcBorders>
              <w:bottom w:val="single" w:sz="8" w:color="7F7F7F"/>
            </w:tcBorders>
          </w:tcPr>
          <w:p>
            <w:pPr>
              <w:ind w:left="400"/>
              <w:spacing w:after="0"/>
              <w:rPr>
                <w:sz w:val="20"/>
                <w:szCs w:val="20"/>
                <w:color w:val="auto"/>
              </w:rPr>
            </w:pPr>
            <w:r>
              <w:rPr>
                <w:rFonts w:ascii="Times New Roman" w:cs="Times New Roman" w:eastAsia="Times New Roman" w:hAnsi="Times New Roman"/>
                <w:sz w:val="12"/>
                <w:szCs w:val="12"/>
                <w:color w:val="00AE4F"/>
              </w:rPr>
              <w:t>●</w:t>
            </w:r>
          </w:p>
        </w:tc>
        <w:tc>
          <w:tcPr>
            <w:tcW w:w="214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TrueBlue, Inc.</w:t>
            </w:r>
          </w:p>
        </w:tc>
        <w:tc>
          <w:tcPr>
            <w:tcW w:w="42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tcPr>
          <w:p>
            <w:pPr>
              <w:spacing w:after="0"/>
              <w:rPr>
                <w:sz w:val="24"/>
                <w:szCs w:val="24"/>
                <w:color w:val="auto"/>
              </w:rPr>
            </w:pPr>
          </w:p>
        </w:tc>
        <w:tc>
          <w:tcPr>
            <w:tcW w:w="4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vMerge w:val="restart"/>
          </w:tcPr>
          <w:p>
            <w:pPr>
              <w:ind w:left="1460"/>
              <w:spacing w:after="0"/>
              <w:rPr>
                <w:sz w:val="20"/>
                <w:szCs w:val="20"/>
                <w:color w:val="auto"/>
              </w:rPr>
            </w:pPr>
            <w:r>
              <w:rPr>
                <w:rFonts w:ascii="Arial" w:cs="Arial" w:eastAsia="Arial" w:hAnsi="Arial"/>
                <w:sz w:val="20"/>
                <w:szCs w:val="20"/>
                <w:color w:val="auto"/>
              </w:rPr>
              <w:t> </w:t>
            </w:r>
          </w:p>
        </w:tc>
        <w:tc>
          <w:tcPr>
            <w:tcW w:w="420" w:type="dxa"/>
            <w:vAlign w:val="bottom"/>
            <w:vMerge w:val="restart"/>
          </w:tcPr>
          <w:p>
            <w:pPr>
              <w:ind w:left="16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80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right="100"/>
        <w:spacing w:after="0" w:line="252" w:lineRule="auto"/>
        <w:rPr>
          <w:sz w:val="20"/>
          <w:szCs w:val="20"/>
          <w:color w:val="auto"/>
        </w:rPr>
      </w:pPr>
      <w:r>
        <w:rPr>
          <w:rFonts w:ascii="Arial" w:cs="Arial" w:eastAsia="Arial" w:hAnsi="Arial"/>
          <w:sz w:val="15"/>
          <w:szCs w:val="15"/>
          <w:color w:val="auto"/>
        </w:rPr>
        <w:t>The Committee considers peer group and general industry survey data as a point of reference, not the sole factor in determining senior officers’ compensation. The third-party survey data and peer group analysis represent “Market Data” when referenced throughout this Compensation Discussion and Analysis. The Committee considers all resources provided as part of a holistic process that also includes officer performance and the recommendations of the Company’s CEO regarding total compensation for senior officers.</w:t>
      </w:r>
    </w:p>
    <w:p>
      <w:pPr>
        <w:spacing w:after="0" w:line="32" w:lineRule="exact"/>
        <w:rPr>
          <w:sz w:val="20"/>
          <w:szCs w:val="20"/>
          <w:color w:val="auto"/>
        </w:rPr>
      </w:pPr>
    </w:p>
    <w:p>
      <w:pPr>
        <w:ind w:left="560" w:right="140"/>
        <w:spacing w:after="0" w:line="258" w:lineRule="auto"/>
        <w:rPr>
          <w:sz w:val="20"/>
          <w:szCs w:val="20"/>
          <w:color w:val="auto"/>
        </w:rPr>
      </w:pPr>
      <w:r>
        <w:rPr>
          <w:rFonts w:ascii="Arial" w:cs="Arial" w:eastAsia="Arial" w:hAnsi="Arial"/>
          <w:sz w:val="15"/>
          <w:szCs w:val="15"/>
          <w:color w:val="auto"/>
        </w:rPr>
        <w:t>In addition to Market Data and for use as background information, management provides the Committee with comprehensive detail illustrating historical target and actual total compensation data and long-term incentive grant detail that includes grant date fair value as well as the intrinsic value of outstanding award opportunities.</w:t>
      </w:r>
    </w:p>
    <w:p>
      <w:pPr>
        <w:spacing w:after="0" w:line="27" w:lineRule="exact"/>
        <w:rPr>
          <w:sz w:val="20"/>
          <w:szCs w:val="20"/>
          <w:color w:val="auto"/>
        </w:rPr>
      </w:pPr>
    </w:p>
    <w:p>
      <w:pPr>
        <w:ind w:left="560" w:right="240"/>
        <w:spacing w:after="0" w:line="275" w:lineRule="auto"/>
        <w:rPr>
          <w:sz w:val="20"/>
          <w:szCs w:val="20"/>
          <w:color w:val="auto"/>
        </w:rPr>
      </w:pPr>
      <w:r>
        <w:rPr>
          <w:rFonts w:ascii="Arial" w:cs="Arial" w:eastAsia="Arial" w:hAnsi="Arial"/>
          <w:sz w:val="15"/>
          <w:szCs w:val="15"/>
          <w:color w:val="auto"/>
        </w:rPr>
        <w:t>The Committee reviews this detail for the senior officers and believes it is useful multi-year reference information, along with other perspectives, when making compensation decisions to reflect the Company’s executive compensation philosophy and performance.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Senior Officer Performance Reviews and Succession Planning</w:t>
      </w:r>
    </w:p>
    <w:p>
      <w:pPr>
        <w:spacing w:after="0" w:line="68" w:lineRule="exact"/>
        <w:rPr>
          <w:sz w:val="20"/>
          <w:szCs w:val="20"/>
          <w:color w:val="auto"/>
        </w:rPr>
      </w:pPr>
    </w:p>
    <w:p>
      <w:pPr>
        <w:ind w:left="560" w:right="460"/>
        <w:spacing w:after="0" w:line="275" w:lineRule="auto"/>
        <w:rPr>
          <w:sz w:val="20"/>
          <w:szCs w:val="20"/>
          <w:color w:val="auto"/>
        </w:rPr>
      </w:pPr>
      <w:r>
        <w:rPr>
          <w:rFonts w:ascii="Arial" w:cs="Arial" w:eastAsia="Arial" w:hAnsi="Arial"/>
          <w:sz w:val="15"/>
          <w:szCs w:val="15"/>
          <w:color w:val="auto"/>
        </w:rPr>
        <w:t>Annually, the Committee conducts a comprehensive review of performance, leadership development initiatives, and succession planning for senior officers. Combined, these processes are used to identify, develop, and evaluate the Company’s senior officers.</w:t>
      </w:r>
    </w:p>
    <w:p>
      <w:pPr>
        <w:spacing w:after="0" w:line="51" w:lineRule="exact"/>
        <w:rPr>
          <w:sz w:val="20"/>
          <w:szCs w:val="20"/>
          <w:color w:val="auto"/>
        </w:rPr>
      </w:pPr>
    </w:p>
    <w:p>
      <w:pPr>
        <w:ind w:left="560" w:right="140"/>
        <w:spacing w:after="0" w:line="252" w:lineRule="auto"/>
        <w:rPr>
          <w:sz w:val="20"/>
          <w:szCs w:val="20"/>
          <w:color w:val="auto"/>
        </w:rPr>
      </w:pPr>
      <w:r>
        <w:rPr>
          <w:rFonts w:ascii="Arial" w:cs="Arial" w:eastAsia="Arial" w:hAnsi="Arial"/>
          <w:sz w:val="15"/>
          <w:szCs w:val="15"/>
          <w:color w:val="auto"/>
        </w:rPr>
        <w:t>The Chief People Officer, with input from the CEO, prepares detailed executive performance review information for each of the senior officers, including named executive officers (other than the CEO). The performance review information for each of the senior officers includes key annual initiatives, performance results, and development opportunities. The CEO reviews the performance of the other senior officers and presents their individual performance assessments, development plans, and succession strategies to the Committee.</w:t>
      </w:r>
    </w:p>
    <w:p>
      <w:pPr>
        <w:spacing w:after="0" w:line="32" w:lineRule="exact"/>
        <w:rPr>
          <w:sz w:val="20"/>
          <w:szCs w:val="20"/>
          <w:color w:val="auto"/>
        </w:rPr>
      </w:pPr>
    </w:p>
    <w:p>
      <w:pPr>
        <w:ind w:left="560"/>
        <w:spacing w:after="0" w:line="252" w:lineRule="auto"/>
        <w:rPr>
          <w:sz w:val="20"/>
          <w:szCs w:val="20"/>
          <w:color w:val="auto"/>
        </w:rPr>
      </w:pPr>
      <w:r>
        <w:rPr>
          <w:rFonts w:ascii="Arial" w:cs="Arial" w:eastAsia="Arial" w:hAnsi="Arial"/>
          <w:sz w:val="15"/>
          <w:szCs w:val="15"/>
          <w:color w:val="auto"/>
        </w:rPr>
        <w:t>During the individual performance assessments, the Committee asks questions, renders advice, and makes recommendations on matters that include individual development needs, succession planning, and retention. Senior officers are not present during the discussion of their performance by the Committee. The Committee uses each executive’s individual performance assessment, the compensation analysis discussed in the previous section, and the recommendations of the CEO, to determine compensation for the senior officers.</w:t>
      </w:r>
    </w:p>
    <w:p>
      <w:pPr>
        <w:spacing w:after="0" w:line="32" w:lineRule="exact"/>
        <w:rPr>
          <w:sz w:val="20"/>
          <w:szCs w:val="20"/>
          <w:color w:val="auto"/>
        </w:rPr>
      </w:pPr>
    </w:p>
    <w:p>
      <w:pPr>
        <w:ind w:left="560" w:right="200"/>
        <w:spacing w:after="0" w:line="275" w:lineRule="auto"/>
        <w:rPr>
          <w:sz w:val="20"/>
          <w:szCs w:val="20"/>
          <w:color w:val="auto"/>
        </w:rPr>
      </w:pPr>
      <w:r>
        <w:rPr>
          <w:rFonts w:ascii="Arial" w:cs="Arial" w:eastAsia="Arial" w:hAnsi="Arial"/>
          <w:sz w:val="15"/>
          <w:szCs w:val="15"/>
          <w:color w:val="auto"/>
        </w:rPr>
        <w:t>As our CEO joined Kelly in September 2025, at the November meeting, he presented the progress of his onboarding plan and the Committee provided feedback.</w:t>
      </w:r>
    </w:p>
    <w:p>
      <w:pPr>
        <w:spacing w:after="0" w:line="26" w:lineRule="exact"/>
        <w:rPr>
          <w:sz w:val="20"/>
          <w:szCs w:val="20"/>
          <w:color w:val="auto"/>
        </w:rPr>
      </w:pPr>
    </w:p>
    <w:p>
      <w:pPr>
        <w:ind w:left="560" w:right="80"/>
        <w:spacing w:after="0" w:line="258" w:lineRule="auto"/>
        <w:rPr>
          <w:sz w:val="20"/>
          <w:szCs w:val="20"/>
          <w:color w:val="auto"/>
        </w:rPr>
      </w:pPr>
      <w:r>
        <w:rPr>
          <w:rFonts w:ascii="Arial" w:cs="Arial" w:eastAsia="Arial" w:hAnsi="Arial"/>
          <w:sz w:val="15"/>
          <w:szCs w:val="15"/>
          <w:color w:val="auto"/>
        </w:rPr>
        <w:t>Periodic sessions are held to discuss talent and development for multiple levels of the organization, increasing transparency and understanding of talent across leadership teams and business units. Development plans are crafted to prepare emerging talent for future opportunities, including stretch assignments, formal training, experiential learning opportunities and formal coaching.</w:t>
      </w:r>
    </w:p>
    <w:p>
      <w:pPr>
        <w:spacing w:after="0" w:line="27" w:lineRule="exact"/>
        <w:rPr>
          <w:sz w:val="20"/>
          <w:szCs w:val="20"/>
          <w:color w:val="auto"/>
        </w:rPr>
      </w:pPr>
    </w:p>
    <w:p>
      <w:pPr>
        <w:ind w:left="560" w:right="180"/>
        <w:spacing w:after="0" w:line="252" w:lineRule="auto"/>
        <w:rPr>
          <w:sz w:val="20"/>
          <w:szCs w:val="20"/>
          <w:color w:val="auto"/>
        </w:rPr>
      </w:pPr>
      <w:r>
        <w:rPr>
          <w:rFonts w:ascii="Arial" w:cs="Arial" w:eastAsia="Arial" w:hAnsi="Arial"/>
          <w:sz w:val="15"/>
          <w:szCs w:val="15"/>
          <w:color w:val="auto"/>
        </w:rPr>
        <w:t>The Board approves the Company’s executive succession plan annually, including updates, and in connection with the performance assessments. The plan includes all executives at the senior officer level, as well as their potential successors from within the Company in the event of an emergency or departure of a senior officer. Documentation includes detailed executive performance review information as discussed above, readiness assessments, and a review of the health and unique attributes of succession pipelines.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Compensation Programs: Decisions and Actions in 2025</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Base Salary</w:t>
      </w:r>
    </w:p>
    <w:p>
      <w:pPr>
        <w:spacing w:after="0" w:line="55" w:lineRule="exact"/>
        <w:rPr>
          <w:sz w:val="20"/>
          <w:szCs w:val="20"/>
          <w:color w:val="auto"/>
        </w:rPr>
      </w:pPr>
    </w:p>
    <w:p>
      <w:pPr>
        <w:ind w:left="560" w:right="200"/>
        <w:spacing w:after="0" w:line="258" w:lineRule="auto"/>
        <w:rPr>
          <w:sz w:val="20"/>
          <w:szCs w:val="20"/>
          <w:color w:val="auto"/>
        </w:rPr>
      </w:pPr>
      <w:r>
        <w:rPr>
          <w:rFonts w:ascii="Arial" w:cs="Arial" w:eastAsia="Arial" w:hAnsi="Arial"/>
          <w:sz w:val="15"/>
          <w:szCs w:val="15"/>
          <w:color w:val="auto"/>
        </w:rPr>
        <w:t>We set base salaries for named executive officers within a competitive range of market median to attract and retain talent. Based on November 2025 Market Data, our named executive officers’ base salaries were, on average, within this competitive range. Base salary is one component of target total direct compensation and may be adjusted to achieve overall compensation objectives.</w:t>
      </w:r>
    </w:p>
    <w:p>
      <w:pPr>
        <w:spacing w:after="0" w:line="39" w:lineRule="exact"/>
        <w:rPr>
          <w:sz w:val="20"/>
          <w:szCs w:val="20"/>
          <w:color w:val="auto"/>
        </w:rPr>
      </w:pPr>
    </w:p>
    <w:p>
      <w:pPr>
        <w:ind w:left="560" w:right="520"/>
        <w:spacing w:after="0" w:line="275" w:lineRule="auto"/>
        <w:rPr>
          <w:sz w:val="20"/>
          <w:szCs w:val="20"/>
          <w:color w:val="auto"/>
        </w:rPr>
      </w:pPr>
      <w:r>
        <w:rPr>
          <w:rFonts w:ascii="Arial" w:cs="Arial" w:eastAsia="Arial" w:hAnsi="Arial"/>
          <w:sz w:val="15"/>
          <w:szCs w:val="15"/>
          <w:color w:val="auto"/>
        </w:rPr>
        <w:t>The Committee reviews the base salaries annually (or when duties change) considering role scope and responsibilities, individual experience and performance, Market Data positioning, internal pay equity, CEO recommendations, and the Company’s salary adjustment budget.</w:t>
      </w:r>
    </w:p>
    <w:p>
      <w:pPr>
        <w:spacing w:after="0" w:line="14" w:lineRule="exact"/>
        <w:rPr>
          <w:sz w:val="20"/>
          <w:szCs w:val="20"/>
          <w:color w:val="auto"/>
        </w:rPr>
      </w:pPr>
    </w:p>
    <w:p>
      <w:pPr>
        <w:ind w:left="560" w:right="40"/>
        <w:spacing w:after="0" w:line="258" w:lineRule="auto"/>
        <w:rPr>
          <w:sz w:val="20"/>
          <w:szCs w:val="20"/>
          <w:color w:val="auto"/>
        </w:rPr>
      </w:pPr>
      <w:r>
        <w:rPr>
          <w:rFonts w:ascii="Arial" w:cs="Arial" w:eastAsia="Arial" w:hAnsi="Arial"/>
          <w:sz w:val="15"/>
          <w:szCs w:val="15"/>
          <w:color w:val="auto"/>
        </w:rPr>
        <w:t>Annual total compensation reviews for all employees, including the named executive officers, typically occur in the first quarter of the year. The Company performed a compensation review which resulted in three named executive officers receiving a base salary increase, to better align with market and overall scope of their roles, for 2025.</w:t>
      </w:r>
    </w:p>
    <w:p>
      <w:pPr>
        <w:spacing w:after="0" w:line="3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54 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40"/>
          </w:cols>
          <w:pgMar w:left="320" w:top="454"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consideration of the factors noted above the following base salaries for the named executive officers were approved by the Committee in 2025:</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440" w:type="dxa"/>
            <w:vAlign w:val="bottom"/>
          </w:tcPr>
          <w:p>
            <w:pPr>
              <w:jc w:val="center"/>
              <w:ind w:left="2388"/>
              <w:spacing w:after="0"/>
              <w:rPr>
                <w:sz w:val="20"/>
                <w:szCs w:val="20"/>
                <w:color w:val="auto"/>
              </w:rPr>
            </w:pPr>
            <w:r>
              <w:rPr>
                <w:rFonts w:ascii="Arial" w:cs="Arial" w:eastAsia="Arial" w:hAnsi="Arial"/>
                <w:sz w:val="13"/>
                <w:szCs w:val="13"/>
                <w:b w:val="1"/>
                <w:bCs w:val="1"/>
                <w:color w:val="00AE4F"/>
              </w:rPr>
              <w:t>2024 Base</w:t>
            </w:r>
          </w:p>
        </w:tc>
        <w:tc>
          <w:tcPr>
            <w:tcW w:w="1160" w:type="dxa"/>
            <w:vAlign w:val="bottom"/>
            <w:gridSpan w:val="2"/>
          </w:tcPr>
          <w:p>
            <w:pPr>
              <w:jc w:val="right"/>
              <w:ind w:right="227"/>
              <w:spacing w:after="0"/>
              <w:rPr>
                <w:sz w:val="20"/>
                <w:szCs w:val="20"/>
                <w:color w:val="auto"/>
              </w:rPr>
            </w:pPr>
            <w:r>
              <w:rPr>
                <w:rFonts w:ascii="Arial" w:cs="Arial" w:eastAsia="Arial" w:hAnsi="Arial"/>
                <w:sz w:val="13"/>
                <w:szCs w:val="13"/>
                <w:b w:val="1"/>
                <w:bCs w:val="1"/>
                <w:color w:val="00AE4F"/>
              </w:rPr>
              <w:t>2025 Base</w:t>
            </w:r>
          </w:p>
        </w:tc>
        <w:tc>
          <w:tcPr>
            <w:tcW w:w="1240" w:type="dxa"/>
            <w:vAlign w:val="bottom"/>
          </w:tcPr>
          <w:p>
            <w:pPr>
              <w:spacing w:after="0"/>
              <w:rPr>
                <w:sz w:val="13"/>
                <w:szCs w:val="13"/>
                <w:color w:val="auto"/>
              </w:rPr>
            </w:pPr>
          </w:p>
        </w:tc>
      </w:tr>
      <w:tr>
        <w:trPr>
          <w:trHeight w:val="180"/>
        </w:trPr>
        <w:tc>
          <w:tcPr>
            <w:tcW w:w="43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00AE4F"/>
              </w:rPr>
              <w:t>  Named Executive Officer</w:t>
            </w:r>
          </w:p>
        </w:tc>
        <w:tc>
          <w:tcPr>
            <w:tcW w:w="3440" w:type="dxa"/>
            <w:vAlign w:val="bottom"/>
            <w:tcBorders>
              <w:bottom w:val="single" w:sz="8" w:color="auto"/>
            </w:tcBorders>
          </w:tcPr>
          <w:p>
            <w:pPr>
              <w:jc w:val="center"/>
              <w:ind w:left="2368"/>
              <w:spacing w:after="0"/>
              <w:rPr>
                <w:sz w:val="20"/>
                <w:szCs w:val="20"/>
                <w:color w:val="auto"/>
              </w:rPr>
            </w:pPr>
            <w:r>
              <w:rPr>
                <w:rFonts w:ascii="Arial" w:cs="Arial" w:eastAsia="Arial" w:hAnsi="Arial"/>
                <w:sz w:val="13"/>
                <w:szCs w:val="13"/>
                <w:b w:val="1"/>
                <w:bCs w:val="1"/>
                <w:color w:val="00AE4F"/>
              </w:rPr>
              <w:t>Salary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00AE4F"/>
              </w:rPr>
              <w:t>Salary</w:t>
            </w:r>
          </w:p>
        </w:tc>
        <w:tc>
          <w:tcPr>
            <w:tcW w:w="124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00AE4F"/>
              </w:rPr>
              <w:t>Adjustment%</w:t>
            </w:r>
          </w:p>
        </w:tc>
      </w:tr>
      <w:tr>
        <w:trPr>
          <w:trHeight w:val="225"/>
        </w:trPr>
        <w:tc>
          <w:tcPr>
            <w:tcW w:w="60" w:type="dxa"/>
            <w:vAlign w:val="bottom"/>
            <w:tcBorders>
              <w:bottom w:val="single" w:sz="8" w:color="7F7F7F"/>
            </w:tcBorders>
          </w:tcPr>
          <w:p>
            <w:pPr>
              <w:spacing w:after="0"/>
              <w:rPr>
                <w:sz w:val="19"/>
                <w:szCs w:val="19"/>
                <w:color w:val="auto"/>
              </w:rPr>
            </w:pPr>
          </w:p>
        </w:tc>
        <w:tc>
          <w:tcPr>
            <w:tcW w:w="4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Christopher D. Layden</w:t>
            </w:r>
          </w:p>
        </w:tc>
        <w:tc>
          <w:tcPr>
            <w:tcW w:w="3440" w:type="dxa"/>
            <w:vAlign w:val="bottom"/>
            <w:tcBorders>
              <w:bottom w:val="single" w:sz="8" w:color="7F7F7F"/>
            </w:tcBorders>
          </w:tcPr>
          <w:p>
            <w:pPr>
              <w:ind w:left="3060"/>
              <w:spacing w:after="0"/>
              <w:rPr>
                <w:sz w:val="20"/>
                <w:szCs w:val="20"/>
                <w:color w:val="auto"/>
              </w:rPr>
            </w:pPr>
            <w:r>
              <w:rPr>
                <w:rFonts w:ascii="Arial" w:cs="Arial" w:eastAsia="Arial" w:hAnsi="Arial"/>
                <w:sz w:val="15"/>
                <w:szCs w:val="15"/>
                <w:color w:val="auto"/>
              </w:rPr>
              <w:t>— 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w w:val="98"/>
              </w:rPr>
              <w:t>1,000,000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0.0%</w:t>
            </w:r>
          </w:p>
        </w:tc>
      </w:tr>
      <w:tr>
        <w:trPr>
          <w:trHeight w:val="228"/>
        </w:trPr>
        <w:tc>
          <w:tcPr>
            <w:tcW w:w="60" w:type="dxa"/>
            <w:vAlign w:val="bottom"/>
            <w:tcBorders>
              <w:bottom w:val="single" w:sz="8" w:color="7F7F7F"/>
            </w:tcBorders>
          </w:tcPr>
          <w:p>
            <w:pPr>
              <w:spacing w:after="0"/>
              <w:rPr>
                <w:sz w:val="19"/>
                <w:szCs w:val="19"/>
                <w:color w:val="auto"/>
              </w:rPr>
            </w:pPr>
          </w:p>
        </w:tc>
        <w:tc>
          <w:tcPr>
            <w:tcW w:w="4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Troy R. Anderson</w:t>
            </w:r>
          </w:p>
        </w:tc>
        <w:tc>
          <w:tcPr>
            <w:tcW w:w="3440" w:type="dxa"/>
            <w:vAlign w:val="bottom"/>
            <w:tcBorders>
              <w:bottom w:val="single" w:sz="8" w:color="7F7F7F"/>
            </w:tcBorders>
          </w:tcPr>
          <w:p>
            <w:pPr>
              <w:jc w:val="center"/>
              <w:ind w:left="2408"/>
              <w:spacing w:after="0"/>
              <w:rPr>
                <w:sz w:val="20"/>
                <w:szCs w:val="20"/>
                <w:color w:val="auto"/>
              </w:rPr>
            </w:pPr>
            <w:r>
              <w:rPr>
                <w:rFonts w:ascii="Arial" w:cs="Arial" w:eastAsia="Arial" w:hAnsi="Arial"/>
                <w:sz w:val="15"/>
                <w:szCs w:val="15"/>
                <w:color w:val="auto"/>
              </w:rPr>
              <w:t>$650,000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rPr>
              <w:t>650,000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0.0%</w:t>
            </w:r>
          </w:p>
        </w:tc>
      </w:tr>
      <w:tr>
        <w:trPr>
          <w:trHeight w:val="228"/>
        </w:trPr>
        <w:tc>
          <w:tcPr>
            <w:tcW w:w="60" w:type="dxa"/>
            <w:vAlign w:val="bottom"/>
            <w:tcBorders>
              <w:bottom w:val="single" w:sz="8" w:color="7F7F7F"/>
            </w:tcBorders>
          </w:tcPr>
          <w:p>
            <w:pPr>
              <w:spacing w:after="0"/>
              <w:rPr>
                <w:sz w:val="19"/>
                <w:szCs w:val="19"/>
                <w:color w:val="auto"/>
              </w:rPr>
            </w:pPr>
          </w:p>
        </w:tc>
        <w:tc>
          <w:tcPr>
            <w:tcW w:w="4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3440" w:type="dxa"/>
            <w:vAlign w:val="bottom"/>
            <w:tcBorders>
              <w:bottom w:val="single" w:sz="8" w:color="7F7F7F"/>
            </w:tcBorders>
          </w:tcPr>
          <w:p>
            <w:pPr>
              <w:jc w:val="center"/>
              <w:ind w:left="2408"/>
              <w:spacing w:after="0"/>
              <w:rPr>
                <w:sz w:val="20"/>
                <w:szCs w:val="20"/>
                <w:color w:val="auto"/>
              </w:rPr>
            </w:pPr>
            <w:r>
              <w:rPr>
                <w:rFonts w:ascii="Arial" w:cs="Arial" w:eastAsia="Arial" w:hAnsi="Arial"/>
                <w:sz w:val="15"/>
                <w:szCs w:val="15"/>
                <w:color w:val="auto"/>
              </w:rPr>
              <w:t>$421,000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rPr>
              <w:t>463,000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10.0%</w:t>
            </w:r>
          </w:p>
        </w:tc>
      </w:tr>
      <w:tr>
        <w:trPr>
          <w:trHeight w:val="228"/>
        </w:trPr>
        <w:tc>
          <w:tcPr>
            <w:tcW w:w="60" w:type="dxa"/>
            <w:vAlign w:val="bottom"/>
            <w:tcBorders>
              <w:bottom w:val="single" w:sz="8" w:color="7F7F7F"/>
            </w:tcBorders>
          </w:tcPr>
          <w:p>
            <w:pPr>
              <w:spacing w:after="0"/>
              <w:rPr>
                <w:sz w:val="19"/>
                <w:szCs w:val="19"/>
                <w:color w:val="auto"/>
              </w:rPr>
            </w:pPr>
          </w:p>
        </w:tc>
        <w:tc>
          <w:tcPr>
            <w:tcW w:w="4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3440" w:type="dxa"/>
            <w:vAlign w:val="bottom"/>
            <w:tcBorders>
              <w:bottom w:val="single" w:sz="8" w:color="7F7F7F"/>
            </w:tcBorders>
          </w:tcPr>
          <w:p>
            <w:pPr>
              <w:jc w:val="center"/>
              <w:ind w:left="2408"/>
              <w:spacing w:after="0"/>
              <w:rPr>
                <w:sz w:val="20"/>
                <w:szCs w:val="20"/>
                <w:color w:val="auto"/>
              </w:rPr>
            </w:pPr>
            <w:r>
              <w:rPr>
                <w:rFonts w:ascii="Arial" w:cs="Arial" w:eastAsia="Arial" w:hAnsi="Arial"/>
                <w:sz w:val="15"/>
                <w:szCs w:val="15"/>
                <w:color w:val="auto"/>
              </w:rPr>
              <w:t>$500,000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rPr>
              <w:t>525,000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5.0%</w:t>
            </w:r>
          </w:p>
        </w:tc>
      </w:tr>
      <w:tr>
        <w:trPr>
          <w:trHeight w:val="228"/>
        </w:trPr>
        <w:tc>
          <w:tcPr>
            <w:tcW w:w="60" w:type="dxa"/>
            <w:vAlign w:val="bottom"/>
            <w:tcBorders>
              <w:bottom w:val="single" w:sz="8" w:color="7F7F7F"/>
            </w:tcBorders>
          </w:tcPr>
          <w:p>
            <w:pPr>
              <w:spacing w:after="0"/>
              <w:rPr>
                <w:sz w:val="19"/>
                <w:szCs w:val="19"/>
                <w:color w:val="auto"/>
              </w:rPr>
            </w:pPr>
          </w:p>
        </w:tc>
        <w:tc>
          <w:tcPr>
            <w:tcW w:w="4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3440" w:type="dxa"/>
            <w:vAlign w:val="bottom"/>
            <w:tcBorders>
              <w:bottom w:val="single" w:sz="8" w:color="7F7F7F"/>
            </w:tcBorders>
          </w:tcPr>
          <w:p>
            <w:pPr>
              <w:jc w:val="center"/>
              <w:ind w:left="2408"/>
              <w:spacing w:after="0"/>
              <w:rPr>
                <w:sz w:val="20"/>
                <w:szCs w:val="20"/>
                <w:color w:val="auto"/>
              </w:rPr>
            </w:pPr>
            <w:r>
              <w:rPr>
                <w:rFonts w:ascii="Arial" w:cs="Arial" w:eastAsia="Arial" w:hAnsi="Arial"/>
                <w:sz w:val="15"/>
                <w:szCs w:val="15"/>
                <w:color w:val="auto"/>
              </w:rPr>
              <w:t>$410,000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rPr>
              <w:t>422,000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2.9%</w:t>
            </w:r>
          </w:p>
        </w:tc>
      </w:tr>
      <w:tr>
        <w:trPr>
          <w:trHeight w:val="182"/>
        </w:trPr>
        <w:tc>
          <w:tcPr>
            <w:tcW w:w="6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Former Executives</w:t>
            </w:r>
          </w:p>
        </w:tc>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74"/>
        </w:trPr>
        <w:tc>
          <w:tcPr>
            <w:tcW w:w="60" w:type="dxa"/>
            <w:vAlign w:val="bottom"/>
            <w:tcBorders>
              <w:bottom w:val="single" w:sz="8" w:color="7F7F7F"/>
            </w:tcBorders>
          </w:tcPr>
          <w:p>
            <w:pPr>
              <w:spacing w:after="0"/>
              <w:rPr>
                <w:sz w:val="23"/>
                <w:szCs w:val="23"/>
                <w:color w:val="auto"/>
              </w:rPr>
            </w:pPr>
          </w:p>
        </w:tc>
        <w:tc>
          <w:tcPr>
            <w:tcW w:w="1340" w:type="dxa"/>
            <w:vAlign w:val="bottom"/>
            <w:tcBorders>
              <w:top w:val="single" w:sz="8" w:color="auto"/>
              <w:bottom w:val="single" w:sz="8" w:color="7F7F7F"/>
            </w:tcBorders>
          </w:tcPr>
          <w:p>
            <w:pPr>
              <w:spacing w:after="0"/>
              <w:rPr>
                <w:sz w:val="20"/>
                <w:szCs w:val="20"/>
                <w:color w:val="auto"/>
              </w:rPr>
            </w:pPr>
            <w:r>
              <w:rPr>
                <w:rFonts w:ascii="Arial" w:cs="Arial" w:eastAsia="Arial" w:hAnsi="Arial"/>
                <w:sz w:val="15"/>
                <w:szCs w:val="15"/>
                <w:b w:val="1"/>
                <w:bCs w:val="1"/>
                <w:color w:val="auto"/>
              </w:rPr>
              <w:t>Peter W. Quigley</w:t>
            </w:r>
          </w:p>
        </w:tc>
        <w:tc>
          <w:tcPr>
            <w:tcW w:w="2900" w:type="dxa"/>
            <w:vAlign w:val="bottom"/>
            <w:tcBorders>
              <w:bottom w:val="single" w:sz="8" w:color="7F7F7F"/>
            </w:tcBorders>
          </w:tcPr>
          <w:p>
            <w:pPr>
              <w:spacing w:after="0"/>
              <w:rPr>
                <w:sz w:val="23"/>
                <w:szCs w:val="23"/>
                <w:color w:val="auto"/>
              </w:rPr>
            </w:pPr>
          </w:p>
        </w:tc>
        <w:tc>
          <w:tcPr>
            <w:tcW w:w="3440" w:type="dxa"/>
            <w:vAlign w:val="bottom"/>
            <w:tcBorders>
              <w:bottom w:val="single" w:sz="8" w:color="7F7F7F"/>
            </w:tcBorders>
          </w:tcPr>
          <w:p>
            <w:pPr>
              <w:jc w:val="center"/>
              <w:ind w:left="2408"/>
              <w:spacing w:after="0"/>
              <w:rPr>
                <w:sz w:val="20"/>
                <w:szCs w:val="20"/>
                <w:color w:val="auto"/>
              </w:rPr>
            </w:pPr>
            <w:r>
              <w:rPr>
                <w:rFonts w:ascii="Arial" w:cs="Arial" w:eastAsia="Arial" w:hAnsi="Arial"/>
                <w:sz w:val="15"/>
                <w:szCs w:val="15"/>
                <w:color w:val="auto"/>
              </w:rPr>
              <w:t>$975,000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7F7F7F"/>
            </w:tcBorders>
          </w:tcPr>
          <w:p>
            <w:pPr>
              <w:jc w:val="right"/>
              <w:ind w:right="147"/>
              <w:spacing w:after="0"/>
              <w:rPr>
                <w:sz w:val="20"/>
                <w:szCs w:val="20"/>
                <w:color w:val="auto"/>
              </w:rPr>
            </w:pPr>
            <w:r>
              <w:rPr>
                <w:rFonts w:ascii="Arial" w:cs="Arial" w:eastAsia="Arial" w:hAnsi="Arial"/>
                <w:sz w:val="15"/>
                <w:szCs w:val="15"/>
                <w:color w:val="auto"/>
              </w:rPr>
              <w:t>975,000</w:t>
            </w:r>
          </w:p>
        </w:tc>
        <w:tc>
          <w:tcPr>
            <w:tcW w:w="1240" w:type="dxa"/>
            <w:vAlign w:val="bottom"/>
            <w:tcBorders>
              <w:bottom w:val="single" w:sz="8" w:color="7F7F7F"/>
            </w:tcBorders>
          </w:tcPr>
          <w:p>
            <w:pPr>
              <w:jc w:val="right"/>
              <w:ind w:right="227"/>
              <w:spacing w:after="0"/>
              <w:rPr>
                <w:sz w:val="20"/>
                <w:szCs w:val="20"/>
                <w:color w:val="auto"/>
              </w:rPr>
            </w:pPr>
            <w:r>
              <w:rPr>
                <w:rFonts w:ascii="Arial" w:cs="Arial" w:eastAsia="Arial" w:hAnsi="Arial"/>
                <w:sz w:val="15"/>
                <w:szCs w:val="15"/>
                <w:color w:val="auto"/>
              </w:rPr>
              <w:t>0.0%</w:t>
            </w:r>
          </w:p>
        </w:tc>
      </w:tr>
    </w:tbl>
    <w:p>
      <w:pPr>
        <w:spacing w:after="0" w:line="87"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Notes:</w:t>
      </w:r>
    </w:p>
    <w:p>
      <w:pPr>
        <w:spacing w:after="0" w:line="76" w:lineRule="exact"/>
        <w:rPr>
          <w:sz w:val="20"/>
          <w:szCs w:val="20"/>
          <w:color w:val="auto"/>
        </w:rPr>
      </w:pPr>
    </w:p>
    <w:p>
      <w:pPr>
        <w:ind w:left="1060" w:hanging="298"/>
        <w:spacing w:after="0"/>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Amounts represent base salaries in effect on December 31 of each applicable year;</w:t>
      </w:r>
    </w:p>
    <w:p>
      <w:pPr>
        <w:spacing w:after="0" w:line="75" w:lineRule="exact"/>
        <w:rPr>
          <w:rFonts w:ascii="Arial" w:cs="Arial" w:eastAsia="Arial" w:hAnsi="Arial"/>
          <w:sz w:val="15"/>
          <w:szCs w:val="15"/>
          <w:color w:val="auto"/>
        </w:rPr>
      </w:pPr>
    </w:p>
    <w:p>
      <w:pPr>
        <w:ind w:left="1060" w:hanging="298"/>
        <w:spacing w:after="0"/>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Amount for Mr. Layden’s 2025 base salary reflects the terms of his offer of employment.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Short Term Incentive Plan (“STIP”)</w:t>
      </w:r>
    </w:p>
    <w:p>
      <w:pPr>
        <w:spacing w:after="0" w:line="61" w:lineRule="exact"/>
        <w:rPr>
          <w:sz w:val="20"/>
          <w:szCs w:val="20"/>
          <w:color w:val="auto"/>
        </w:rPr>
      </w:pPr>
    </w:p>
    <w:p>
      <w:pPr>
        <w:jc w:val="both"/>
        <w:ind w:left="560" w:right="80"/>
        <w:spacing w:after="0" w:line="258" w:lineRule="auto"/>
        <w:rPr>
          <w:sz w:val="20"/>
          <w:szCs w:val="20"/>
          <w:color w:val="auto"/>
        </w:rPr>
      </w:pPr>
      <w:r>
        <w:rPr>
          <w:rFonts w:ascii="Arial" w:cs="Arial" w:eastAsia="Arial" w:hAnsi="Arial"/>
          <w:sz w:val="15"/>
          <w:szCs w:val="15"/>
          <w:color w:val="auto"/>
        </w:rPr>
        <w:t>The Committee believes named executive officers should earn a meaningful portion of total compensation through annual performance-based incentives. STIP target opportunities increase with the executive’s level responsibility and influence on corporate performance, encouraging achievement short-term goals that align with corporate strategy and improvement of shareholder value.</w:t>
      </w:r>
    </w:p>
    <w:p>
      <w:pPr>
        <w:spacing w:after="0" w:line="27" w:lineRule="exact"/>
        <w:rPr>
          <w:sz w:val="20"/>
          <w:szCs w:val="20"/>
          <w:color w:val="auto"/>
        </w:rPr>
      </w:pPr>
    </w:p>
    <w:p>
      <w:pPr>
        <w:ind w:left="560" w:right="40"/>
        <w:spacing w:after="0" w:line="275" w:lineRule="auto"/>
        <w:rPr>
          <w:sz w:val="20"/>
          <w:szCs w:val="20"/>
          <w:color w:val="auto"/>
        </w:rPr>
      </w:pPr>
      <w:r>
        <w:rPr>
          <w:rFonts w:ascii="Arial" w:cs="Arial" w:eastAsia="Arial" w:hAnsi="Arial"/>
          <w:sz w:val="15"/>
          <w:szCs w:val="15"/>
          <w:color w:val="auto"/>
        </w:rPr>
        <w:t>STIP targets are set as a percentage of base salary, generally near market median, and may vary based on individual factors and internal equity. Payouts range from 0% to 200% of target based on achievement of annual performance goals.</w:t>
      </w:r>
    </w:p>
    <w:p>
      <w:pPr>
        <w:spacing w:after="0" w:line="26" w:lineRule="exact"/>
        <w:rPr>
          <w:sz w:val="20"/>
          <w:szCs w:val="20"/>
          <w:color w:val="auto"/>
        </w:rPr>
      </w:pPr>
    </w:p>
    <w:p>
      <w:pPr>
        <w:ind w:left="560" w:right="480"/>
        <w:spacing w:after="0" w:line="275" w:lineRule="auto"/>
        <w:rPr>
          <w:sz w:val="20"/>
          <w:szCs w:val="20"/>
          <w:color w:val="auto"/>
        </w:rPr>
      </w:pPr>
      <w:r>
        <w:rPr>
          <w:rFonts w:ascii="Arial" w:cs="Arial" w:eastAsia="Arial" w:hAnsi="Arial"/>
          <w:sz w:val="15"/>
          <w:szCs w:val="15"/>
          <w:color w:val="auto"/>
        </w:rPr>
        <w:t>As part of the Company’s compensation review of overall compensation opportunity, two named executive officers received STIP target opportunity increases, to better align with market and overall scope of their roles, for 2025.</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STIP target percentage opportunities for the named executive officers were approved by the Committee in 2025:</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shows the 2024 and 2025 STIP target opportunities, as a percentage of base salary, for our named executive officers:</w:t>
      </w:r>
    </w:p>
    <w:p>
      <w:pPr>
        <w:spacing w:after="0" w:line="8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220" w:type="dxa"/>
            <w:vAlign w:val="bottom"/>
          </w:tcPr>
          <w:p>
            <w:pPr>
              <w:jc w:val="right"/>
              <w:ind w:right="28"/>
              <w:spacing w:after="0"/>
              <w:rPr>
                <w:sz w:val="20"/>
                <w:szCs w:val="20"/>
                <w:color w:val="auto"/>
              </w:rPr>
            </w:pPr>
            <w:r>
              <w:rPr>
                <w:rFonts w:ascii="Arial" w:cs="Arial" w:eastAsia="Arial" w:hAnsi="Arial"/>
                <w:sz w:val="13"/>
                <w:szCs w:val="13"/>
                <w:b w:val="1"/>
                <w:bCs w:val="1"/>
                <w:color w:val="00AE4F"/>
              </w:rPr>
              <w:t>2024 STIP</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00AE4F"/>
              </w:rPr>
              <w:t>2025 STIP</w:t>
            </w:r>
          </w:p>
        </w:tc>
      </w:tr>
      <w:tr>
        <w:trPr>
          <w:trHeight w:val="180"/>
        </w:trPr>
        <w:tc>
          <w:tcPr>
            <w:tcW w:w="5180" w:type="dxa"/>
            <w:vAlign w:val="bottom"/>
            <w:gridSpan w:val="3"/>
          </w:tcPr>
          <w:p>
            <w:pPr>
              <w:spacing w:after="0"/>
              <w:rPr>
                <w:sz w:val="20"/>
                <w:szCs w:val="20"/>
                <w:color w:val="auto"/>
              </w:rPr>
            </w:pPr>
            <w:r>
              <w:rPr>
                <w:rFonts w:ascii="Arial" w:cs="Arial" w:eastAsia="Arial" w:hAnsi="Arial"/>
                <w:sz w:val="13"/>
                <w:szCs w:val="13"/>
                <w:b w:val="1"/>
                <w:bCs w:val="1"/>
                <w:color w:val="00AE4F"/>
              </w:rPr>
              <w:t>Named Executive Officer</w:t>
            </w:r>
          </w:p>
        </w:tc>
        <w:tc>
          <w:tcPr>
            <w:tcW w:w="4220" w:type="dxa"/>
            <w:vAlign w:val="bottom"/>
          </w:tcPr>
          <w:p>
            <w:pPr>
              <w:jc w:val="right"/>
              <w:ind w:right="68"/>
              <w:spacing w:after="0"/>
              <w:rPr>
                <w:sz w:val="20"/>
                <w:szCs w:val="20"/>
                <w:color w:val="auto"/>
              </w:rPr>
            </w:pPr>
            <w:r>
              <w:rPr>
                <w:rFonts w:ascii="Arial" w:cs="Arial" w:eastAsia="Arial" w:hAnsi="Arial"/>
                <w:sz w:val="13"/>
                <w:szCs w:val="13"/>
                <w:b w:val="1"/>
                <w:bCs w:val="1"/>
                <w:color w:val="00AE4F"/>
              </w:rPr>
              <w:t>Target %</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00AE4F"/>
              </w:rPr>
              <w:t>Target %</w:t>
            </w:r>
          </w:p>
        </w:tc>
      </w:tr>
      <w:tr>
        <w:trPr>
          <w:trHeight w:val="39"/>
        </w:trPr>
        <w:tc>
          <w:tcPr>
            <w:tcW w:w="60" w:type="dxa"/>
            <w:vAlign w:val="bottom"/>
            <w:tcBorders>
              <w:bottom w:val="single" w:sz="8" w:color="33302B"/>
            </w:tcBorders>
          </w:tcPr>
          <w:p>
            <w:pPr>
              <w:spacing w:after="0"/>
              <w:rPr>
                <w:sz w:val="3"/>
                <w:szCs w:val="3"/>
                <w:color w:val="auto"/>
              </w:rPr>
            </w:pPr>
          </w:p>
        </w:tc>
        <w:tc>
          <w:tcPr>
            <w:tcW w:w="1340" w:type="dxa"/>
            <w:vAlign w:val="bottom"/>
            <w:tcBorders>
              <w:bottom w:val="single" w:sz="8" w:color="33302B"/>
            </w:tcBorders>
          </w:tcPr>
          <w:p>
            <w:pPr>
              <w:spacing w:after="0"/>
              <w:rPr>
                <w:sz w:val="3"/>
                <w:szCs w:val="3"/>
                <w:color w:val="auto"/>
              </w:rPr>
            </w:pPr>
          </w:p>
        </w:tc>
        <w:tc>
          <w:tcPr>
            <w:tcW w:w="3780" w:type="dxa"/>
            <w:vAlign w:val="bottom"/>
            <w:tcBorders>
              <w:bottom w:val="single" w:sz="8" w:color="33302B"/>
            </w:tcBorders>
          </w:tcPr>
          <w:p>
            <w:pPr>
              <w:spacing w:after="0"/>
              <w:rPr>
                <w:sz w:val="3"/>
                <w:szCs w:val="3"/>
                <w:color w:val="auto"/>
              </w:rPr>
            </w:pPr>
          </w:p>
        </w:tc>
        <w:tc>
          <w:tcPr>
            <w:tcW w:w="4220" w:type="dxa"/>
            <w:vAlign w:val="bottom"/>
            <w:tcBorders>
              <w:bottom w:val="single" w:sz="8" w:color="33302B"/>
            </w:tcBorders>
          </w:tcPr>
          <w:p>
            <w:pPr>
              <w:spacing w:after="0"/>
              <w:rPr>
                <w:sz w:val="3"/>
                <w:szCs w:val="3"/>
                <w:color w:val="auto"/>
              </w:rPr>
            </w:pPr>
          </w:p>
        </w:tc>
        <w:tc>
          <w:tcPr>
            <w:tcW w:w="740" w:type="dxa"/>
            <w:vAlign w:val="bottom"/>
            <w:tcBorders>
              <w:bottom w:val="single" w:sz="8" w:color="33302B"/>
            </w:tcBorders>
          </w:tcPr>
          <w:p>
            <w:pPr>
              <w:spacing w:after="0"/>
              <w:rPr>
                <w:sz w:val="3"/>
                <w:szCs w:val="3"/>
                <w:color w:val="auto"/>
              </w:rPr>
            </w:pPr>
          </w:p>
        </w:tc>
      </w:tr>
      <w:tr>
        <w:trPr>
          <w:trHeight w:val="233"/>
        </w:trPr>
        <w:tc>
          <w:tcPr>
            <w:tcW w:w="60" w:type="dxa"/>
            <w:vAlign w:val="bottom"/>
            <w:tcBorders>
              <w:bottom w:val="single" w:sz="8" w:color="7F7F7F"/>
            </w:tcBorders>
          </w:tcPr>
          <w:p>
            <w:pPr>
              <w:spacing w:after="0"/>
              <w:rPr>
                <w:sz w:val="20"/>
                <w:szCs w:val="20"/>
                <w:color w:val="auto"/>
              </w:rPr>
            </w:pPr>
          </w:p>
        </w:tc>
        <w:tc>
          <w:tcPr>
            <w:tcW w:w="5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Christopher D. Layden</w:t>
            </w:r>
          </w:p>
        </w:tc>
        <w:tc>
          <w:tcPr>
            <w:tcW w:w="4220" w:type="dxa"/>
            <w:vAlign w:val="bottom"/>
            <w:tcBorders>
              <w:bottom w:val="single" w:sz="8" w:color="7F7F7F"/>
            </w:tcBorders>
          </w:tcPr>
          <w:p>
            <w:pPr>
              <w:spacing w:after="0"/>
              <w:rPr>
                <w:sz w:val="20"/>
                <w:szCs w:val="20"/>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125%</w:t>
            </w:r>
          </w:p>
        </w:tc>
      </w:tr>
      <w:tr>
        <w:trPr>
          <w:trHeight w:val="231"/>
        </w:trPr>
        <w:tc>
          <w:tcPr>
            <w:tcW w:w="60" w:type="dxa"/>
            <w:vAlign w:val="bottom"/>
            <w:tcBorders>
              <w:bottom w:val="single" w:sz="8" w:color="7F7F7F"/>
            </w:tcBorders>
          </w:tcPr>
          <w:p>
            <w:pPr>
              <w:spacing w:after="0"/>
              <w:rPr>
                <w:sz w:val="20"/>
                <w:szCs w:val="20"/>
                <w:color w:val="auto"/>
              </w:rPr>
            </w:pPr>
          </w:p>
        </w:tc>
        <w:tc>
          <w:tcPr>
            <w:tcW w:w="5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Troy R. Anderson</w:t>
            </w:r>
          </w:p>
        </w:tc>
        <w:tc>
          <w:tcPr>
            <w:tcW w:w="4220" w:type="dxa"/>
            <w:vAlign w:val="bottom"/>
            <w:tcBorders>
              <w:bottom w:val="single" w:sz="8" w:color="7F7F7F"/>
            </w:tcBorders>
          </w:tcPr>
          <w:p>
            <w:pPr>
              <w:jc w:val="right"/>
              <w:ind w:right="28"/>
              <w:spacing w:after="0"/>
              <w:rPr>
                <w:sz w:val="20"/>
                <w:szCs w:val="20"/>
                <w:color w:val="auto"/>
              </w:rPr>
            </w:pPr>
            <w:r>
              <w:rPr>
                <w:rFonts w:ascii="Arial" w:cs="Arial" w:eastAsia="Arial" w:hAnsi="Arial"/>
                <w:sz w:val="15"/>
                <w:szCs w:val="15"/>
                <w:color w:val="auto"/>
              </w:rPr>
              <w:t>85%</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85%</w:t>
            </w:r>
          </w:p>
        </w:tc>
      </w:tr>
      <w:tr>
        <w:trPr>
          <w:trHeight w:val="228"/>
        </w:trPr>
        <w:tc>
          <w:tcPr>
            <w:tcW w:w="60" w:type="dxa"/>
            <w:vAlign w:val="bottom"/>
            <w:tcBorders>
              <w:bottom w:val="single" w:sz="8" w:color="7F7F7F"/>
            </w:tcBorders>
          </w:tcPr>
          <w:p>
            <w:pPr>
              <w:spacing w:after="0"/>
              <w:rPr>
                <w:sz w:val="19"/>
                <w:szCs w:val="19"/>
                <w:color w:val="auto"/>
              </w:rPr>
            </w:pPr>
          </w:p>
        </w:tc>
        <w:tc>
          <w:tcPr>
            <w:tcW w:w="5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4220" w:type="dxa"/>
            <w:vAlign w:val="bottom"/>
            <w:tcBorders>
              <w:bottom w:val="single" w:sz="8" w:color="7F7F7F"/>
            </w:tcBorders>
          </w:tcPr>
          <w:p>
            <w:pPr>
              <w:jc w:val="right"/>
              <w:ind w:right="28"/>
              <w:spacing w:after="0"/>
              <w:rPr>
                <w:sz w:val="20"/>
                <w:szCs w:val="20"/>
                <w:color w:val="auto"/>
              </w:rPr>
            </w:pPr>
            <w:r>
              <w:rPr>
                <w:rFonts w:ascii="Arial" w:cs="Arial" w:eastAsia="Arial" w:hAnsi="Arial"/>
                <w:sz w:val="15"/>
                <w:szCs w:val="15"/>
                <w:color w:val="auto"/>
              </w:rPr>
              <w:t>55%</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60%</w:t>
            </w:r>
          </w:p>
        </w:tc>
      </w:tr>
      <w:tr>
        <w:trPr>
          <w:trHeight w:val="228"/>
        </w:trPr>
        <w:tc>
          <w:tcPr>
            <w:tcW w:w="60" w:type="dxa"/>
            <w:vAlign w:val="bottom"/>
            <w:tcBorders>
              <w:bottom w:val="single" w:sz="8" w:color="7F7F7F"/>
            </w:tcBorders>
          </w:tcPr>
          <w:p>
            <w:pPr>
              <w:spacing w:after="0"/>
              <w:rPr>
                <w:sz w:val="19"/>
                <w:szCs w:val="19"/>
                <w:color w:val="auto"/>
              </w:rPr>
            </w:pPr>
          </w:p>
        </w:tc>
        <w:tc>
          <w:tcPr>
            <w:tcW w:w="5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4220" w:type="dxa"/>
            <w:vAlign w:val="bottom"/>
            <w:tcBorders>
              <w:bottom w:val="single" w:sz="8" w:color="7F7F7F"/>
            </w:tcBorders>
          </w:tcPr>
          <w:p>
            <w:pPr>
              <w:jc w:val="right"/>
              <w:ind w:right="28"/>
              <w:spacing w:after="0"/>
              <w:rPr>
                <w:sz w:val="20"/>
                <w:szCs w:val="20"/>
                <w:color w:val="auto"/>
              </w:rPr>
            </w:pPr>
            <w:r>
              <w:rPr>
                <w:rFonts w:ascii="Arial" w:cs="Arial" w:eastAsia="Arial" w:hAnsi="Arial"/>
                <w:sz w:val="15"/>
                <w:szCs w:val="15"/>
                <w:color w:val="auto"/>
              </w:rPr>
              <w:t>75%</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75%</w:t>
            </w:r>
          </w:p>
        </w:tc>
      </w:tr>
      <w:tr>
        <w:trPr>
          <w:trHeight w:val="228"/>
        </w:trPr>
        <w:tc>
          <w:tcPr>
            <w:tcW w:w="60" w:type="dxa"/>
            <w:vAlign w:val="bottom"/>
            <w:tcBorders>
              <w:bottom w:val="single" w:sz="8" w:color="7F7F7F"/>
            </w:tcBorders>
          </w:tcPr>
          <w:p>
            <w:pPr>
              <w:spacing w:after="0"/>
              <w:rPr>
                <w:sz w:val="19"/>
                <w:szCs w:val="19"/>
                <w:color w:val="auto"/>
              </w:rPr>
            </w:pPr>
          </w:p>
        </w:tc>
        <w:tc>
          <w:tcPr>
            <w:tcW w:w="5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4220" w:type="dxa"/>
            <w:vAlign w:val="bottom"/>
            <w:tcBorders>
              <w:bottom w:val="single" w:sz="8" w:color="7F7F7F"/>
            </w:tcBorders>
          </w:tcPr>
          <w:p>
            <w:pPr>
              <w:jc w:val="right"/>
              <w:ind w:right="28"/>
              <w:spacing w:after="0"/>
              <w:rPr>
                <w:sz w:val="20"/>
                <w:szCs w:val="20"/>
                <w:color w:val="auto"/>
              </w:rPr>
            </w:pPr>
            <w:r>
              <w:rPr>
                <w:rFonts w:ascii="Arial" w:cs="Arial" w:eastAsia="Arial" w:hAnsi="Arial"/>
                <w:sz w:val="15"/>
                <w:szCs w:val="15"/>
                <w:color w:val="auto"/>
              </w:rPr>
              <w:t>55%</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60%</w:t>
            </w:r>
          </w:p>
        </w:tc>
      </w:tr>
      <w:tr>
        <w:trPr>
          <w:trHeight w:val="182"/>
        </w:trPr>
        <w:tc>
          <w:tcPr>
            <w:tcW w:w="6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Former Executives</w:t>
            </w:r>
          </w:p>
        </w:tc>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74"/>
        </w:trPr>
        <w:tc>
          <w:tcPr>
            <w:tcW w:w="60" w:type="dxa"/>
            <w:vAlign w:val="bottom"/>
            <w:tcBorders>
              <w:bottom w:val="single" w:sz="8" w:color="7F7F7F"/>
            </w:tcBorders>
          </w:tcPr>
          <w:p>
            <w:pPr>
              <w:spacing w:after="0"/>
              <w:rPr>
                <w:sz w:val="23"/>
                <w:szCs w:val="23"/>
                <w:color w:val="auto"/>
              </w:rPr>
            </w:pPr>
          </w:p>
        </w:tc>
        <w:tc>
          <w:tcPr>
            <w:tcW w:w="1340" w:type="dxa"/>
            <w:vAlign w:val="bottom"/>
            <w:tcBorders>
              <w:top w:val="single" w:sz="8" w:color="auto"/>
              <w:bottom w:val="single" w:sz="8" w:color="7F7F7F"/>
            </w:tcBorders>
          </w:tcPr>
          <w:p>
            <w:pPr>
              <w:spacing w:after="0"/>
              <w:rPr>
                <w:sz w:val="20"/>
                <w:szCs w:val="20"/>
                <w:color w:val="auto"/>
              </w:rPr>
            </w:pPr>
            <w:r>
              <w:rPr>
                <w:rFonts w:ascii="Arial" w:cs="Arial" w:eastAsia="Arial" w:hAnsi="Arial"/>
                <w:sz w:val="15"/>
                <w:szCs w:val="15"/>
                <w:b w:val="1"/>
                <w:bCs w:val="1"/>
                <w:color w:val="auto"/>
              </w:rPr>
              <w:t>Peter W. Quigley</w:t>
            </w:r>
          </w:p>
        </w:tc>
        <w:tc>
          <w:tcPr>
            <w:tcW w:w="3780" w:type="dxa"/>
            <w:vAlign w:val="bottom"/>
            <w:tcBorders>
              <w:bottom w:val="single" w:sz="8" w:color="7F7F7F"/>
            </w:tcBorders>
          </w:tcPr>
          <w:p>
            <w:pPr>
              <w:spacing w:after="0"/>
              <w:rPr>
                <w:sz w:val="23"/>
                <w:szCs w:val="23"/>
                <w:color w:val="auto"/>
              </w:rPr>
            </w:pPr>
          </w:p>
        </w:tc>
        <w:tc>
          <w:tcPr>
            <w:tcW w:w="4220" w:type="dxa"/>
            <w:vAlign w:val="bottom"/>
            <w:tcBorders>
              <w:bottom w:val="single" w:sz="8" w:color="7F7F7F"/>
            </w:tcBorders>
          </w:tcPr>
          <w:p>
            <w:pPr>
              <w:jc w:val="right"/>
              <w:ind w:right="28"/>
              <w:spacing w:after="0"/>
              <w:rPr>
                <w:sz w:val="20"/>
                <w:szCs w:val="20"/>
                <w:color w:val="auto"/>
              </w:rPr>
            </w:pPr>
            <w:r>
              <w:rPr>
                <w:rFonts w:ascii="Arial" w:cs="Arial" w:eastAsia="Arial" w:hAnsi="Arial"/>
                <w:sz w:val="15"/>
                <w:szCs w:val="15"/>
                <w:color w:val="auto"/>
              </w:rPr>
              <w:t>120%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120%</w:t>
            </w:r>
          </w:p>
        </w:tc>
      </w:tr>
    </w:tbl>
    <w:p>
      <w:pPr>
        <w:spacing w:after="0" w:line="87" w:lineRule="exact"/>
        <w:rPr>
          <w:sz w:val="20"/>
          <w:szCs w:val="20"/>
          <w:color w:val="auto"/>
        </w:rPr>
      </w:pPr>
    </w:p>
    <w:p>
      <w:pPr>
        <w:ind w:left="560" w:right="100"/>
        <w:spacing w:after="0" w:line="276" w:lineRule="auto"/>
        <w:rPr>
          <w:sz w:val="20"/>
          <w:szCs w:val="20"/>
          <w:color w:val="auto"/>
        </w:rPr>
      </w:pPr>
      <w:r>
        <w:rPr>
          <w:rFonts w:ascii="Arial" w:cs="Arial" w:eastAsia="Arial" w:hAnsi="Arial"/>
          <w:sz w:val="14"/>
          <w:szCs w:val="14"/>
          <w:color w:val="auto"/>
        </w:rPr>
        <w:t>In the months leading up to year-end, the Committee reviews and determines the objectives, performance measures, and other terms and conditions of the STIP for the following plan year. For 2025, the Committee approved the use of earnings before interest, taxes, depreciation, and amortization (“EBITDA”) as the measure for the corporate component of the STIP. The Committee selected this financial measure for the STIP because it aligned with business objectives and value creation, provided balance, ensured a strong pay-performance linkage, and line of sight for the named executive officers.</w:t>
      </w:r>
    </w:p>
    <w:p>
      <w:pPr>
        <w:spacing w:after="0" w:line="28" w:lineRule="exact"/>
        <w:rPr>
          <w:sz w:val="20"/>
          <w:szCs w:val="20"/>
          <w:color w:val="auto"/>
        </w:rPr>
      </w:pPr>
    </w:p>
    <w:p>
      <w:pPr>
        <w:ind w:left="560" w:right="340"/>
        <w:spacing w:after="0" w:line="258" w:lineRule="auto"/>
        <w:rPr>
          <w:sz w:val="20"/>
          <w:szCs w:val="20"/>
          <w:color w:val="auto"/>
        </w:rPr>
      </w:pPr>
      <w:r>
        <w:rPr>
          <w:rFonts w:ascii="Arial" w:cs="Arial" w:eastAsia="Arial" w:hAnsi="Arial"/>
          <w:sz w:val="15"/>
          <w:szCs w:val="15"/>
          <w:color w:val="auto"/>
        </w:rPr>
        <w:t>Payout for threshold performance under the corporate component of STIP is set at 50% of a named executive officer’s target payout opportunity, with zero payout earned for performance below threshold. Achievement of target performance results in target payouts for the named executive officers. Performance above target earns incentive payouts above target and up to the maximum of 200% of target.</w:t>
      </w:r>
    </w:p>
    <w:p>
      <w:pPr>
        <w:spacing w:after="0" w:line="87"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733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right="120"/>
        <w:spacing w:after="0" w:line="252" w:lineRule="auto"/>
        <w:rPr>
          <w:sz w:val="20"/>
          <w:szCs w:val="20"/>
          <w:color w:val="auto"/>
        </w:rPr>
      </w:pPr>
      <w:r>
        <w:rPr>
          <w:rFonts w:ascii="Arial" w:cs="Arial" w:eastAsia="Arial" w:hAnsi="Arial"/>
          <w:sz w:val="15"/>
          <w:szCs w:val="15"/>
          <w:color w:val="auto"/>
        </w:rPr>
        <w:t>Performance measures used for purposes of funding STIP are the same as defined in the Company’s GAAP financial statements, excluding as determined by the Committee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w:t>
      </w:r>
    </w:p>
    <w:p>
      <w:pPr>
        <w:spacing w:after="0" w:line="32" w:lineRule="exact"/>
        <w:rPr>
          <w:sz w:val="20"/>
          <w:szCs w:val="20"/>
          <w:color w:val="auto"/>
        </w:rPr>
      </w:pPr>
    </w:p>
    <w:p>
      <w:pPr>
        <w:jc w:val="both"/>
        <w:ind w:left="560" w:right="280"/>
        <w:spacing w:after="0" w:line="258" w:lineRule="auto"/>
        <w:rPr>
          <w:sz w:val="20"/>
          <w:szCs w:val="20"/>
          <w:color w:val="auto"/>
        </w:rPr>
      </w:pPr>
      <w:r>
        <w:rPr>
          <w:rFonts w:ascii="Arial" w:cs="Arial" w:eastAsia="Arial" w:hAnsi="Arial"/>
          <w:sz w:val="15"/>
          <w:szCs w:val="15"/>
          <w:color w:val="auto"/>
        </w:rPr>
        <w:t>In February 2025, the Committee determined and approved threshold, target, and maximum performance goal levels for the 2025 STIP. The threshold goal was set at a level for which the Committee believed it was appropriate to start earning incentives. At expected performance levels the target goal was set at the budgeted EBITDA.</w:t>
      </w:r>
    </w:p>
    <w:p>
      <w:pPr>
        <w:spacing w:after="0" w:line="27" w:lineRule="exact"/>
        <w:rPr>
          <w:sz w:val="20"/>
          <w:szCs w:val="20"/>
          <w:color w:val="auto"/>
        </w:rPr>
      </w:pPr>
    </w:p>
    <w:p>
      <w:pPr>
        <w:ind w:left="560" w:right="100"/>
        <w:spacing w:after="0" w:line="263" w:lineRule="auto"/>
        <w:rPr>
          <w:sz w:val="20"/>
          <w:szCs w:val="20"/>
          <w:color w:val="auto"/>
        </w:rPr>
      </w:pPr>
      <w:r>
        <w:rPr>
          <w:rFonts w:ascii="Arial" w:cs="Arial" w:eastAsia="Arial" w:hAnsi="Arial"/>
          <w:sz w:val="14"/>
          <w:szCs w:val="14"/>
          <w:color w:val="auto"/>
        </w:rPr>
        <w:t>Maximum goals were set at significant stretch levels, which the Committee believed warranted the earning of 200% of target payouts. For the 2025 STIP, funding for Messrs. Layden, Quigley, Anderson, and Ms. Williams was based 100% on corporate measures. Funding for Ms. Browning and Ms. Soares were based 50% on corporate measures and 50% on individual business segment measures. Straight-line interpolation occurs for the achievement of performance between the specified financial performance goals shown below. Participants also had an individual performance component which is funded (30%) from the financial performance results. The individual performance payout can be adjusted upward or downward based on</w:t>
      </w:r>
    </w:p>
    <w:p>
      <w:pPr>
        <w:ind w:left="560" w:right="20"/>
        <w:spacing w:after="0" w:line="255" w:lineRule="auto"/>
        <w:rPr>
          <w:sz w:val="20"/>
          <w:szCs w:val="20"/>
          <w:color w:val="auto"/>
        </w:rPr>
      </w:pPr>
      <w:r>
        <w:rPr>
          <w:rFonts w:ascii="Arial" w:cs="Arial" w:eastAsia="Arial" w:hAnsi="Arial"/>
          <w:sz w:val="15"/>
          <w:szCs w:val="15"/>
          <w:color w:val="auto"/>
        </w:rPr>
        <w:t>Objectives, Goals, Strategies, Measures (“OGSMs”) and other financial and non-financial considerations. The goals at threshold, target, and maximum for the 2025 STIP, as well as resulting performance for the measure of the corporate component were as follows: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28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70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3"/>
                <w:szCs w:val="13"/>
                <w:b w:val="1"/>
                <w:bCs w:val="1"/>
                <w:color w:val="00AE4F"/>
              </w:rPr>
              <w:t>2025 Performance Goals</w:t>
            </w: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35"/>
        </w:trPr>
        <w:tc>
          <w:tcPr>
            <w:tcW w:w="2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40" w:type="dxa"/>
            <w:vAlign w:val="bottom"/>
          </w:tcPr>
          <w:p>
            <w:pPr>
              <w:ind w:left="220"/>
              <w:spacing w:after="0" w:line="136" w:lineRule="exact"/>
              <w:rPr>
                <w:sz w:val="20"/>
                <w:szCs w:val="20"/>
                <w:color w:val="auto"/>
              </w:rPr>
            </w:pPr>
            <w:r>
              <w:rPr>
                <w:rFonts w:ascii="Arial" w:cs="Arial" w:eastAsia="Arial" w:hAnsi="Arial"/>
                <w:sz w:val="13"/>
                <w:szCs w:val="13"/>
                <w:b w:val="1"/>
                <w:bCs w:val="1"/>
                <w:color w:val="00AE4F"/>
              </w:rPr>
              <w:t>Threshold</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00AE4F"/>
              </w:rPr>
              <w:t>Target</w:t>
            </w:r>
          </w:p>
        </w:tc>
        <w:tc>
          <w:tcPr>
            <w:tcW w:w="840" w:type="dxa"/>
            <w:vAlign w:val="bottom"/>
          </w:tcPr>
          <w:p>
            <w:pPr>
              <w:ind w:left="180"/>
              <w:spacing w:after="0" w:line="136" w:lineRule="exact"/>
              <w:rPr>
                <w:sz w:val="20"/>
                <w:szCs w:val="20"/>
                <w:color w:val="auto"/>
              </w:rPr>
            </w:pPr>
            <w:r>
              <w:rPr>
                <w:rFonts w:ascii="Arial" w:cs="Arial" w:eastAsia="Arial" w:hAnsi="Arial"/>
                <w:sz w:val="13"/>
                <w:szCs w:val="13"/>
                <w:b w:val="1"/>
                <w:bCs w:val="1"/>
                <w:color w:val="00AE4F"/>
              </w:rPr>
              <w:t>Maximum</w:t>
            </w:r>
          </w:p>
        </w:tc>
        <w:tc>
          <w:tcPr>
            <w:tcW w:w="1380" w:type="dxa"/>
            <w:vAlign w:val="bottom"/>
          </w:tcPr>
          <w:p>
            <w:pPr>
              <w:jc w:val="right"/>
              <w:ind w:right="391"/>
              <w:spacing w:after="0" w:line="136" w:lineRule="exact"/>
              <w:rPr>
                <w:sz w:val="20"/>
                <w:szCs w:val="20"/>
                <w:color w:val="auto"/>
              </w:rPr>
            </w:pPr>
            <w:r>
              <w:rPr>
                <w:rFonts w:ascii="Arial" w:cs="Arial" w:eastAsia="Arial" w:hAnsi="Arial"/>
                <w:sz w:val="13"/>
                <w:szCs w:val="13"/>
                <w:b w:val="1"/>
                <w:bCs w:val="1"/>
                <w:color w:val="00AE4F"/>
              </w:rPr>
              <w:t>2025</w:t>
            </w:r>
          </w:p>
        </w:tc>
        <w:tc>
          <w:tcPr>
            <w:tcW w:w="1080" w:type="dxa"/>
            <w:vAlign w:val="bottom"/>
          </w:tcPr>
          <w:p>
            <w:pPr>
              <w:jc w:val="center"/>
              <w:ind w:left="70"/>
              <w:spacing w:after="0" w:line="136" w:lineRule="exact"/>
              <w:rPr>
                <w:sz w:val="20"/>
                <w:szCs w:val="20"/>
                <w:color w:val="auto"/>
              </w:rPr>
            </w:pPr>
            <w:r>
              <w:rPr>
                <w:rFonts w:ascii="Arial" w:cs="Arial" w:eastAsia="Arial" w:hAnsi="Arial"/>
                <w:sz w:val="13"/>
                <w:szCs w:val="13"/>
                <w:b w:val="1"/>
                <w:bCs w:val="1"/>
                <w:color w:val="00AE4F"/>
              </w:rPr>
              <w:t>2025 Payout</w:t>
            </w:r>
          </w:p>
        </w:tc>
      </w:tr>
      <w:tr>
        <w:trPr>
          <w:trHeight w:val="180"/>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AE4F"/>
              </w:rPr>
              <w:t>Corporate Component</w:t>
            </w:r>
          </w:p>
        </w:tc>
        <w:tc>
          <w:tcPr>
            <w:tcW w:w="2140" w:type="dxa"/>
            <w:vAlign w:val="bottom"/>
            <w:tcBorders>
              <w:bottom w:val="single" w:sz="8" w:color="auto"/>
            </w:tcBorders>
          </w:tcPr>
          <w:p>
            <w:pPr>
              <w:jc w:val="center"/>
              <w:ind w:left="1310"/>
              <w:spacing w:after="0"/>
              <w:rPr>
                <w:sz w:val="20"/>
                <w:szCs w:val="20"/>
                <w:color w:val="auto"/>
              </w:rPr>
            </w:pPr>
            <w:r>
              <w:rPr>
                <w:rFonts w:ascii="Arial" w:cs="Arial" w:eastAsia="Arial" w:hAnsi="Arial"/>
                <w:sz w:val="13"/>
                <w:szCs w:val="13"/>
                <w:b w:val="1"/>
                <w:bCs w:val="1"/>
                <w:color w:val="00AE4F"/>
              </w:rPr>
              <w:t>Weighting</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00AE4F"/>
              </w:rPr>
              <w:t>(50%)</w:t>
            </w: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00AE4F"/>
              </w:rPr>
              <w:t>(100%)</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00AE4F"/>
              </w:rPr>
              <w:t>(200%)</w:t>
            </w: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00AE4F"/>
              </w:rPr>
              <w:t>Performance</w:t>
            </w:r>
          </w:p>
        </w:tc>
        <w:tc>
          <w:tcPr>
            <w:tcW w:w="1080" w:type="dxa"/>
            <w:vAlign w:val="bottom"/>
            <w:tcBorders>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00AE4F"/>
              </w:rPr>
              <w:t>(% of Target)</w:t>
            </w:r>
          </w:p>
        </w:tc>
      </w:tr>
      <w:tr>
        <w:trPr>
          <w:trHeight w:val="222"/>
        </w:trPr>
        <w:tc>
          <w:tcPr>
            <w:tcW w:w="284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EBITDA $</w:t>
            </w:r>
          </w:p>
        </w:tc>
        <w:tc>
          <w:tcPr>
            <w:tcW w:w="2140" w:type="dxa"/>
            <w:vAlign w:val="bottom"/>
            <w:tcBorders>
              <w:bottom w:val="single" w:sz="8" w:color="7F7F7F"/>
            </w:tcBorders>
          </w:tcPr>
          <w:p>
            <w:pPr>
              <w:jc w:val="right"/>
              <w:ind w:right="110"/>
              <w:spacing w:after="0"/>
              <w:rPr>
                <w:sz w:val="20"/>
                <w:szCs w:val="20"/>
                <w:color w:val="auto"/>
              </w:rPr>
            </w:pPr>
            <w:r>
              <w:rPr>
                <w:rFonts w:ascii="Arial" w:cs="Arial" w:eastAsia="Arial" w:hAnsi="Arial"/>
                <w:sz w:val="15"/>
                <w:szCs w:val="15"/>
                <w:color w:val="auto"/>
              </w:rPr>
              <w:t>100%</w:t>
            </w:r>
          </w:p>
        </w:tc>
        <w:tc>
          <w:tcPr>
            <w:tcW w:w="1040" w:type="dxa"/>
            <w:vAlign w:val="bottom"/>
            <w:tcBorders>
              <w:bottom w:val="single" w:sz="8" w:color="7F7F7F"/>
            </w:tcBorders>
          </w:tcPr>
          <w:p>
            <w:pPr>
              <w:jc w:val="right"/>
              <w:ind w:right="192"/>
              <w:spacing w:after="0"/>
              <w:rPr>
                <w:sz w:val="20"/>
                <w:szCs w:val="20"/>
                <w:color w:val="auto"/>
              </w:rPr>
            </w:pPr>
            <w:r>
              <w:rPr>
                <w:rFonts w:ascii="Arial" w:cs="Arial" w:eastAsia="Arial" w:hAnsi="Arial"/>
                <w:sz w:val="15"/>
                <w:szCs w:val="15"/>
                <w:color w:val="auto"/>
              </w:rPr>
              <w:t>$144.8</w:t>
            </w:r>
          </w:p>
        </w:tc>
        <w:tc>
          <w:tcPr>
            <w:tcW w:w="820" w:type="dxa"/>
            <w:vAlign w:val="bottom"/>
            <w:tcBorders>
              <w:bottom w:val="single" w:sz="8" w:color="7F7F7F"/>
            </w:tcBorders>
          </w:tcPr>
          <w:p>
            <w:pPr>
              <w:jc w:val="right"/>
              <w:ind w:right="111"/>
              <w:spacing w:after="0"/>
              <w:rPr>
                <w:sz w:val="20"/>
                <w:szCs w:val="20"/>
                <w:color w:val="auto"/>
              </w:rPr>
            </w:pPr>
            <w:r>
              <w:rPr>
                <w:rFonts w:ascii="Arial" w:cs="Arial" w:eastAsia="Arial" w:hAnsi="Arial"/>
                <w:sz w:val="15"/>
                <w:szCs w:val="15"/>
                <w:color w:val="auto"/>
              </w:rPr>
              <w:t>$170.4</w:t>
            </w:r>
          </w:p>
        </w:tc>
        <w:tc>
          <w:tcPr>
            <w:tcW w:w="840" w:type="dxa"/>
            <w:vAlign w:val="bottom"/>
            <w:tcBorders>
              <w:bottom w:val="single" w:sz="8" w:color="7F7F7F"/>
            </w:tcBorders>
          </w:tcPr>
          <w:p>
            <w:pPr>
              <w:jc w:val="right"/>
              <w:ind w:right="51"/>
              <w:spacing w:after="0"/>
              <w:rPr>
                <w:sz w:val="20"/>
                <w:szCs w:val="20"/>
                <w:color w:val="auto"/>
              </w:rPr>
            </w:pPr>
            <w:r>
              <w:rPr>
                <w:rFonts w:ascii="Arial" w:cs="Arial" w:eastAsia="Arial" w:hAnsi="Arial"/>
                <w:sz w:val="15"/>
                <w:szCs w:val="15"/>
                <w:color w:val="auto"/>
              </w:rPr>
              <w:t>$213.0</w:t>
            </w:r>
          </w:p>
        </w:tc>
        <w:tc>
          <w:tcPr>
            <w:tcW w:w="1380" w:type="dxa"/>
            <w:vAlign w:val="bottom"/>
            <w:tcBorders>
              <w:bottom w:val="single" w:sz="8" w:color="7F7F7F"/>
            </w:tcBorders>
          </w:tcPr>
          <w:p>
            <w:pPr>
              <w:jc w:val="right"/>
              <w:ind w:right="311"/>
              <w:spacing w:after="0"/>
              <w:rPr>
                <w:sz w:val="20"/>
                <w:szCs w:val="20"/>
                <w:color w:val="auto"/>
              </w:rPr>
            </w:pPr>
            <w:r>
              <w:rPr>
                <w:rFonts w:ascii="Arial" w:cs="Arial" w:eastAsia="Arial" w:hAnsi="Arial"/>
                <w:sz w:val="15"/>
                <w:szCs w:val="15"/>
                <w:color w:val="auto"/>
              </w:rPr>
              <w:t>$109.4</w:t>
            </w:r>
          </w:p>
        </w:tc>
        <w:tc>
          <w:tcPr>
            <w:tcW w:w="1080" w:type="dxa"/>
            <w:vAlign w:val="bottom"/>
            <w:tcBorders>
              <w:bottom w:val="single" w:sz="8" w:color="7F7F7F"/>
            </w:tcBorders>
          </w:tcPr>
          <w:p>
            <w:pPr>
              <w:jc w:val="center"/>
              <w:ind w:left="70"/>
              <w:spacing w:after="0"/>
              <w:rPr>
                <w:sz w:val="20"/>
                <w:szCs w:val="20"/>
                <w:color w:val="auto"/>
              </w:rPr>
            </w:pPr>
            <w:r>
              <w:rPr>
                <w:rFonts w:ascii="Arial" w:cs="Arial" w:eastAsia="Arial" w:hAnsi="Arial"/>
                <w:sz w:val="15"/>
                <w:szCs w:val="15"/>
                <w:color w:val="auto"/>
                <w:w w:val="99"/>
              </w:rPr>
              <w:t>0.0%</w:t>
            </w:r>
          </w:p>
        </w:tc>
      </w:tr>
      <w:tr>
        <w:trPr>
          <w:trHeight w:val="231"/>
        </w:trPr>
        <w:tc>
          <w:tcPr>
            <w:tcW w:w="284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i w:val="1"/>
                <w:iCs w:val="1"/>
                <w:color w:val="auto"/>
              </w:rPr>
              <w:t>$ in millions</w:t>
            </w:r>
          </w:p>
        </w:tc>
        <w:tc>
          <w:tcPr>
            <w:tcW w:w="2140" w:type="dxa"/>
            <w:vAlign w:val="bottom"/>
            <w:tcBorders>
              <w:bottom w:val="single" w:sz="8" w:color="7F7F7F"/>
            </w:tcBorders>
          </w:tcPr>
          <w:p>
            <w:pPr>
              <w:spacing w:after="0"/>
              <w:rPr>
                <w:sz w:val="20"/>
                <w:szCs w:val="20"/>
                <w:color w:val="auto"/>
              </w:rPr>
            </w:pPr>
          </w:p>
        </w:tc>
        <w:tc>
          <w:tcPr>
            <w:tcW w:w="1040" w:type="dxa"/>
            <w:vAlign w:val="bottom"/>
            <w:tcBorders>
              <w:bottom w:val="single" w:sz="8" w:color="7F7F7F"/>
            </w:tcBorders>
          </w:tcPr>
          <w:p>
            <w:pPr>
              <w:spacing w:after="0"/>
              <w:rPr>
                <w:sz w:val="20"/>
                <w:szCs w:val="20"/>
                <w:color w:val="auto"/>
              </w:rPr>
            </w:pPr>
          </w:p>
        </w:tc>
        <w:tc>
          <w:tcPr>
            <w:tcW w:w="820" w:type="dxa"/>
            <w:vAlign w:val="bottom"/>
            <w:tcBorders>
              <w:bottom w:val="single" w:sz="8" w:color="7F7F7F"/>
            </w:tcBorders>
          </w:tcPr>
          <w:p>
            <w:pPr>
              <w:spacing w:after="0"/>
              <w:rPr>
                <w:sz w:val="20"/>
                <w:szCs w:val="20"/>
                <w:color w:val="auto"/>
              </w:rPr>
            </w:pPr>
          </w:p>
        </w:tc>
        <w:tc>
          <w:tcPr>
            <w:tcW w:w="840" w:type="dxa"/>
            <w:vAlign w:val="bottom"/>
            <w:tcBorders>
              <w:bottom w:val="single" w:sz="8" w:color="7F7F7F"/>
            </w:tcBorders>
          </w:tcPr>
          <w:p>
            <w:pPr>
              <w:spacing w:after="0"/>
              <w:rPr>
                <w:sz w:val="20"/>
                <w:szCs w:val="20"/>
                <w:color w:val="auto"/>
              </w:rPr>
            </w:pPr>
          </w:p>
        </w:tc>
        <w:tc>
          <w:tcPr>
            <w:tcW w:w="1380" w:type="dxa"/>
            <w:vAlign w:val="bottom"/>
            <w:tcBorders>
              <w:bottom w:val="single" w:sz="8" w:color="7F7F7F"/>
            </w:tcBorders>
          </w:tcPr>
          <w:p>
            <w:pPr>
              <w:spacing w:after="0"/>
              <w:rPr>
                <w:sz w:val="20"/>
                <w:szCs w:val="20"/>
                <w:color w:val="auto"/>
              </w:rPr>
            </w:pPr>
          </w:p>
        </w:tc>
        <w:tc>
          <w:tcPr>
            <w:tcW w:w="1080" w:type="dxa"/>
            <w:vAlign w:val="bottom"/>
            <w:tcBorders>
              <w:bottom w:val="single" w:sz="8" w:color="7F7F7F"/>
            </w:tcBorders>
          </w:tcPr>
          <w:p>
            <w:pPr>
              <w:jc w:val="center"/>
              <w:ind w:left="70"/>
              <w:spacing w:after="0"/>
              <w:rPr>
                <w:sz w:val="20"/>
                <w:szCs w:val="20"/>
                <w:color w:val="auto"/>
              </w:rPr>
            </w:pPr>
            <w:r>
              <w:rPr>
                <w:rFonts w:ascii="Arial" w:cs="Arial" w:eastAsia="Arial" w:hAnsi="Arial"/>
                <w:sz w:val="15"/>
                <w:szCs w:val="15"/>
                <w:b w:val="1"/>
                <w:bCs w:val="1"/>
                <w:color w:val="auto"/>
                <w:w w:val="99"/>
              </w:rPr>
              <w:t>0.0%</w:t>
            </w: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Tammy L. Browning</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Ms. Browning’s STIP opportunity was based 50% on the corporate measures and 50% on the business unit measure for which he was accountable.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Performance results for each of Ms. Browning’s measures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0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3"/>
                <w:szCs w:val="13"/>
                <w:b w:val="1"/>
                <w:bCs w:val="1"/>
                <w:color w:val="00AE4F"/>
              </w:rPr>
              <w:t>2025 Performance Goals</w:t>
            </w: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35"/>
        </w:trPr>
        <w:tc>
          <w:tcPr>
            <w:tcW w:w="4000" w:type="dxa"/>
            <w:vAlign w:val="bottom"/>
          </w:tcPr>
          <w:p>
            <w:pPr>
              <w:spacing w:after="0" w:line="136" w:lineRule="exact"/>
              <w:rPr>
                <w:sz w:val="20"/>
                <w:szCs w:val="20"/>
                <w:color w:val="auto"/>
              </w:rPr>
            </w:pPr>
            <w:r>
              <w:rPr>
                <w:rFonts w:ascii="Arial" w:cs="Arial" w:eastAsia="Arial" w:hAnsi="Arial"/>
                <w:sz w:val="13"/>
                <w:szCs w:val="13"/>
                <w:b w:val="1"/>
                <w:bCs w:val="1"/>
                <w:color w:val="00AE4F"/>
              </w:rPr>
              <w:t>  Corporate Component and Business Unit</w:t>
            </w:r>
          </w:p>
        </w:tc>
        <w:tc>
          <w:tcPr>
            <w:tcW w:w="152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3"/>
                <w:szCs w:val="13"/>
                <w:b w:val="1"/>
                <w:bCs w:val="1"/>
                <w:color w:val="00AE4F"/>
              </w:rPr>
              <w:t>Threshold</w:t>
            </w:r>
          </w:p>
        </w:tc>
        <w:tc>
          <w:tcPr>
            <w:tcW w:w="580" w:type="dxa"/>
            <w:vAlign w:val="bottom"/>
          </w:tcPr>
          <w:p>
            <w:pPr>
              <w:jc w:val="center"/>
              <w:spacing w:after="0" w:line="136" w:lineRule="exact"/>
              <w:rPr>
                <w:sz w:val="20"/>
                <w:szCs w:val="20"/>
                <w:color w:val="auto"/>
              </w:rPr>
            </w:pPr>
            <w:r>
              <w:rPr>
                <w:rFonts w:ascii="Arial" w:cs="Arial" w:eastAsia="Arial" w:hAnsi="Arial"/>
                <w:sz w:val="13"/>
                <w:szCs w:val="13"/>
                <w:b w:val="1"/>
                <w:bCs w:val="1"/>
                <w:color w:val="00AE4F"/>
              </w:rPr>
              <w:t>Target</w:t>
            </w:r>
          </w:p>
        </w:tc>
        <w:tc>
          <w:tcPr>
            <w:tcW w:w="700" w:type="dxa"/>
            <w:vAlign w:val="bottom"/>
          </w:tcPr>
          <w:p>
            <w:pPr>
              <w:ind w:left="80"/>
              <w:spacing w:after="0" w:line="136" w:lineRule="exact"/>
              <w:rPr>
                <w:sz w:val="20"/>
                <w:szCs w:val="20"/>
                <w:color w:val="auto"/>
              </w:rPr>
            </w:pPr>
            <w:r>
              <w:rPr>
                <w:rFonts w:ascii="Arial" w:cs="Arial" w:eastAsia="Arial" w:hAnsi="Arial"/>
                <w:sz w:val="13"/>
                <w:szCs w:val="13"/>
                <w:b w:val="1"/>
                <w:bCs w:val="1"/>
                <w:color w:val="00AE4F"/>
                <w:w w:val="99"/>
              </w:rPr>
              <w:t>Maximum</w:t>
            </w:r>
          </w:p>
        </w:tc>
        <w:tc>
          <w:tcPr>
            <w:tcW w:w="1060" w:type="dxa"/>
            <w:vAlign w:val="bottom"/>
          </w:tcPr>
          <w:p>
            <w:pPr>
              <w:jc w:val="center"/>
              <w:spacing w:after="0" w:line="136" w:lineRule="exact"/>
              <w:rPr>
                <w:sz w:val="20"/>
                <w:szCs w:val="20"/>
                <w:color w:val="auto"/>
              </w:rPr>
            </w:pPr>
            <w:r>
              <w:rPr>
                <w:rFonts w:ascii="Arial" w:cs="Arial" w:eastAsia="Arial" w:hAnsi="Arial"/>
                <w:sz w:val="13"/>
                <w:szCs w:val="13"/>
                <w:b w:val="1"/>
                <w:bCs w:val="1"/>
                <w:color w:val="00AE4F"/>
              </w:rPr>
              <w:t>2025</w:t>
            </w:r>
          </w:p>
        </w:tc>
        <w:tc>
          <w:tcPr>
            <w:tcW w:w="1460" w:type="dxa"/>
            <w:vAlign w:val="bottom"/>
          </w:tcPr>
          <w:p>
            <w:pPr>
              <w:jc w:val="right"/>
              <w:ind w:right="328"/>
              <w:spacing w:after="0" w:line="136" w:lineRule="exact"/>
              <w:rPr>
                <w:sz w:val="20"/>
                <w:szCs w:val="20"/>
                <w:color w:val="auto"/>
              </w:rPr>
            </w:pPr>
            <w:r>
              <w:rPr>
                <w:rFonts w:ascii="Arial" w:cs="Arial" w:eastAsia="Arial" w:hAnsi="Arial"/>
                <w:sz w:val="13"/>
                <w:szCs w:val="13"/>
                <w:b w:val="1"/>
                <w:bCs w:val="1"/>
                <w:color w:val="00AE4F"/>
              </w:rPr>
              <w:t>2025 Payout</w:t>
            </w:r>
          </w:p>
        </w:tc>
      </w:tr>
      <w:tr>
        <w:trPr>
          <w:trHeight w:val="180"/>
        </w:trPr>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AE4F"/>
              </w:rPr>
              <w:t>  Performance Measures</w:t>
            </w:r>
          </w:p>
        </w:tc>
        <w:tc>
          <w:tcPr>
            <w:tcW w:w="152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00AE4F"/>
              </w:rPr>
              <w:t>Weighting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(50%)</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(100%)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(200%)</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00AE4F"/>
              </w:rPr>
              <w:t>Performance</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00AE4F"/>
              </w:rPr>
              <w:t>(% of Target)</w:t>
            </w:r>
          </w:p>
        </w:tc>
      </w:tr>
      <w:tr>
        <w:trPr>
          <w:trHeight w:val="222"/>
        </w:trPr>
        <w:tc>
          <w:tcPr>
            <w:tcW w:w="40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Corporate Component Performance Measures</w:t>
            </w:r>
          </w:p>
        </w:tc>
        <w:tc>
          <w:tcPr>
            <w:tcW w:w="1520" w:type="dxa"/>
            <w:vAlign w:val="bottom"/>
            <w:tcBorders>
              <w:bottom w:val="single" w:sz="8" w:color="7F7F7F"/>
            </w:tcBorders>
          </w:tcPr>
          <w:p>
            <w:pPr>
              <w:jc w:val="center"/>
              <w:ind w:left="787"/>
              <w:spacing w:after="0"/>
              <w:rPr>
                <w:sz w:val="20"/>
                <w:szCs w:val="20"/>
                <w:color w:val="auto"/>
              </w:rPr>
            </w:pPr>
            <w:r>
              <w:rPr>
                <w:rFonts w:ascii="Arial" w:cs="Arial" w:eastAsia="Arial" w:hAnsi="Arial"/>
                <w:sz w:val="15"/>
                <w:szCs w:val="15"/>
                <w:color w:val="auto"/>
                <w:w w:val="99"/>
              </w:rPr>
              <w:t>50%</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$144.8</w:t>
            </w:r>
          </w:p>
        </w:tc>
        <w:tc>
          <w:tcPr>
            <w:tcW w:w="5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$170.4</w:t>
            </w:r>
          </w:p>
        </w:tc>
        <w:tc>
          <w:tcPr>
            <w:tcW w:w="7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$213.0</w:t>
            </w:r>
          </w:p>
        </w:tc>
        <w:tc>
          <w:tcPr>
            <w:tcW w:w="10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$109.4</w:t>
            </w:r>
          </w:p>
        </w:tc>
        <w:tc>
          <w:tcPr>
            <w:tcW w:w="1460" w:type="dxa"/>
            <w:vAlign w:val="bottom"/>
            <w:tcBorders>
              <w:bottom w:val="single" w:sz="8" w:color="7F7F7F"/>
            </w:tcBorders>
          </w:tcPr>
          <w:p>
            <w:pPr>
              <w:jc w:val="right"/>
              <w:ind w:right="528"/>
              <w:spacing w:after="0"/>
              <w:rPr>
                <w:sz w:val="20"/>
                <w:szCs w:val="20"/>
                <w:color w:val="auto"/>
              </w:rPr>
            </w:pPr>
            <w:r>
              <w:rPr>
                <w:rFonts w:ascii="Arial" w:cs="Arial" w:eastAsia="Arial" w:hAnsi="Arial"/>
                <w:sz w:val="15"/>
                <w:szCs w:val="15"/>
                <w:color w:val="auto"/>
              </w:rPr>
              <w:t>0.0%</w:t>
            </w:r>
          </w:p>
        </w:tc>
      </w:tr>
      <w:tr>
        <w:trPr>
          <w:trHeight w:val="228"/>
        </w:trPr>
        <w:tc>
          <w:tcPr>
            <w:tcW w:w="40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Business Unit Gross Profit ($)</w:t>
            </w:r>
          </w:p>
        </w:tc>
        <w:tc>
          <w:tcPr>
            <w:tcW w:w="1520" w:type="dxa"/>
            <w:vAlign w:val="bottom"/>
            <w:tcBorders>
              <w:bottom w:val="single" w:sz="8" w:color="7F7F7F"/>
            </w:tcBorders>
          </w:tcPr>
          <w:p>
            <w:pPr>
              <w:jc w:val="center"/>
              <w:ind w:left="787"/>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$393.2</w:t>
            </w:r>
          </w:p>
        </w:tc>
        <w:tc>
          <w:tcPr>
            <w:tcW w:w="5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$462.6</w:t>
            </w:r>
          </w:p>
        </w:tc>
        <w:tc>
          <w:tcPr>
            <w:tcW w:w="7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$578.3</w:t>
            </w:r>
          </w:p>
        </w:tc>
        <w:tc>
          <w:tcPr>
            <w:tcW w:w="10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$392.8</w:t>
            </w:r>
          </w:p>
        </w:tc>
        <w:tc>
          <w:tcPr>
            <w:tcW w:w="1460" w:type="dxa"/>
            <w:vAlign w:val="bottom"/>
            <w:tcBorders>
              <w:bottom w:val="single" w:sz="8" w:color="7F7F7F"/>
            </w:tcBorders>
          </w:tcPr>
          <w:p>
            <w:pPr>
              <w:jc w:val="right"/>
              <w:ind w:right="528"/>
              <w:spacing w:after="0"/>
              <w:rPr>
                <w:sz w:val="20"/>
                <w:szCs w:val="20"/>
                <w:color w:val="auto"/>
              </w:rPr>
            </w:pPr>
            <w:r>
              <w:rPr>
                <w:rFonts w:ascii="Arial" w:cs="Arial" w:eastAsia="Arial" w:hAnsi="Arial"/>
                <w:sz w:val="15"/>
                <w:szCs w:val="15"/>
                <w:color w:val="auto"/>
              </w:rPr>
              <w:t>0.0%</w:t>
            </w:r>
          </w:p>
        </w:tc>
      </w:tr>
      <w:tr>
        <w:trPr>
          <w:trHeight w:val="228"/>
        </w:trPr>
        <w:tc>
          <w:tcPr>
            <w:tcW w:w="40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Business Unit EBITDA ($)</w:t>
            </w:r>
          </w:p>
        </w:tc>
        <w:tc>
          <w:tcPr>
            <w:tcW w:w="1520" w:type="dxa"/>
            <w:vAlign w:val="bottom"/>
            <w:tcBorders>
              <w:bottom w:val="single" w:sz="8" w:color="7F7F7F"/>
            </w:tcBorders>
          </w:tcPr>
          <w:p>
            <w:pPr>
              <w:jc w:val="center"/>
              <w:ind w:left="787"/>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5"/>
              </w:rPr>
              <w:t>$55.2</w:t>
            </w:r>
          </w:p>
        </w:tc>
        <w:tc>
          <w:tcPr>
            <w:tcW w:w="58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$64.9</w:t>
            </w:r>
          </w:p>
        </w:tc>
        <w:tc>
          <w:tcPr>
            <w:tcW w:w="7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5"/>
              </w:rPr>
              <w:t>$81.2</w:t>
            </w:r>
          </w:p>
        </w:tc>
        <w:tc>
          <w:tcPr>
            <w:tcW w:w="10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$27.5</w:t>
            </w:r>
          </w:p>
        </w:tc>
        <w:tc>
          <w:tcPr>
            <w:tcW w:w="1460" w:type="dxa"/>
            <w:vAlign w:val="bottom"/>
            <w:tcBorders>
              <w:bottom w:val="single" w:sz="8" w:color="7F7F7F"/>
            </w:tcBorders>
          </w:tcPr>
          <w:p>
            <w:pPr>
              <w:jc w:val="right"/>
              <w:ind w:right="528"/>
              <w:spacing w:after="0"/>
              <w:rPr>
                <w:sz w:val="20"/>
                <w:szCs w:val="20"/>
                <w:color w:val="auto"/>
              </w:rPr>
            </w:pPr>
            <w:r>
              <w:rPr>
                <w:rFonts w:ascii="Arial" w:cs="Arial" w:eastAsia="Arial" w:hAnsi="Arial"/>
                <w:sz w:val="15"/>
                <w:szCs w:val="15"/>
                <w:color w:val="auto"/>
              </w:rPr>
              <w:t>0.0%</w:t>
            </w:r>
          </w:p>
        </w:tc>
      </w:tr>
      <w:tr>
        <w:trPr>
          <w:trHeight w:val="198"/>
        </w:trPr>
        <w:tc>
          <w:tcPr>
            <w:tcW w:w="4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5"/>
                <w:szCs w:val="15"/>
                <w:b w:val="1"/>
                <w:bCs w:val="1"/>
                <w:color w:val="auto"/>
              </w:rPr>
              <w:t>Weighted Payout</w:t>
            </w:r>
          </w:p>
        </w:tc>
      </w:tr>
      <w:tr>
        <w:trPr>
          <w:trHeight w:val="207"/>
        </w:trPr>
        <w:tc>
          <w:tcPr>
            <w:tcW w:w="400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i w:val="1"/>
                <w:iCs w:val="1"/>
                <w:color w:val="auto"/>
              </w:rPr>
              <w:t>$ in millions</w:t>
            </w:r>
          </w:p>
        </w:tc>
        <w:tc>
          <w:tcPr>
            <w:tcW w:w="1520" w:type="dxa"/>
            <w:vAlign w:val="bottom"/>
            <w:tcBorders>
              <w:bottom w:val="single" w:sz="8" w:color="7F7F7F"/>
            </w:tcBorders>
          </w:tcPr>
          <w:p>
            <w:pPr>
              <w:jc w:val="center"/>
              <w:ind w:left="787"/>
              <w:spacing w:after="0"/>
              <w:rPr>
                <w:sz w:val="20"/>
                <w:szCs w:val="20"/>
                <w:color w:val="auto"/>
              </w:rPr>
            </w:pPr>
            <w:r>
              <w:rPr>
                <w:rFonts w:ascii="Arial" w:cs="Arial" w:eastAsia="Arial" w:hAnsi="Arial"/>
                <w:sz w:val="15"/>
                <w:szCs w:val="15"/>
                <w:b w:val="1"/>
                <w:bCs w:val="1"/>
                <w:color w:val="auto"/>
                <w:w w:val="98"/>
              </w:rPr>
              <w:t>100%</w:t>
            </w:r>
          </w:p>
        </w:tc>
        <w:tc>
          <w:tcPr>
            <w:tcW w:w="82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106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b w:val="1"/>
                <w:bCs w:val="1"/>
                <w:color w:val="auto"/>
              </w:rPr>
              <w:t>0.0%</w:t>
            </w:r>
          </w:p>
        </w:tc>
      </w:tr>
    </w:tbl>
    <w:p>
      <w:pPr>
        <w:spacing w:after="0" w:line="287"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Nicola M. Soares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Ms. Soares’ STIP opportunity was based 50% on the corporate measures and 50% on the business unit measure for which she was accountable.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Performance results for each of Ms. Soares’ measures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3"/>
                <w:szCs w:val="13"/>
                <w:b w:val="1"/>
                <w:bCs w:val="1"/>
                <w:color w:val="00AE4F"/>
              </w:rPr>
              <w:t>2025 Performance Goals</w:t>
            </w: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35"/>
        </w:trPr>
        <w:tc>
          <w:tcPr>
            <w:tcW w:w="4100" w:type="dxa"/>
            <w:vAlign w:val="bottom"/>
          </w:tcPr>
          <w:p>
            <w:pPr>
              <w:spacing w:after="0" w:line="136" w:lineRule="exact"/>
              <w:rPr>
                <w:sz w:val="20"/>
                <w:szCs w:val="20"/>
                <w:color w:val="auto"/>
              </w:rPr>
            </w:pPr>
            <w:r>
              <w:rPr>
                <w:rFonts w:ascii="Arial" w:cs="Arial" w:eastAsia="Arial" w:hAnsi="Arial"/>
                <w:sz w:val="13"/>
                <w:szCs w:val="13"/>
                <w:b w:val="1"/>
                <w:bCs w:val="1"/>
                <w:color w:val="00AE4F"/>
              </w:rPr>
              <w:t>  Corporate Component and Business Unit</w:t>
            </w:r>
          </w:p>
        </w:tc>
        <w:tc>
          <w:tcPr>
            <w:tcW w:w="1620" w:type="dxa"/>
            <w:vAlign w:val="bottom"/>
          </w:tcPr>
          <w:p>
            <w:pPr>
              <w:spacing w:after="0"/>
              <w:rPr>
                <w:sz w:val="11"/>
                <w:szCs w:val="11"/>
                <w:color w:val="auto"/>
              </w:rPr>
            </w:pPr>
          </w:p>
        </w:tc>
        <w:tc>
          <w:tcPr>
            <w:tcW w:w="800" w:type="dxa"/>
            <w:vAlign w:val="bottom"/>
          </w:tcPr>
          <w:p>
            <w:pPr>
              <w:ind w:left="100"/>
              <w:spacing w:after="0" w:line="136" w:lineRule="exact"/>
              <w:rPr>
                <w:sz w:val="20"/>
                <w:szCs w:val="20"/>
                <w:color w:val="auto"/>
              </w:rPr>
            </w:pPr>
            <w:r>
              <w:rPr>
                <w:rFonts w:ascii="Arial" w:cs="Arial" w:eastAsia="Arial" w:hAnsi="Arial"/>
                <w:sz w:val="13"/>
                <w:szCs w:val="13"/>
                <w:b w:val="1"/>
                <w:bCs w:val="1"/>
                <w:color w:val="00AE4F"/>
              </w:rPr>
              <w:t>Threshold</w:t>
            </w:r>
          </w:p>
        </w:tc>
        <w:tc>
          <w:tcPr>
            <w:tcW w:w="560" w:type="dxa"/>
            <w:vAlign w:val="bottom"/>
          </w:tcPr>
          <w:p>
            <w:pPr>
              <w:jc w:val="center"/>
              <w:spacing w:after="0" w:line="136" w:lineRule="exact"/>
              <w:rPr>
                <w:sz w:val="20"/>
                <w:szCs w:val="20"/>
                <w:color w:val="auto"/>
              </w:rPr>
            </w:pPr>
            <w:r>
              <w:rPr>
                <w:rFonts w:ascii="Arial" w:cs="Arial" w:eastAsia="Arial" w:hAnsi="Arial"/>
                <w:sz w:val="13"/>
                <w:szCs w:val="13"/>
                <w:b w:val="1"/>
                <w:bCs w:val="1"/>
                <w:color w:val="00AE4F"/>
              </w:rPr>
              <w:t>Target</w:t>
            </w:r>
          </w:p>
        </w:tc>
        <w:tc>
          <w:tcPr>
            <w:tcW w:w="660" w:type="dxa"/>
            <w:vAlign w:val="bottom"/>
          </w:tcPr>
          <w:p>
            <w:pPr>
              <w:ind w:left="40"/>
              <w:spacing w:after="0" w:line="136" w:lineRule="exact"/>
              <w:rPr>
                <w:sz w:val="20"/>
                <w:szCs w:val="20"/>
                <w:color w:val="auto"/>
              </w:rPr>
            </w:pPr>
            <w:r>
              <w:rPr>
                <w:rFonts w:ascii="Arial" w:cs="Arial" w:eastAsia="Arial" w:hAnsi="Arial"/>
                <w:sz w:val="13"/>
                <w:szCs w:val="13"/>
                <w:b w:val="1"/>
                <w:bCs w:val="1"/>
                <w:color w:val="00AE4F"/>
                <w:w w:val="99"/>
              </w:rPr>
              <w:t>Maximum</w:t>
            </w:r>
          </w:p>
        </w:tc>
        <w:tc>
          <w:tcPr>
            <w:tcW w:w="1000" w:type="dxa"/>
            <w:vAlign w:val="bottom"/>
          </w:tcPr>
          <w:p>
            <w:pPr>
              <w:jc w:val="center"/>
              <w:spacing w:after="0" w:line="136" w:lineRule="exact"/>
              <w:rPr>
                <w:sz w:val="20"/>
                <w:szCs w:val="20"/>
                <w:color w:val="auto"/>
              </w:rPr>
            </w:pPr>
            <w:r>
              <w:rPr>
                <w:rFonts w:ascii="Arial" w:cs="Arial" w:eastAsia="Arial" w:hAnsi="Arial"/>
                <w:sz w:val="13"/>
                <w:szCs w:val="13"/>
                <w:b w:val="1"/>
                <w:bCs w:val="1"/>
                <w:color w:val="00AE4F"/>
              </w:rPr>
              <w:t>2025</w:t>
            </w:r>
          </w:p>
        </w:tc>
        <w:tc>
          <w:tcPr>
            <w:tcW w:w="1400" w:type="dxa"/>
            <w:vAlign w:val="bottom"/>
          </w:tcPr>
          <w:p>
            <w:pPr>
              <w:jc w:val="right"/>
              <w:ind w:right="288"/>
              <w:spacing w:after="0" w:line="136" w:lineRule="exact"/>
              <w:rPr>
                <w:sz w:val="20"/>
                <w:szCs w:val="20"/>
                <w:color w:val="auto"/>
              </w:rPr>
            </w:pPr>
            <w:r>
              <w:rPr>
                <w:rFonts w:ascii="Arial" w:cs="Arial" w:eastAsia="Arial" w:hAnsi="Arial"/>
                <w:sz w:val="13"/>
                <w:szCs w:val="13"/>
                <w:b w:val="1"/>
                <w:bCs w:val="1"/>
                <w:color w:val="00AE4F"/>
              </w:rPr>
              <w:t>2025 Payout</w:t>
            </w:r>
          </w:p>
        </w:tc>
      </w:tr>
      <w:tr>
        <w:trPr>
          <w:trHeight w:val="180"/>
        </w:trPr>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AE4F"/>
              </w:rPr>
              <w:t>  Performance Measures</w:t>
            </w:r>
          </w:p>
        </w:tc>
        <w:tc>
          <w:tcPr>
            <w:tcW w:w="16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00AE4F"/>
                <w:w w:val="98"/>
              </w:rPr>
              <w:t>Weighting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(50%)</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(100%)</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(200%)</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0AE4F"/>
              </w:rPr>
              <w:t>Performance</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00AE4F"/>
              </w:rPr>
              <w:t>(% of Target)</w:t>
            </w:r>
          </w:p>
        </w:tc>
      </w:tr>
      <w:tr>
        <w:trPr>
          <w:trHeight w:val="222"/>
        </w:trPr>
        <w:tc>
          <w:tcPr>
            <w:tcW w:w="41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Corporate Component Performance Measures</w:t>
            </w:r>
          </w:p>
        </w:tc>
        <w:tc>
          <w:tcPr>
            <w:tcW w:w="1620" w:type="dxa"/>
            <w:vAlign w:val="bottom"/>
            <w:tcBorders>
              <w:bottom w:val="single" w:sz="8" w:color="7F7F7F"/>
            </w:tcBorders>
          </w:tcPr>
          <w:p>
            <w:pPr>
              <w:jc w:val="center"/>
              <w:ind w:left="887"/>
              <w:spacing w:after="0"/>
              <w:rPr>
                <w:sz w:val="20"/>
                <w:szCs w:val="20"/>
                <w:color w:val="auto"/>
              </w:rPr>
            </w:pPr>
            <w:r>
              <w:rPr>
                <w:rFonts w:ascii="Arial" w:cs="Arial" w:eastAsia="Arial" w:hAnsi="Arial"/>
                <w:sz w:val="15"/>
                <w:szCs w:val="15"/>
                <w:color w:val="auto"/>
                <w:w w:val="99"/>
              </w:rPr>
              <w:t>50%</w:t>
            </w: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$144.8</w:t>
            </w:r>
          </w:p>
        </w:tc>
        <w:tc>
          <w:tcPr>
            <w:tcW w:w="5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$170.4</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$213.0</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$109.4</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9"/>
              </w:rPr>
              <w:t>0.0%</w:t>
            </w:r>
          </w:p>
        </w:tc>
      </w:tr>
      <w:tr>
        <w:trPr>
          <w:trHeight w:val="228"/>
        </w:trPr>
        <w:tc>
          <w:tcPr>
            <w:tcW w:w="41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Business Unit Gross Profit ($)</w:t>
            </w:r>
          </w:p>
        </w:tc>
        <w:tc>
          <w:tcPr>
            <w:tcW w:w="1620" w:type="dxa"/>
            <w:vAlign w:val="bottom"/>
            <w:tcBorders>
              <w:bottom w:val="single" w:sz="8" w:color="7F7F7F"/>
            </w:tcBorders>
          </w:tcPr>
          <w:p>
            <w:pPr>
              <w:jc w:val="center"/>
              <w:ind w:left="887"/>
              <w:spacing w:after="0"/>
              <w:rPr>
                <w:sz w:val="20"/>
                <w:szCs w:val="20"/>
                <w:color w:val="auto"/>
              </w:rPr>
            </w:pPr>
            <w:r>
              <w:rPr>
                <w:rFonts w:ascii="Arial" w:cs="Arial" w:eastAsia="Arial" w:hAnsi="Arial"/>
                <w:sz w:val="15"/>
                <w:szCs w:val="15"/>
                <w:color w:val="auto"/>
                <w:w w:val="99"/>
              </w:rPr>
              <w:t>25%</w:t>
            </w: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$135.5</w:t>
            </w:r>
          </w:p>
        </w:tc>
        <w:tc>
          <w:tcPr>
            <w:tcW w:w="5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$159.4</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$199.2</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$147.0</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8"/>
              </w:rPr>
              <w:t>92.2%</w:t>
            </w:r>
          </w:p>
        </w:tc>
      </w:tr>
      <w:tr>
        <w:trPr>
          <w:trHeight w:val="228"/>
        </w:trPr>
        <w:tc>
          <w:tcPr>
            <w:tcW w:w="41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Business Unit EBITDA ($)</w:t>
            </w:r>
          </w:p>
        </w:tc>
        <w:tc>
          <w:tcPr>
            <w:tcW w:w="1620" w:type="dxa"/>
            <w:vAlign w:val="bottom"/>
            <w:tcBorders>
              <w:bottom w:val="single" w:sz="8" w:color="7F7F7F"/>
            </w:tcBorders>
          </w:tcPr>
          <w:p>
            <w:pPr>
              <w:jc w:val="center"/>
              <w:ind w:left="887"/>
              <w:spacing w:after="0"/>
              <w:rPr>
                <w:sz w:val="20"/>
                <w:szCs w:val="20"/>
                <w:color w:val="auto"/>
              </w:rPr>
            </w:pPr>
            <w:r>
              <w:rPr>
                <w:rFonts w:ascii="Arial" w:cs="Arial" w:eastAsia="Arial" w:hAnsi="Arial"/>
                <w:sz w:val="15"/>
                <w:szCs w:val="15"/>
                <w:color w:val="auto"/>
                <w:w w:val="99"/>
              </w:rPr>
              <w:t>25%</w:t>
            </w: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5"/>
              </w:rPr>
              <w:t>$43.3</w:t>
            </w:r>
          </w:p>
        </w:tc>
        <w:tc>
          <w:tcPr>
            <w:tcW w:w="5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$50.9</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$63.6</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rPr>
              <w:t>$46.2</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8"/>
              </w:rPr>
              <w:t>90.7%</w:t>
            </w:r>
          </w:p>
        </w:tc>
      </w:tr>
      <w:tr>
        <w:trPr>
          <w:trHeight w:val="198"/>
        </w:trPr>
        <w:tc>
          <w:tcPr>
            <w:tcW w:w="4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jc w:val="right"/>
              <w:ind w:right="48"/>
              <w:spacing w:after="0"/>
              <w:rPr>
                <w:sz w:val="20"/>
                <w:szCs w:val="20"/>
                <w:color w:val="auto"/>
              </w:rPr>
            </w:pPr>
            <w:r>
              <w:rPr>
                <w:rFonts w:ascii="Arial" w:cs="Arial" w:eastAsia="Arial" w:hAnsi="Arial"/>
                <w:sz w:val="15"/>
                <w:szCs w:val="15"/>
                <w:b w:val="1"/>
                <w:bCs w:val="1"/>
                <w:color w:val="auto"/>
              </w:rPr>
              <w:t>Weighted Payout</w:t>
            </w:r>
          </w:p>
        </w:tc>
      </w:tr>
      <w:tr>
        <w:trPr>
          <w:trHeight w:val="207"/>
        </w:trPr>
        <w:tc>
          <w:tcPr>
            <w:tcW w:w="410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i w:val="1"/>
                <w:iCs w:val="1"/>
                <w:color w:val="auto"/>
              </w:rPr>
              <w:t>$ in millions</w:t>
            </w:r>
          </w:p>
        </w:tc>
        <w:tc>
          <w:tcPr>
            <w:tcW w:w="1620" w:type="dxa"/>
            <w:vAlign w:val="bottom"/>
            <w:tcBorders>
              <w:bottom w:val="single" w:sz="8" w:color="7F7F7F"/>
            </w:tcBorders>
          </w:tcPr>
          <w:p>
            <w:pPr>
              <w:jc w:val="center"/>
              <w:ind w:left="887"/>
              <w:spacing w:after="0"/>
              <w:rPr>
                <w:sz w:val="20"/>
                <w:szCs w:val="20"/>
                <w:color w:val="auto"/>
              </w:rPr>
            </w:pPr>
            <w:r>
              <w:rPr>
                <w:rFonts w:ascii="Arial" w:cs="Arial" w:eastAsia="Arial" w:hAnsi="Arial"/>
                <w:sz w:val="15"/>
                <w:szCs w:val="15"/>
                <w:b w:val="1"/>
                <w:bCs w:val="1"/>
                <w:color w:val="auto"/>
                <w:w w:val="98"/>
              </w:rPr>
              <w:t>100%</w:t>
            </w:r>
          </w:p>
        </w:tc>
        <w:tc>
          <w:tcPr>
            <w:tcW w:w="800" w:type="dxa"/>
            <w:vAlign w:val="bottom"/>
            <w:tcBorders>
              <w:bottom w:val="single" w:sz="8" w:color="7F7F7F"/>
            </w:tcBorders>
          </w:tcPr>
          <w:p>
            <w:pPr>
              <w:spacing w:after="0"/>
              <w:rPr>
                <w:sz w:val="17"/>
                <w:szCs w:val="17"/>
                <w:color w:val="auto"/>
              </w:rPr>
            </w:pPr>
          </w:p>
        </w:tc>
        <w:tc>
          <w:tcPr>
            <w:tcW w:w="56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spacing w:after="0"/>
              <w:rPr>
                <w:sz w:val="17"/>
                <w:szCs w:val="17"/>
                <w:color w:val="auto"/>
              </w:rPr>
            </w:pPr>
          </w:p>
        </w:tc>
        <w:tc>
          <w:tcPr>
            <w:tcW w:w="140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b w:val="1"/>
                <w:bCs w:val="1"/>
                <w:color w:val="auto"/>
              </w:rPr>
              <w:t>35.8%</w:t>
            </w:r>
          </w:p>
        </w:tc>
      </w:tr>
    </w:tbl>
    <w:p>
      <w:pPr>
        <w:spacing w:after="0" w:line="50" w:lineRule="exact"/>
        <w:rPr>
          <w:sz w:val="20"/>
          <w:szCs w:val="20"/>
          <w:color w:val="auto"/>
        </w:rPr>
      </w:pPr>
    </w:p>
    <w:p>
      <w:pPr>
        <w:ind w:left="560" w:right="160"/>
        <w:spacing w:after="0" w:line="258" w:lineRule="auto"/>
        <w:rPr>
          <w:sz w:val="20"/>
          <w:szCs w:val="20"/>
          <w:color w:val="auto"/>
        </w:rPr>
      </w:pPr>
      <w:r>
        <w:rPr>
          <w:rFonts w:ascii="Arial" w:cs="Arial" w:eastAsia="Arial" w:hAnsi="Arial"/>
          <w:sz w:val="15"/>
          <w:szCs w:val="15"/>
          <w:color w:val="auto"/>
        </w:rPr>
        <w:t>Under the terms of the STIP, the Committee retains the right in its discretion to adjust a STIP award based on Company, business unit, or individual performance. The Committee has no discretion to increase a STIP award for named executive officers, outside of the aforementioned parameters. STIP awards made in 2025 to named executive officers are subject to the Company’s Clawback Policy.</w:t>
      </w:r>
    </w:p>
    <w:p>
      <w:pPr>
        <w:spacing w:after="0" w:line="3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56 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right="20"/>
        <w:spacing w:after="0" w:line="250" w:lineRule="auto"/>
        <w:rPr>
          <w:sz w:val="20"/>
          <w:szCs w:val="20"/>
          <w:color w:val="auto"/>
        </w:rPr>
      </w:pPr>
      <w:r>
        <w:rPr>
          <w:rFonts w:ascii="Arial" w:cs="Arial" w:eastAsia="Arial" w:hAnsi="Arial"/>
          <w:sz w:val="15"/>
          <w:szCs w:val="15"/>
          <w:color w:val="auto"/>
        </w:rPr>
        <w:t>As discussed above, 2025 corporate performance fell below threshold levels under the STIP design and therefore did not fund. As a result, enterprise-based participants did not earn payouts under the plan. Ms. Soares, whose STIP opportunity was weighted 50% to corporate performance and 50% to business unit performance, earned a payout equal to 35.8% of target based solely on business unit results, resulting in a payment of $89,816. Pursuant to his employment agreement, Mr. Layden received a guaranteed 2025 STIP payment of $450,000, which was structured to compensate him for incentive compensation forfeited upon leaving his prior employer. No other named executive officers earned a payout under the 2025 STIP.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Long-Term Incentives (“LTI”)</w:t>
      </w:r>
    </w:p>
    <w:p>
      <w:pPr>
        <w:spacing w:after="0" w:line="61" w:lineRule="exact"/>
        <w:rPr>
          <w:sz w:val="20"/>
          <w:szCs w:val="20"/>
          <w:color w:val="auto"/>
        </w:rPr>
      </w:pPr>
    </w:p>
    <w:p>
      <w:pPr>
        <w:ind w:left="560" w:right="680"/>
        <w:spacing w:after="0" w:line="275" w:lineRule="auto"/>
        <w:rPr>
          <w:sz w:val="20"/>
          <w:szCs w:val="20"/>
          <w:color w:val="auto"/>
        </w:rPr>
      </w:pPr>
      <w:r>
        <w:rPr>
          <w:rFonts w:ascii="Arial" w:cs="Arial" w:eastAsia="Arial" w:hAnsi="Arial"/>
          <w:sz w:val="15"/>
          <w:szCs w:val="15"/>
          <w:color w:val="auto"/>
        </w:rPr>
        <w:t>The 2025 Equity Incentive Plan (“Plan”) rewards participants for achieving long-term growth and profitability goals while supporting our retention objectives and aligning executive interests with shareholders. The Plan allows for equity and non-equity awards to key employees.</w:t>
      </w:r>
    </w:p>
    <w:p>
      <w:pPr>
        <w:spacing w:after="0" w:line="14" w:lineRule="exact"/>
        <w:rPr>
          <w:sz w:val="20"/>
          <w:szCs w:val="20"/>
          <w:color w:val="auto"/>
        </w:rPr>
      </w:pPr>
    </w:p>
    <w:p>
      <w:pPr>
        <w:ind w:left="560" w:right="100"/>
        <w:spacing w:after="0" w:line="250" w:lineRule="auto"/>
        <w:rPr>
          <w:sz w:val="20"/>
          <w:szCs w:val="20"/>
          <w:color w:val="auto"/>
        </w:rPr>
      </w:pPr>
      <w:r>
        <w:rPr>
          <w:rFonts w:ascii="Arial" w:cs="Arial" w:eastAsia="Arial" w:hAnsi="Arial"/>
          <w:sz w:val="15"/>
          <w:szCs w:val="15"/>
          <w:color w:val="auto"/>
        </w:rPr>
        <w:t>The Committee believes that the executive compensation programs should include strong alignment between pay and performance, with a significant portion of “at risk” pay. To reinforce pay-for-performance alignment, the Committee weights LTI awards heavily toward performance shares. In 2025, the CEO’s LTI grant was 75% performance shares (at target) and 25% restricted stock, while other named executive officers received 60% performance shares (at target) and 40% restricted stock. The number of shares granted is determined by dividing the target value by the stock price on the grant date, as shown in the “Grants of Plan-Based Awards” table.</w:t>
      </w:r>
    </w:p>
    <w:p>
      <w:pPr>
        <w:spacing w:after="0" w:line="44" w:lineRule="exact"/>
        <w:rPr>
          <w:sz w:val="20"/>
          <w:szCs w:val="20"/>
          <w:color w:val="auto"/>
        </w:rPr>
      </w:pPr>
    </w:p>
    <w:p>
      <w:pPr>
        <w:jc w:val="both"/>
        <w:ind w:left="560" w:right="80"/>
        <w:spacing w:after="0" w:line="258" w:lineRule="auto"/>
        <w:rPr>
          <w:sz w:val="20"/>
          <w:szCs w:val="20"/>
          <w:color w:val="auto"/>
        </w:rPr>
      </w:pPr>
      <w:r>
        <w:rPr>
          <w:rFonts w:ascii="Arial" w:cs="Arial" w:eastAsia="Arial" w:hAnsi="Arial"/>
          <w:sz w:val="15"/>
          <w:szCs w:val="15"/>
          <w:color w:val="auto"/>
        </w:rPr>
        <w:t>Performance measures align with the Company’s GAAP financial statements, excluding special items determined by the Committee such as: changes in accounting principles, acquisition or divestiture-related gains/losses or budget changes, restructuring expenses, and other unusual items quantified in the financial statements or footnotes to the Form 10-K. Adjustments apply only to unbudgeted items.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LTI grants and any performance-based awards made under the Plan are subject to the Company’s Clawback Policy.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Performance Shares</w:t>
      </w:r>
    </w:p>
    <w:p>
      <w:pPr>
        <w:spacing w:after="0" w:line="61" w:lineRule="exact"/>
        <w:rPr>
          <w:sz w:val="20"/>
          <w:szCs w:val="20"/>
          <w:color w:val="auto"/>
        </w:rPr>
      </w:pPr>
    </w:p>
    <w:p>
      <w:pPr>
        <w:ind w:left="560" w:right="320"/>
        <w:spacing w:after="0" w:line="275" w:lineRule="auto"/>
        <w:rPr>
          <w:sz w:val="20"/>
          <w:szCs w:val="20"/>
          <w:color w:val="auto"/>
        </w:rPr>
      </w:pPr>
      <w:r>
        <w:rPr>
          <w:rFonts w:ascii="Arial" w:cs="Arial" w:eastAsia="Arial" w:hAnsi="Arial"/>
          <w:sz w:val="15"/>
          <w:szCs w:val="15"/>
          <w:color w:val="auto"/>
        </w:rPr>
        <w:t>Performance shares provide the named executive officers with the opportunity to earn shares, from zero to 200% of their target opportunity, based on achievement of pre-established and goals for specified performance measures.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4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00AE4F"/>
              </w:rPr>
              <w:t>Threshold</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00AE4F"/>
              </w:rPr>
              <w:t>Target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00AE4F"/>
              </w:rPr>
              <w:t>Maximum</w:t>
            </w:r>
          </w:p>
        </w:tc>
      </w:tr>
      <w:tr>
        <w:trPr>
          <w:trHeight w:val="222"/>
        </w:trPr>
        <w:tc>
          <w:tcPr>
            <w:tcW w:w="44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Payout as a % of Target</w:t>
            </w:r>
          </w:p>
        </w:tc>
        <w:tc>
          <w:tcPr>
            <w:tcW w:w="3680" w:type="dxa"/>
            <w:vAlign w:val="bottom"/>
            <w:tcBorders>
              <w:bottom w:val="single" w:sz="8" w:color="7F7F7F"/>
            </w:tcBorders>
          </w:tcPr>
          <w:p>
            <w:pPr>
              <w:jc w:val="right"/>
              <w:ind w:right="290"/>
              <w:spacing w:after="0"/>
              <w:rPr>
                <w:sz w:val="20"/>
                <w:szCs w:val="20"/>
                <w:color w:val="auto"/>
              </w:rPr>
            </w:pPr>
            <w:r>
              <w:rPr>
                <w:rFonts w:ascii="Arial" w:cs="Arial" w:eastAsia="Arial" w:hAnsi="Arial"/>
                <w:sz w:val="15"/>
                <w:szCs w:val="15"/>
                <w:color w:val="auto"/>
              </w:rPr>
              <w:t>50%</w:t>
            </w:r>
          </w:p>
        </w:tc>
        <w:tc>
          <w:tcPr>
            <w:tcW w:w="1000" w:type="dxa"/>
            <w:vAlign w:val="bottom"/>
            <w:tcBorders>
              <w:bottom w:val="single" w:sz="8" w:color="7F7F7F"/>
            </w:tcBorders>
          </w:tcPr>
          <w:p>
            <w:pPr>
              <w:jc w:val="right"/>
              <w:ind w:right="210"/>
              <w:spacing w:after="0"/>
              <w:rPr>
                <w:sz w:val="20"/>
                <w:szCs w:val="20"/>
                <w:color w:val="auto"/>
              </w:rPr>
            </w:pPr>
            <w:r>
              <w:rPr>
                <w:rFonts w:ascii="Arial" w:cs="Arial" w:eastAsia="Arial" w:hAnsi="Arial"/>
                <w:sz w:val="15"/>
                <w:szCs w:val="15"/>
                <w:color w:val="auto"/>
              </w:rPr>
              <w:t>100%</w:t>
            </w:r>
          </w:p>
        </w:tc>
        <w:tc>
          <w:tcPr>
            <w:tcW w:w="1060" w:type="dxa"/>
            <w:vAlign w:val="bottom"/>
            <w:tcBorders>
              <w:bottom w:val="single" w:sz="8" w:color="7F7F7F"/>
            </w:tcBorders>
          </w:tcPr>
          <w:p>
            <w:pPr>
              <w:jc w:val="right"/>
              <w:ind w:right="110"/>
              <w:spacing w:after="0"/>
              <w:rPr>
                <w:sz w:val="20"/>
                <w:szCs w:val="20"/>
                <w:color w:val="auto"/>
              </w:rPr>
            </w:pPr>
            <w:r>
              <w:rPr>
                <w:rFonts w:ascii="Arial" w:cs="Arial" w:eastAsia="Arial" w:hAnsi="Arial"/>
                <w:sz w:val="15"/>
                <w:szCs w:val="15"/>
                <w:color w:val="auto"/>
              </w:rPr>
              <w:t>200%</w:t>
            </w:r>
          </w:p>
        </w:tc>
      </w:tr>
    </w:tbl>
    <w:p>
      <w:pPr>
        <w:spacing w:after="0" w:line="62" w:lineRule="exact"/>
        <w:rPr>
          <w:sz w:val="20"/>
          <w:szCs w:val="20"/>
          <w:color w:val="auto"/>
        </w:rPr>
      </w:pPr>
    </w:p>
    <w:p>
      <w:pPr>
        <w:ind w:left="560" w:right="80"/>
        <w:spacing w:after="0" w:line="252" w:lineRule="auto"/>
        <w:rPr>
          <w:sz w:val="20"/>
          <w:szCs w:val="20"/>
          <w:color w:val="auto"/>
        </w:rPr>
      </w:pPr>
      <w:r>
        <w:rPr>
          <w:rFonts w:ascii="Arial" w:cs="Arial" w:eastAsia="Arial" w:hAnsi="Arial"/>
          <w:sz w:val="15"/>
          <w:szCs w:val="15"/>
          <w:color w:val="auto"/>
        </w:rPr>
        <w:t>Threshold goals are typically set at levels the Committee believes appropriate to start earning incentives. Target goals are set at budgeted levels, which are considered “challenging but achievable”. Maximum goals are set at significant stretch levels which the Committee believes warrant the earning of two times target payout. Straight line interpolation occurs for achievement of performance between threshold and target, and between target and maximum. Performance awards are granted in the form of Performance Share Units, which are not eligible for dividends or dividend equivalents.</w:t>
      </w:r>
    </w:p>
    <w:p>
      <w:pPr>
        <w:spacing w:after="0" w:line="32" w:lineRule="exact"/>
        <w:rPr>
          <w:sz w:val="20"/>
          <w:szCs w:val="20"/>
          <w:color w:val="auto"/>
        </w:rPr>
      </w:pPr>
    </w:p>
    <w:p>
      <w:pPr>
        <w:ind w:left="560" w:right="20"/>
        <w:spacing w:after="0" w:line="246" w:lineRule="auto"/>
        <w:rPr>
          <w:sz w:val="20"/>
          <w:szCs w:val="20"/>
          <w:color w:val="auto"/>
        </w:rPr>
      </w:pPr>
      <w:r>
        <w:rPr>
          <w:rFonts w:ascii="Arial" w:cs="Arial" w:eastAsia="Arial" w:hAnsi="Arial"/>
          <w:sz w:val="15"/>
          <w:szCs w:val="15"/>
          <w:color w:val="auto"/>
        </w:rPr>
        <w:t>For the 2025-2027 performance share grant, the two equally weighted financial measures, revenue growth and EBITDA margin, are measured based on one-year goals established at the beginning of each performance period (2025, 2026, and 2027) that are set in the beginning of each performance period. This design allows the Committee to establish goals annually in light of evolving business conditions, supporting meaningful goals that drive profitable growth in unpredictable economic climate. In February 2025, the Committee approved goals at threshold, target, and maximum levels of performance for each of the measures for 2025. At the end of the 2025 performance period in early 2026, results for each of the two financial measures determined the achievement and earning of shares for one-third of the award opportunity. For the 2026 performance period, goals will be approved in early 2026 with results being reviewed in early 2027, and the 2027 performance period goals will be approved in early 2027. Any earned shares will vest 100% upon Committee approval in February 2028.</w:t>
      </w:r>
    </w:p>
    <w:p>
      <w:pPr>
        <w:spacing w:after="0" w:line="98"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target number of performance shares were awarded to the named executive officers in 2025:</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00AE4F"/>
        </w:rPr>
        <w:t>Target Number of 2025-2027 Performance Shares Awarded</w:t>
      </w:r>
    </w:p>
    <w:p>
      <w:pPr>
        <w:spacing w:after="0" w:line="30" w:lineRule="exact"/>
        <w:rPr>
          <w:sz w:val="20"/>
          <w:szCs w:val="20"/>
          <w:color w:val="auto"/>
        </w:rPr>
      </w:pPr>
    </w:p>
    <w:tbl>
      <w:tblPr>
        <w:tblLayout w:type="fixed"/>
        <w:tblInd w:w="560" w:type="dxa"/>
        <w:tblCellMar>
          <w:top w:w="0" w:type="dxa"/>
          <w:left w:w="0" w:type="dxa"/>
          <w:bottom w:w="0" w:type="dxa"/>
          <w:right w:w="0" w:type="dxa"/>
        </w:tblCellMar>
      </w:tblPr>
      <w:tr>
        <w:trPr>
          <w:trHeight w:val="143"/>
        </w:trPr>
        <w:tc>
          <w:tcPr>
            <w:tcW w:w="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2"/>
          </w:tcPr>
          <w:p>
            <w:pPr>
              <w:jc w:val="right"/>
              <w:ind w:right="288"/>
              <w:spacing w:after="0" w:line="143" w:lineRule="exact"/>
              <w:rPr>
                <w:sz w:val="20"/>
                <w:szCs w:val="20"/>
                <w:color w:val="auto"/>
              </w:rPr>
            </w:pPr>
            <w:r>
              <w:rPr>
                <w:rFonts w:ascii="Arial" w:cs="Arial" w:eastAsia="Arial" w:hAnsi="Arial"/>
                <w:sz w:val="13"/>
                <w:szCs w:val="13"/>
                <w:b w:val="1"/>
                <w:bCs w:val="1"/>
                <w:color w:val="00AE4F"/>
              </w:rPr>
              <w:t>Financial Measures</w:t>
            </w:r>
          </w:p>
        </w:tc>
        <w:tc>
          <w:tcPr>
            <w:tcW w:w="16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00AE4F"/>
              </w:rPr>
              <w:t xml:space="preserve">Total Number of    </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80" w:type="dxa"/>
            <w:vAlign w:val="bottom"/>
            <w:gridSpan w:val="2"/>
            <w:vMerge w:val="restart"/>
          </w:tcPr>
          <w:p>
            <w:pPr>
              <w:jc w:val="right"/>
              <w:ind w:right="34"/>
              <w:spacing w:after="0" w:line="141" w:lineRule="exact"/>
              <w:rPr>
                <w:sz w:val="20"/>
                <w:szCs w:val="20"/>
                <w:color w:val="auto"/>
              </w:rPr>
            </w:pPr>
            <w:r>
              <w:rPr>
                <w:rFonts w:ascii="Arial" w:cs="Arial" w:eastAsia="Arial" w:hAnsi="Arial"/>
                <w:sz w:val="13"/>
                <w:szCs w:val="13"/>
                <w:b w:val="1"/>
                <w:bCs w:val="1"/>
                <w:color w:val="00AE4F"/>
              </w:rPr>
              <w:t xml:space="preserve">Performance    </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780" w:type="dxa"/>
            <w:vAlign w:val="bottom"/>
          </w:tcPr>
          <w:p>
            <w:pPr>
              <w:spacing w:after="0"/>
              <w:rPr>
                <w:sz w:val="6"/>
                <w:szCs w:val="6"/>
                <w:color w:val="auto"/>
              </w:rPr>
            </w:pPr>
          </w:p>
        </w:tc>
        <w:tc>
          <w:tcPr>
            <w:tcW w:w="142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00AE4F"/>
              </w:rPr>
              <w:t>Revenue</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00AE4F"/>
              </w:rPr>
              <w:t>EBITDA</w:t>
            </w:r>
          </w:p>
        </w:tc>
        <w:tc>
          <w:tcPr>
            <w:tcW w:w="1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340" w:type="dxa"/>
            <w:vAlign w:val="bottom"/>
          </w:tcPr>
          <w:p>
            <w:pPr>
              <w:jc w:val="center"/>
              <w:ind w:left="629"/>
              <w:spacing w:after="0" w:line="132" w:lineRule="exact"/>
              <w:rPr>
                <w:sz w:val="20"/>
                <w:szCs w:val="20"/>
                <w:color w:val="auto"/>
              </w:rPr>
            </w:pPr>
            <w:r>
              <w:rPr>
                <w:rFonts w:ascii="Arial" w:cs="Arial" w:eastAsia="Arial" w:hAnsi="Arial"/>
                <w:sz w:val="13"/>
                <w:szCs w:val="13"/>
                <w:b w:val="1"/>
                <w:bCs w:val="1"/>
                <w:color w:val="00AE4F"/>
                <w:w w:val="85"/>
              </w:rPr>
              <w:t>Shares </w:t>
            </w:r>
          </w:p>
        </w:tc>
        <w:tc>
          <w:tcPr>
            <w:tcW w:w="340" w:type="dxa"/>
            <w:vAlign w:val="bottom"/>
          </w:tcPr>
          <w:p>
            <w:pPr>
              <w:jc w:val="right"/>
              <w:ind w:right="214"/>
              <w:spacing w:after="0" w:line="132" w:lineRule="exact"/>
              <w:rPr>
                <w:sz w:val="20"/>
                <w:szCs w:val="20"/>
                <w:color w:val="auto"/>
              </w:rPr>
            </w:pPr>
            <w:r>
              <w:rPr>
                <w:rFonts w:ascii="Arial" w:cs="Arial" w:eastAsia="Arial" w:hAnsi="Arial"/>
                <w:sz w:val="13"/>
                <w:szCs w:val="13"/>
                <w:b w:val="1"/>
                <w:bCs w:val="1"/>
                <w:color w:val="00AE4F"/>
              </w:rPr>
              <w:t> </w:t>
            </w:r>
          </w:p>
        </w:tc>
        <w:tc>
          <w:tcPr>
            <w:tcW w:w="0" w:type="dxa"/>
            <w:vAlign w:val="bottom"/>
          </w:tcPr>
          <w:p>
            <w:pPr>
              <w:spacing w:after="0"/>
              <w:rPr>
                <w:sz w:val="1"/>
                <w:szCs w:val="1"/>
                <w:color w:val="auto"/>
              </w:rPr>
            </w:pPr>
          </w:p>
        </w:tc>
      </w:tr>
      <w:tr>
        <w:trPr>
          <w:trHeight w:val="210"/>
        </w:trPr>
        <w:tc>
          <w:tcPr>
            <w:tcW w:w="60" w:type="dxa"/>
            <w:vAlign w:val="bottom"/>
            <w:tcBorders>
              <w:bottom w:val="single" w:sz="8" w:color="33302B"/>
            </w:tcBorders>
          </w:tcPr>
          <w:p>
            <w:pPr>
              <w:spacing w:after="0"/>
              <w:rPr>
                <w:sz w:val="18"/>
                <w:szCs w:val="18"/>
                <w:color w:val="auto"/>
              </w:rPr>
            </w:pPr>
          </w:p>
        </w:tc>
        <w:tc>
          <w:tcPr>
            <w:tcW w:w="6120" w:type="dxa"/>
            <w:vAlign w:val="bottom"/>
            <w:tcBorders>
              <w:bottom w:val="single" w:sz="8" w:color="33302B"/>
            </w:tcBorders>
            <w:gridSpan w:val="2"/>
          </w:tcPr>
          <w:p>
            <w:pPr>
              <w:spacing w:after="0"/>
              <w:rPr>
                <w:sz w:val="20"/>
                <w:szCs w:val="20"/>
                <w:color w:val="auto"/>
              </w:rPr>
            </w:pPr>
            <w:r>
              <w:rPr>
                <w:rFonts w:ascii="Arial" w:cs="Arial" w:eastAsia="Arial" w:hAnsi="Arial"/>
                <w:sz w:val="13"/>
                <w:szCs w:val="13"/>
                <w:b w:val="1"/>
                <w:bCs w:val="1"/>
                <w:color w:val="00AE4F"/>
              </w:rPr>
              <w:t>Name</w:t>
            </w:r>
          </w:p>
        </w:tc>
        <w:tc>
          <w:tcPr>
            <w:tcW w:w="1420" w:type="dxa"/>
            <w:vAlign w:val="bottom"/>
            <w:tcBorders>
              <w:bottom w:val="single" w:sz="8" w:color="33302B"/>
            </w:tcBorders>
          </w:tcPr>
          <w:p>
            <w:pPr>
              <w:jc w:val="right"/>
              <w:ind w:right="349"/>
              <w:spacing w:after="0"/>
              <w:rPr>
                <w:sz w:val="20"/>
                <w:szCs w:val="20"/>
                <w:color w:val="auto"/>
              </w:rPr>
            </w:pPr>
            <w:r>
              <w:rPr>
                <w:rFonts w:ascii="Arial" w:cs="Arial" w:eastAsia="Arial" w:hAnsi="Arial"/>
                <w:sz w:val="13"/>
                <w:szCs w:val="13"/>
                <w:b w:val="1"/>
                <w:bCs w:val="1"/>
                <w:color w:val="00AE4F"/>
              </w:rPr>
              <w:t>Growth</w:t>
            </w:r>
          </w:p>
        </w:tc>
        <w:tc>
          <w:tcPr>
            <w:tcW w:w="860" w:type="dxa"/>
            <w:vAlign w:val="bottom"/>
            <w:tcBorders>
              <w:bottom w:val="single" w:sz="8" w:color="33302B"/>
            </w:tcBorders>
          </w:tcPr>
          <w:p>
            <w:pPr>
              <w:jc w:val="right"/>
              <w:ind w:right="8"/>
              <w:spacing w:after="0"/>
              <w:rPr>
                <w:sz w:val="20"/>
                <w:szCs w:val="20"/>
                <w:color w:val="auto"/>
              </w:rPr>
            </w:pPr>
            <w:r>
              <w:rPr>
                <w:rFonts w:ascii="Arial" w:cs="Arial" w:eastAsia="Arial" w:hAnsi="Arial"/>
                <w:sz w:val="13"/>
                <w:szCs w:val="13"/>
                <w:b w:val="1"/>
                <w:bCs w:val="1"/>
                <w:color w:val="00AE4F"/>
              </w:rPr>
              <w:t>Margin</w:t>
            </w:r>
          </w:p>
        </w:tc>
        <w:tc>
          <w:tcPr>
            <w:tcW w:w="1340" w:type="dxa"/>
            <w:vAlign w:val="bottom"/>
            <w:tcBorders>
              <w:bottom w:val="single" w:sz="8" w:color="33302B"/>
            </w:tcBorders>
          </w:tcPr>
          <w:p>
            <w:pPr>
              <w:jc w:val="center"/>
              <w:ind w:left="629"/>
              <w:spacing w:after="0"/>
              <w:rPr>
                <w:sz w:val="20"/>
                <w:szCs w:val="20"/>
                <w:color w:val="auto"/>
              </w:rPr>
            </w:pPr>
            <w:r>
              <w:rPr>
                <w:rFonts w:ascii="Arial" w:cs="Arial" w:eastAsia="Arial" w:hAnsi="Arial"/>
                <w:sz w:val="13"/>
                <w:szCs w:val="13"/>
                <w:b w:val="1"/>
                <w:bCs w:val="1"/>
                <w:color w:val="00AE4F"/>
                <w:w w:val="86"/>
              </w:rPr>
              <w:t>@ Target </w:t>
            </w:r>
          </w:p>
        </w:tc>
        <w:tc>
          <w:tcPr>
            <w:tcW w:w="340" w:type="dxa"/>
            <w:vAlign w:val="bottom"/>
            <w:tcBorders>
              <w:bottom w:val="single" w:sz="8" w:color="33302B"/>
            </w:tcBorders>
          </w:tcPr>
          <w:p>
            <w:pPr>
              <w:jc w:val="right"/>
              <w:ind w:right="154"/>
              <w:spacing w:after="0"/>
              <w:rPr>
                <w:sz w:val="20"/>
                <w:szCs w:val="20"/>
                <w:color w:val="auto"/>
              </w:rPr>
            </w:pPr>
            <w:r>
              <w:rPr>
                <w:rFonts w:ascii="Arial" w:cs="Arial" w:eastAsia="Arial" w:hAnsi="Arial"/>
                <w:sz w:val="13"/>
                <w:szCs w:val="13"/>
                <w:b w:val="1"/>
                <w:bCs w:val="1"/>
                <w:color w:val="00AE4F"/>
              </w:rPr>
              <w:t> </w:t>
            </w:r>
          </w:p>
        </w:tc>
        <w:tc>
          <w:tcPr>
            <w:tcW w:w="0" w:type="dxa"/>
            <w:vAlign w:val="bottom"/>
          </w:tcPr>
          <w:p>
            <w:pPr>
              <w:spacing w:after="0"/>
              <w:rPr>
                <w:sz w:val="1"/>
                <w:szCs w:val="1"/>
                <w:color w:val="auto"/>
              </w:rPr>
            </w:pPr>
          </w:p>
        </w:tc>
      </w:tr>
      <w:tr>
        <w:trPr>
          <w:trHeight w:val="225"/>
        </w:trPr>
        <w:tc>
          <w:tcPr>
            <w:tcW w:w="60" w:type="dxa"/>
            <w:vAlign w:val="bottom"/>
            <w:tcBorders>
              <w:bottom w:val="single" w:sz="8" w:color="7F7F7F"/>
            </w:tcBorders>
          </w:tcPr>
          <w:p>
            <w:pPr>
              <w:spacing w:after="0"/>
              <w:rPr>
                <w:sz w:val="19"/>
                <w:szCs w:val="19"/>
                <w:color w:val="auto"/>
              </w:rPr>
            </w:pPr>
          </w:p>
        </w:tc>
        <w:tc>
          <w:tcPr>
            <w:tcW w:w="6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Troy R. Anderson</w:t>
            </w:r>
          </w:p>
        </w:tc>
        <w:tc>
          <w:tcPr>
            <w:tcW w:w="1420" w:type="dxa"/>
            <w:vAlign w:val="bottom"/>
            <w:tcBorders>
              <w:bottom w:val="single" w:sz="8" w:color="7F7F7F"/>
            </w:tcBorders>
          </w:tcPr>
          <w:p>
            <w:pPr>
              <w:jc w:val="right"/>
              <w:ind w:right="249"/>
              <w:spacing w:after="0"/>
              <w:rPr>
                <w:sz w:val="20"/>
                <w:szCs w:val="20"/>
                <w:color w:val="auto"/>
              </w:rPr>
            </w:pPr>
            <w:r>
              <w:rPr>
                <w:rFonts w:ascii="Arial" w:cs="Arial" w:eastAsia="Arial" w:hAnsi="Arial"/>
                <w:sz w:val="15"/>
                <w:szCs w:val="15"/>
                <w:color w:val="auto"/>
              </w:rPr>
              <w:t>21,764</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21,764</w:t>
            </w:r>
          </w:p>
        </w:tc>
        <w:tc>
          <w:tcPr>
            <w:tcW w:w="1680" w:type="dxa"/>
            <w:vAlign w:val="bottom"/>
            <w:tcBorders>
              <w:bottom w:val="single" w:sz="8" w:color="7F7F7F"/>
            </w:tcBorders>
            <w:gridSpan w:val="2"/>
          </w:tcPr>
          <w:p>
            <w:pPr>
              <w:jc w:val="right"/>
              <w:ind w:right="54"/>
              <w:spacing w:after="0"/>
              <w:rPr>
                <w:sz w:val="20"/>
                <w:szCs w:val="20"/>
                <w:color w:val="auto"/>
              </w:rPr>
            </w:pPr>
            <w:r>
              <w:rPr>
                <w:rFonts w:ascii="Arial" w:cs="Arial" w:eastAsia="Arial" w:hAnsi="Arial"/>
                <w:sz w:val="15"/>
                <w:szCs w:val="15"/>
                <w:color w:val="auto"/>
              </w:rPr>
              <w:t>43,528</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6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1420" w:type="dxa"/>
            <w:vAlign w:val="bottom"/>
            <w:tcBorders>
              <w:bottom w:val="single" w:sz="8" w:color="7F7F7F"/>
            </w:tcBorders>
          </w:tcPr>
          <w:p>
            <w:pPr>
              <w:jc w:val="right"/>
              <w:ind w:right="249"/>
              <w:spacing w:after="0"/>
              <w:rPr>
                <w:sz w:val="20"/>
                <w:szCs w:val="20"/>
                <w:color w:val="auto"/>
              </w:rPr>
            </w:pPr>
            <w:r>
              <w:rPr>
                <w:rFonts w:ascii="Arial" w:cs="Arial" w:eastAsia="Arial" w:hAnsi="Arial"/>
                <w:sz w:val="15"/>
                <w:szCs w:val="15"/>
                <w:color w:val="auto"/>
              </w:rPr>
              <w:t>7,048</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7,048</w:t>
            </w:r>
          </w:p>
        </w:tc>
        <w:tc>
          <w:tcPr>
            <w:tcW w:w="1680" w:type="dxa"/>
            <w:vAlign w:val="bottom"/>
            <w:tcBorders>
              <w:bottom w:val="single" w:sz="8" w:color="7F7F7F"/>
            </w:tcBorders>
            <w:gridSpan w:val="2"/>
          </w:tcPr>
          <w:p>
            <w:pPr>
              <w:jc w:val="right"/>
              <w:ind w:right="54"/>
              <w:spacing w:after="0"/>
              <w:rPr>
                <w:sz w:val="20"/>
                <w:szCs w:val="20"/>
                <w:color w:val="auto"/>
              </w:rPr>
            </w:pPr>
            <w:r>
              <w:rPr>
                <w:rFonts w:ascii="Arial" w:cs="Arial" w:eastAsia="Arial" w:hAnsi="Arial"/>
                <w:sz w:val="15"/>
                <w:szCs w:val="15"/>
                <w:color w:val="auto"/>
              </w:rPr>
              <w:t>14,096</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6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1420" w:type="dxa"/>
            <w:vAlign w:val="bottom"/>
            <w:tcBorders>
              <w:bottom w:val="single" w:sz="8" w:color="7F7F7F"/>
            </w:tcBorders>
          </w:tcPr>
          <w:p>
            <w:pPr>
              <w:jc w:val="right"/>
              <w:ind w:right="249"/>
              <w:spacing w:after="0"/>
              <w:rPr>
                <w:sz w:val="20"/>
                <w:szCs w:val="20"/>
                <w:color w:val="auto"/>
              </w:rPr>
            </w:pPr>
            <w:r>
              <w:rPr>
                <w:rFonts w:ascii="Arial" w:cs="Arial" w:eastAsia="Arial" w:hAnsi="Arial"/>
                <w:sz w:val="15"/>
                <w:szCs w:val="15"/>
                <w:color w:val="auto"/>
              </w:rPr>
              <w:t>14,509</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14,509</w:t>
            </w:r>
          </w:p>
        </w:tc>
        <w:tc>
          <w:tcPr>
            <w:tcW w:w="1680" w:type="dxa"/>
            <w:vAlign w:val="bottom"/>
            <w:tcBorders>
              <w:bottom w:val="single" w:sz="8" w:color="7F7F7F"/>
            </w:tcBorders>
            <w:gridSpan w:val="2"/>
          </w:tcPr>
          <w:p>
            <w:pPr>
              <w:jc w:val="right"/>
              <w:ind w:right="54"/>
              <w:spacing w:after="0"/>
              <w:rPr>
                <w:sz w:val="20"/>
                <w:szCs w:val="20"/>
                <w:color w:val="auto"/>
              </w:rPr>
            </w:pPr>
            <w:r>
              <w:rPr>
                <w:rFonts w:ascii="Arial" w:cs="Arial" w:eastAsia="Arial" w:hAnsi="Arial"/>
                <w:sz w:val="15"/>
                <w:szCs w:val="15"/>
                <w:color w:val="auto"/>
              </w:rPr>
              <w:t>29,018</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612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1420" w:type="dxa"/>
            <w:vAlign w:val="bottom"/>
            <w:tcBorders>
              <w:bottom w:val="single" w:sz="8" w:color="7F7F7F"/>
            </w:tcBorders>
          </w:tcPr>
          <w:p>
            <w:pPr>
              <w:jc w:val="right"/>
              <w:ind w:right="249"/>
              <w:spacing w:after="0"/>
              <w:rPr>
                <w:sz w:val="20"/>
                <w:szCs w:val="20"/>
                <w:color w:val="auto"/>
              </w:rPr>
            </w:pPr>
            <w:r>
              <w:rPr>
                <w:rFonts w:ascii="Arial" w:cs="Arial" w:eastAsia="Arial" w:hAnsi="Arial"/>
                <w:sz w:val="15"/>
                <w:szCs w:val="15"/>
                <w:color w:val="auto"/>
              </w:rPr>
              <w:t>6,864</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6,864</w:t>
            </w:r>
          </w:p>
        </w:tc>
        <w:tc>
          <w:tcPr>
            <w:tcW w:w="1680" w:type="dxa"/>
            <w:vAlign w:val="bottom"/>
            <w:tcBorders>
              <w:bottom w:val="single" w:sz="8" w:color="7F7F7F"/>
            </w:tcBorders>
            <w:gridSpan w:val="2"/>
          </w:tcPr>
          <w:p>
            <w:pPr>
              <w:jc w:val="right"/>
              <w:ind w:right="54"/>
              <w:spacing w:after="0"/>
              <w:rPr>
                <w:sz w:val="20"/>
                <w:szCs w:val="20"/>
                <w:color w:val="auto"/>
              </w:rPr>
            </w:pPr>
            <w:r>
              <w:rPr>
                <w:rFonts w:ascii="Arial" w:cs="Arial" w:eastAsia="Arial" w:hAnsi="Arial"/>
                <w:sz w:val="15"/>
                <w:szCs w:val="15"/>
                <w:color w:val="auto"/>
              </w:rPr>
              <w:t>13,728</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1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Former Executives</w:t>
            </w: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7F7F7F"/>
            </w:tcBorders>
          </w:tcPr>
          <w:p>
            <w:pPr>
              <w:spacing w:after="0"/>
              <w:rPr>
                <w:sz w:val="24"/>
                <w:szCs w:val="24"/>
                <w:color w:val="auto"/>
              </w:rPr>
            </w:pPr>
          </w:p>
        </w:tc>
        <w:tc>
          <w:tcPr>
            <w:tcW w:w="1340" w:type="dxa"/>
            <w:vAlign w:val="bottom"/>
            <w:tcBorders>
              <w:top w:val="single" w:sz="8" w:color="auto"/>
              <w:bottom w:val="single" w:sz="8" w:color="7F7F7F"/>
            </w:tcBorders>
          </w:tcPr>
          <w:p>
            <w:pPr>
              <w:spacing w:after="0"/>
              <w:rPr>
                <w:sz w:val="20"/>
                <w:szCs w:val="20"/>
                <w:color w:val="auto"/>
              </w:rPr>
            </w:pPr>
            <w:r>
              <w:rPr>
                <w:rFonts w:ascii="Arial" w:cs="Arial" w:eastAsia="Arial" w:hAnsi="Arial"/>
                <w:sz w:val="15"/>
                <w:szCs w:val="15"/>
                <w:b w:val="1"/>
                <w:bCs w:val="1"/>
                <w:color w:val="auto"/>
              </w:rPr>
              <w:t>Peter W. Quigley</w:t>
            </w:r>
          </w:p>
        </w:tc>
        <w:tc>
          <w:tcPr>
            <w:tcW w:w="4780" w:type="dxa"/>
            <w:vAlign w:val="bottom"/>
            <w:tcBorders>
              <w:bottom w:val="single" w:sz="8" w:color="7F7F7F"/>
            </w:tcBorders>
          </w:tcPr>
          <w:p>
            <w:pPr>
              <w:spacing w:after="0"/>
              <w:rPr>
                <w:sz w:val="24"/>
                <w:szCs w:val="24"/>
                <w:color w:val="auto"/>
              </w:rPr>
            </w:pPr>
          </w:p>
        </w:tc>
        <w:tc>
          <w:tcPr>
            <w:tcW w:w="1420" w:type="dxa"/>
            <w:vAlign w:val="bottom"/>
            <w:tcBorders>
              <w:bottom w:val="single" w:sz="8" w:color="7F7F7F"/>
            </w:tcBorders>
          </w:tcPr>
          <w:p>
            <w:pPr>
              <w:jc w:val="right"/>
              <w:ind w:right="249"/>
              <w:spacing w:after="0"/>
              <w:rPr>
                <w:sz w:val="20"/>
                <w:szCs w:val="20"/>
                <w:color w:val="auto"/>
              </w:rPr>
            </w:pPr>
            <w:r>
              <w:rPr>
                <w:rFonts w:ascii="Arial" w:cs="Arial" w:eastAsia="Arial" w:hAnsi="Arial"/>
                <w:sz w:val="15"/>
                <w:szCs w:val="15"/>
                <w:color w:val="auto"/>
              </w:rPr>
              <w:t>68,011</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68,011</w:t>
            </w:r>
          </w:p>
        </w:tc>
        <w:tc>
          <w:tcPr>
            <w:tcW w:w="1680" w:type="dxa"/>
            <w:vAlign w:val="bottom"/>
            <w:tcBorders>
              <w:bottom w:val="single" w:sz="8" w:color="7F7F7F"/>
            </w:tcBorders>
            <w:gridSpan w:val="2"/>
          </w:tcPr>
          <w:p>
            <w:pPr>
              <w:jc w:val="right"/>
              <w:ind w:right="54"/>
              <w:spacing w:after="0"/>
              <w:rPr>
                <w:sz w:val="20"/>
                <w:szCs w:val="20"/>
                <w:color w:val="auto"/>
              </w:rPr>
            </w:pPr>
            <w:r>
              <w:rPr>
                <w:rFonts w:ascii="Arial" w:cs="Arial" w:eastAsia="Arial" w:hAnsi="Arial"/>
                <w:sz w:val="15"/>
                <w:szCs w:val="15"/>
                <w:color w:val="auto"/>
              </w:rPr>
              <w:t>136,022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60" w:right="220"/>
        <w:spacing w:after="0" w:line="252" w:lineRule="auto"/>
        <w:rPr>
          <w:sz w:val="20"/>
          <w:szCs w:val="20"/>
          <w:color w:val="auto"/>
        </w:rPr>
      </w:pPr>
      <w:r>
        <w:rPr>
          <w:rFonts w:ascii="Arial" w:cs="Arial" w:eastAsia="Arial" w:hAnsi="Arial"/>
          <w:sz w:val="15"/>
          <w:szCs w:val="15"/>
          <w:color w:val="auto"/>
        </w:rPr>
        <w:t>Performance share awards are generally forfeited upon termination of employment unless the executive qualifies for certain exceptions, including retirement, disability, death, or termination without cause. In those cases, awards may be prorated based on actual performance. In the event of a qualifying termination in connection with a change in control, performance shares vest at target. Additional detail is provided in the “Potential Payments Upon Termination or Change in Control” section below.</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2023-2025 Long-Term Incentive Performance Results – Year 3</w:t>
      </w:r>
    </w:p>
    <w:p>
      <w:pPr>
        <w:spacing w:after="0" w:line="61" w:lineRule="exact"/>
        <w:rPr>
          <w:sz w:val="20"/>
          <w:szCs w:val="20"/>
          <w:color w:val="auto"/>
        </w:rPr>
      </w:pPr>
    </w:p>
    <w:p>
      <w:pPr>
        <w:ind w:left="560" w:right="60"/>
        <w:spacing w:after="0" w:line="250" w:lineRule="auto"/>
        <w:rPr>
          <w:sz w:val="20"/>
          <w:szCs w:val="20"/>
          <w:color w:val="auto"/>
        </w:rPr>
      </w:pPr>
      <w:r>
        <w:rPr>
          <w:rFonts w:ascii="Arial" w:cs="Arial" w:eastAsia="Arial" w:hAnsi="Arial"/>
          <w:sz w:val="15"/>
          <w:szCs w:val="15"/>
          <w:color w:val="auto"/>
        </w:rPr>
        <w:t>The 2023-2025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vested 100% upon Committee approval. Aggregate funding for all performance measures during the 2025 performance year was 53.64% of target. The final performance results for the 2025 performance year are provided in the following chart:</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300" w:type="dxa"/>
            <w:vAlign w:val="bottom"/>
            <w:tcBorders>
              <w:bottom w:val="single" w:sz="8" w:color="auto"/>
            </w:tcBorders>
            <w:gridSpan w:val="3"/>
          </w:tcPr>
          <w:p>
            <w:pPr>
              <w:jc w:val="center"/>
              <w:ind w:left="11"/>
              <w:spacing w:after="0"/>
              <w:rPr>
                <w:sz w:val="20"/>
                <w:szCs w:val="20"/>
                <w:color w:val="auto"/>
              </w:rPr>
            </w:pPr>
            <w:r>
              <w:rPr>
                <w:rFonts w:ascii="Arial" w:cs="Arial" w:eastAsia="Arial" w:hAnsi="Arial"/>
                <w:sz w:val="13"/>
                <w:szCs w:val="13"/>
                <w:b w:val="1"/>
                <w:bCs w:val="1"/>
                <w:color w:val="00AE4F"/>
              </w:rPr>
              <w:t>2025 Performance Goals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00AE4F"/>
                <w:w w:val="98"/>
              </w:rPr>
              <w:t>2023 Year</w:t>
            </w:r>
          </w:p>
        </w:tc>
        <w:tc>
          <w:tcPr>
            <w:tcW w:w="660" w:type="dxa"/>
            <w:vAlign w:val="bottom"/>
          </w:tcPr>
          <w:p>
            <w:pPr>
              <w:ind w:left="80"/>
              <w:spacing w:after="0"/>
              <w:rPr>
                <w:sz w:val="20"/>
                <w:szCs w:val="20"/>
                <w:color w:val="auto"/>
              </w:rPr>
            </w:pPr>
            <w:r>
              <w:rPr>
                <w:rFonts w:ascii="Arial" w:cs="Arial" w:eastAsia="Arial" w:hAnsi="Arial"/>
                <w:sz w:val="13"/>
                <w:szCs w:val="13"/>
                <w:b w:val="1"/>
                <w:bCs w:val="1"/>
                <w:color w:val="00AE4F"/>
              </w:rPr>
              <w:t>Payout</w:t>
            </w:r>
          </w:p>
        </w:tc>
      </w:tr>
      <w:tr>
        <w:trPr>
          <w:trHeight w:val="134"/>
        </w:trPr>
        <w:tc>
          <w:tcPr>
            <w:tcW w:w="3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00AE4F"/>
              </w:rPr>
              <w:t>Threshold</w:t>
            </w: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00AE4F"/>
              </w:rPr>
              <w:t>Target</w:t>
            </w:r>
          </w:p>
        </w:tc>
        <w:tc>
          <w:tcPr>
            <w:tcW w:w="700" w:type="dxa"/>
            <w:vAlign w:val="bottom"/>
          </w:tcPr>
          <w:p>
            <w:pPr>
              <w:ind w:left="80"/>
              <w:spacing w:after="0" w:line="134" w:lineRule="exact"/>
              <w:rPr>
                <w:sz w:val="20"/>
                <w:szCs w:val="20"/>
                <w:color w:val="auto"/>
              </w:rPr>
            </w:pPr>
            <w:r>
              <w:rPr>
                <w:rFonts w:ascii="Arial" w:cs="Arial" w:eastAsia="Arial" w:hAnsi="Arial"/>
                <w:sz w:val="13"/>
                <w:szCs w:val="13"/>
                <w:b w:val="1"/>
                <w:bCs w:val="1"/>
                <w:color w:val="00AE4F"/>
                <w:w w:val="99"/>
              </w:rPr>
              <w:t>Maximum</w:t>
            </w: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00AE4F"/>
              </w:rPr>
              <w:t>3 Actual</w:t>
            </w:r>
          </w:p>
        </w:tc>
        <w:tc>
          <w:tcPr>
            <w:tcW w:w="660" w:type="dxa"/>
            <w:vAlign w:val="bottom"/>
          </w:tcPr>
          <w:p>
            <w:pPr>
              <w:ind w:left="60"/>
              <w:spacing w:after="0" w:line="134" w:lineRule="exact"/>
              <w:rPr>
                <w:sz w:val="20"/>
                <w:szCs w:val="20"/>
                <w:color w:val="auto"/>
              </w:rPr>
            </w:pPr>
            <w:r>
              <w:rPr>
                <w:rFonts w:ascii="Arial" w:cs="Arial" w:eastAsia="Arial" w:hAnsi="Arial"/>
                <w:sz w:val="13"/>
                <w:szCs w:val="13"/>
                <w:b w:val="1"/>
                <w:bCs w:val="1"/>
                <w:color w:val="00AE4F"/>
              </w:rPr>
              <w:t>as % of</w:t>
            </w:r>
          </w:p>
        </w:tc>
      </w:tr>
      <w:tr>
        <w:trPr>
          <w:trHeight w:val="180"/>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00AE4F"/>
              </w:rPr>
              <w:t>Financial Performance Measures</w:t>
            </w:r>
          </w:p>
        </w:tc>
        <w:tc>
          <w:tcPr>
            <w:tcW w:w="20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00AE4F"/>
              </w:rPr>
              <w:t>Weighting</w:t>
            </w: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00AE4F"/>
              </w:rPr>
              <w:t>50%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100%</w:t>
            </w:r>
          </w:p>
        </w:tc>
        <w:tc>
          <w:tcPr>
            <w:tcW w:w="700" w:type="dxa"/>
            <w:vAlign w:val="bottom"/>
            <w:tcBorders>
              <w:bottom w:val="single" w:sz="8" w:color="auto"/>
            </w:tcBorders>
          </w:tcPr>
          <w:p>
            <w:pPr>
              <w:jc w:val="center"/>
              <w:ind w:left="9"/>
              <w:spacing w:after="0"/>
              <w:rPr>
                <w:sz w:val="20"/>
                <w:szCs w:val="20"/>
                <w:color w:val="auto"/>
              </w:rPr>
            </w:pPr>
            <w:r>
              <w:rPr>
                <w:rFonts w:ascii="Arial" w:cs="Arial" w:eastAsia="Arial" w:hAnsi="Arial"/>
                <w:sz w:val="13"/>
                <w:szCs w:val="13"/>
                <w:b w:val="1"/>
                <w:bCs w:val="1"/>
                <w:color w:val="00AE4F"/>
              </w:rPr>
              <w:t>200%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Results</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0AE4F"/>
              </w:rPr>
              <w:t>Target</w:t>
            </w:r>
          </w:p>
        </w:tc>
      </w:tr>
      <w:tr>
        <w:trPr>
          <w:trHeight w:val="234"/>
        </w:trPr>
        <w:tc>
          <w:tcPr>
            <w:tcW w:w="34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Revenue Growth</w:t>
            </w:r>
          </w:p>
        </w:tc>
        <w:tc>
          <w:tcPr>
            <w:tcW w:w="2000" w:type="dxa"/>
            <w:vAlign w:val="bottom"/>
            <w:tcBorders>
              <w:bottom w:val="single" w:sz="8" w:color="7F7F7F"/>
            </w:tcBorders>
          </w:tcPr>
          <w:p>
            <w:pPr>
              <w:jc w:val="right"/>
              <w:ind w:right="88"/>
              <w:spacing w:after="0"/>
              <w:rPr>
                <w:sz w:val="20"/>
                <w:szCs w:val="20"/>
                <w:color w:val="auto"/>
              </w:rPr>
            </w:pPr>
            <w:r>
              <w:rPr>
                <w:rFonts w:ascii="Arial" w:cs="Arial" w:eastAsia="Arial" w:hAnsi="Arial"/>
                <w:sz w:val="15"/>
                <w:szCs w:val="15"/>
                <w:color w:val="auto"/>
              </w:rPr>
              <w:t>50.0%</w:t>
            </w:r>
          </w:p>
        </w:tc>
        <w:tc>
          <w:tcPr>
            <w:tcW w:w="820" w:type="dxa"/>
            <w:vAlign w:val="bottom"/>
            <w:tcBorders>
              <w:bottom w:val="single" w:sz="8" w:color="7F7F7F"/>
            </w:tcBorders>
          </w:tcPr>
          <w:p>
            <w:pPr>
              <w:jc w:val="right"/>
              <w:ind w:right="31"/>
              <w:spacing w:after="0"/>
              <w:rPr>
                <w:sz w:val="20"/>
                <w:szCs w:val="20"/>
                <w:color w:val="auto"/>
              </w:rPr>
            </w:pPr>
            <w:r>
              <w:rPr>
                <w:rFonts w:ascii="Arial" w:cs="Arial" w:eastAsia="Arial" w:hAnsi="Arial"/>
                <w:sz w:val="15"/>
                <w:szCs w:val="15"/>
                <w:color w:val="auto"/>
              </w:rPr>
              <w:t>$4,266.0</w:t>
            </w:r>
          </w:p>
        </w:tc>
        <w:tc>
          <w:tcPr>
            <w:tcW w:w="780" w:type="dxa"/>
            <w:vAlign w:val="bottom"/>
            <w:tcBorders>
              <w:bottom w:val="single" w:sz="8" w:color="7F7F7F"/>
            </w:tcBorders>
          </w:tcPr>
          <w:p>
            <w:pPr>
              <w:jc w:val="right"/>
              <w:ind w:right="10"/>
              <w:spacing w:after="0"/>
              <w:rPr>
                <w:sz w:val="20"/>
                <w:szCs w:val="20"/>
                <w:color w:val="auto"/>
              </w:rPr>
            </w:pPr>
            <w:r>
              <w:rPr>
                <w:rFonts w:ascii="Arial" w:cs="Arial" w:eastAsia="Arial" w:hAnsi="Arial"/>
                <w:sz w:val="15"/>
                <w:szCs w:val="15"/>
                <w:color w:val="auto"/>
              </w:rPr>
              <w:t>$4,740.0</w:t>
            </w:r>
          </w:p>
        </w:tc>
        <w:tc>
          <w:tcPr>
            <w:tcW w:w="700" w:type="dxa"/>
            <w:vAlign w:val="bottom"/>
            <w:tcBorders>
              <w:bottom w:val="single" w:sz="8" w:color="7F7F7F"/>
            </w:tcBorders>
          </w:tcPr>
          <w:p>
            <w:pPr>
              <w:jc w:val="center"/>
              <w:ind w:left="9"/>
              <w:spacing w:after="0"/>
              <w:rPr>
                <w:sz w:val="20"/>
                <w:szCs w:val="20"/>
                <w:color w:val="auto"/>
              </w:rPr>
            </w:pPr>
            <w:r>
              <w:rPr>
                <w:rFonts w:ascii="Arial" w:cs="Arial" w:eastAsia="Arial" w:hAnsi="Arial"/>
                <w:sz w:val="15"/>
                <w:szCs w:val="15"/>
                <w:color w:val="auto"/>
                <w:w w:val="99"/>
              </w:rPr>
              <w:t>$5,214.0</w:t>
            </w:r>
          </w:p>
        </w:tc>
        <w:tc>
          <w:tcPr>
            <w:tcW w:w="760" w:type="dxa"/>
            <w:vAlign w:val="bottom"/>
            <w:tcBorders>
              <w:bottom w:val="single" w:sz="8" w:color="7F7F7F"/>
            </w:tcBorders>
          </w:tcPr>
          <w:p>
            <w:pPr>
              <w:jc w:val="right"/>
              <w:ind w:right="11"/>
              <w:spacing w:after="0"/>
              <w:rPr>
                <w:sz w:val="20"/>
                <w:szCs w:val="20"/>
                <w:color w:val="auto"/>
              </w:rPr>
            </w:pPr>
            <w:r>
              <w:rPr>
                <w:rFonts w:ascii="Arial" w:cs="Arial" w:eastAsia="Arial" w:hAnsi="Arial"/>
                <w:sz w:val="15"/>
                <w:szCs w:val="15"/>
                <w:color w:val="auto"/>
              </w:rPr>
              <w:t>$4,334.9</w:t>
            </w:r>
          </w:p>
        </w:tc>
        <w:tc>
          <w:tcPr>
            <w:tcW w:w="66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57.27%</w:t>
            </w:r>
          </w:p>
        </w:tc>
      </w:tr>
      <w:tr>
        <w:trPr>
          <w:trHeight w:val="240"/>
        </w:trPr>
        <w:tc>
          <w:tcPr>
            <w:tcW w:w="340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EBITDA Margin</w:t>
            </w:r>
          </w:p>
        </w:tc>
        <w:tc>
          <w:tcPr>
            <w:tcW w:w="2000" w:type="dxa"/>
            <w:vAlign w:val="bottom"/>
            <w:tcBorders>
              <w:bottom w:val="single" w:sz="8" w:color="7F7F7F"/>
            </w:tcBorders>
          </w:tcPr>
          <w:p>
            <w:pPr>
              <w:jc w:val="right"/>
              <w:ind w:right="88"/>
              <w:spacing w:after="0"/>
              <w:rPr>
                <w:sz w:val="20"/>
                <w:szCs w:val="20"/>
                <w:color w:val="auto"/>
              </w:rPr>
            </w:pPr>
            <w:r>
              <w:rPr>
                <w:rFonts w:ascii="Arial" w:cs="Arial" w:eastAsia="Arial" w:hAnsi="Arial"/>
                <w:sz w:val="15"/>
                <w:szCs w:val="15"/>
                <w:color w:val="auto"/>
              </w:rPr>
              <w:t>50.0%</w:t>
            </w:r>
          </w:p>
        </w:tc>
        <w:tc>
          <w:tcPr>
            <w:tcW w:w="820" w:type="dxa"/>
            <w:vAlign w:val="bottom"/>
            <w:tcBorders>
              <w:bottom w:val="single" w:sz="8" w:color="7F7F7F"/>
            </w:tcBorders>
          </w:tcPr>
          <w:p>
            <w:pPr>
              <w:jc w:val="right"/>
              <w:ind w:right="111"/>
              <w:spacing w:after="0"/>
              <w:rPr>
                <w:sz w:val="20"/>
                <w:szCs w:val="20"/>
                <w:color w:val="auto"/>
              </w:rPr>
            </w:pPr>
            <w:r>
              <w:rPr>
                <w:rFonts w:ascii="Arial" w:cs="Arial" w:eastAsia="Arial" w:hAnsi="Arial"/>
                <w:sz w:val="15"/>
                <w:szCs w:val="15"/>
                <w:color w:val="auto"/>
              </w:rPr>
              <w:t>2.88%</w:t>
            </w:r>
          </w:p>
        </w:tc>
        <w:tc>
          <w:tcPr>
            <w:tcW w:w="780" w:type="dxa"/>
            <w:vAlign w:val="bottom"/>
            <w:tcBorders>
              <w:bottom w:val="single" w:sz="8" w:color="7F7F7F"/>
            </w:tcBorders>
          </w:tcPr>
          <w:p>
            <w:pPr>
              <w:jc w:val="right"/>
              <w:ind w:right="90"/>
              <w:spacing w:after="0"/>
              <w:rPr>
                <w:sz w:val="20"/>
                <w:szCs w:val="20"/>
                <w:color w:val="auto"/>
              </w:rPr>
            </w:pPr>
            <w:r>
              <w:rPr>
                <w:rFonts w:ascii="Arial" w:cs="Arial" w:eastAsia="Arial" w:hAnsi="Arial"/>
                <w:sz w:val="15"/>
                <w:szCs w:val="15"/>
                <w:color w:val="auto"/>
              </w:rPr>
              <w:t>3.60%</w:t>
            </w:r>
          </w:p>
        </w:tc>
        <w:tc>
          <w:tcPr>
            <w:tcW w:w="700" w:type="dxa"/>
            <w:vAlign w:val="bottom"/>
            <w:tcBorders>
              <w:bottom w:val="single" w:sz="8" w:color="7F7F7F"/>
            </w:tcBorders>
          </w:tcPr>
          <w:p>
            <w:pPr>
              <w:jc w:val="center"/>
              <w:ind w:left="9"/>
              <w:spacing w:after="0"/>
              <w:rPr>
                <w:sz w:val="20"/>
                <w:szCs w:val="20"/>
                <w:color w:val="auto"/>
              </w:rPr>
            </w:pPr>
            <w:r>
              <w:rPr>
                <w:rFonts w:ascii="Arial" w:cs="Arial" w:eastAsia="Arial" w:hAnsi="Arial"/>
                <w:sz w:val="15"/>
                <w:szCs w:val="15"/>
                <w:color w:val="auto"/>
                <w:w w:val="98"/>
              </w:rPr>
              <w:t>4.32%</w:t>
            </w:r>
          </w:p>
        </w:tc>
        <w:tc>
          <w:tcPr>
            <w:tcW w:w="760" w:type="dxa"/>
            <w:vAlign w:val="bottom"/>
            <w:tcBorders>
              <w:bottom w:val="single" w:sz="8" w:color="7F7F7F"/>
            </w:tcBorders>
          </w:tcPr>
          <w:p>
            <w:pPr>
              <w:jc w:val="right"/>
              <w:ind w:right="91"/>
              <w:spacing w:after="0"/>
              <w:rPr>
                <w:sz w:val="20"/>
                <w:szCs w:val="20"/>
                <w:color w:val="auto"/>
              </w:rPr>
            </w:pPr>
            <w:r>
              <w:rPr>
                <w:rFonts w:ascii="Arial" w:cs="Arial" w:eastAsia="Arial" w:hAnsi="Arial"/>
                <w:sz w:val="15"/>
                <w:szCs w:val="15"/>
                <w:color w:val="auto"/>
              </w:rPr>
              <w:t>2.88%</w:t>
            </w:r>
          </w:p>
        </w:tc>
        <w:tc>
          <w:tcPr>
            <w:tcW w:w="66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50.00%</w:t>
            </w:r>
          </w:p>
        </w:tc>
      </w:tr>
      <w:tr>
        <w:trPr>
          <w:trHeight w:val="206"/>
        </w:trPr>
        <w:tc>
          <w:tcPr>
            <w:tcW w:w="3400" w:type="dxa"/>
            <w:vAlign w:val="bottom"/>
            <w:tcBorders>
              <w:bottom w:val="single" w:sz="8" w:color="7F7F7F"/>
            </w:tcBorders>
          </w:tcPr>
          <w:p>
            <w:pPr>
              <w:ind w:left="60"/>
              <w:spacing w:after="0"/>
              <w:rPr>
                <w:sz w:val="20"/>
                <w:szCs w:val="20"/>
                <w:color w:val="auto"/>
              </w:rPr>
            </w:pPr>
            <w:r>
              <w:rPr>
                <w:rFonts w:ascii="Arial" w:cs="Arial" w:eastAsia="Arial" w:hAnsi="Arial"/>
                <w:sz w:val="15"/>
                <w:szCs w:val="15"/>
                <w:i w:val="1"/>
                <w:iCs w:val="1"/>
                <w:color w:val="auto"/>
              </w:rPr>
              <w:t>$ in millions</w:t>
            </w:r>
          </w:p>
        </w:tc>
        <w:tc>
          <w:tcPr>
            <w:tcW w:w="200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1460" w:type="dxa"/>
            <w:vAlign w:val="bottom"/>
            <w:tcBorders>
              <w:bottom w:val="single" w:sz="8" w:color="7F7F7F"/>
            </w:tcBorders>
            <w:gridSpan w:val="2"/>
          </w:tcPr>
          <w:p>
            <w:pPr>
              <w:ind w:left="140"/>
              <w:spacing w:after="0"/>
              <w:rPr>
                <w:sz w:val="20"/>
                <w:szCs w:val="20"/>
                <w:color w:val="auto"/>
              </w:rPr>
            </w:pPr>
            <w:r>
              <w:rPr>
                <w:rFonts w:ascii="Arial" w:cs="Arial" w:eastAsia="Arial" w:hAnsi="Arial"/>
                <w:sz w:val="15"/>
                <w:szCs w:val="15"/>
                <w:b w:val="1"/>
                <w:bCs w:val="1"/>
                <w:color w:val="auto"/>
              </w:rPr>
              <w:t>Weighted Payout:</w:t>
            </w:r>
          </w:p>
        </w:tc>
        <w:tc>
          <w:tcPr>
            <w:tcW w:w="66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53.64%</w:t>
            </w:r>
          </w:p>
        </w:tc>
      </w:tr>
    </w:tbl>
    <w:p>
      <w:pPr>
        <w:spacing w:after="0" w:line="51" w:lineRule="exact"/>
        <w:rPr>
          <w:sz w:val="20"/>
          <w:szCs w:val="20"/>
          <w:color w:val="auto"/>
        </w:rPr>
      </w:pPr>
    </w:p>
    <w:p>
      <w:pPr>
        <w:ind w:left="860" w:hanging="296"/>
        <w:spacing w:after="0"/>
        <w:tabs>
          <w:tab w:leader="none" w:pos="860" w:val="left"/>
        </w:tabs>
        <w:numPr>
          <w:ilvl w:val="0"/>
          <w:numId w:val="82"/>
        </w:numPr>
        <w:rPr>
          <w:rFonts w:ascii="Arial" w:cs="Arial" w:eastAsia="Arial" w:hAnsi="Arial"/>
          <w:sz w:val="17"/>
          <w:szCs w:val="17"/>
          <w:color w:val="auto"/>
          <w:vertAlign w:val="superscript"/>
        </w:rPr>
      </w:pPr>
      <w:r>
        <w:rPr>
          <w:rFonts w:ascii="Arial" w:cs="Arial" w:eastAsia="Arial" w:hAnsi="Arial"/>
          <w:sz w:val="12"/>
          <w:szCs w:val="12"/>
          <w:color w:val="auto"/>
        </w:rPr>
        <w:t>2025 performance amount includes adjustments for considerations approved by the Committee.</w:t>
      </w:r>
    </w:p>
    <w:p>
      <w:pPr>
        <w:spacing w:after="0" w:line="175"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As a result of the above level of achievement for each of the performance measures for year 3 of the 2023-2025 LTI award, the Committee approved the following number of earned performance shares for each named executive officer.</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00AE4F"/>
              </w:rPr>
              <w:t>Financial Measure:</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Financial Measure: EBITDA</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00AE4F"/>
              </w:rPr>
              <w:t>Revenue Growth</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Margin</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00AE4F"/>
              </w:rPr>
              <w:t>Payout as % of Target: 57.27%</w:t>
            </w:r>
          </w:p>
        </w:tc>
        <w:tc>
          <w:tcPr>
            <w:tcW w:w="100" w:type="dxa"/>
            <w:vAlign w:val="bottom"/>
          </w:tcPr>
          <w:p>
            <w:pPr>
              <w:spacing w:after="0"/>
              <w:rPr>
                <w:sz w:val="14"/>
                <w:szCs w:val="14"/>
                <w:color w:val="auto"/>
              </w:rPr>
            </w:pPr>
          </w:p>
        </w:tc>
        <w:tc>
          <w:tcPr>
            <w:tcW w:w="1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00AE4F"/>
              </w:rPr>
              <w:t>Payout as % of Target: 50.00%</w:t>
            </w:r>
          </w:p>
        </w:tc>
        <w:tc>
          <w:tcPr>
            <w:tcW w:w="1040" w:type="dxa"/>
            <w:vAlign w:val="bottom"/>
          </w:tcPr>
          <w:p>
            <w:pPr>
              <w:jc w:val="center"/>
              <w:ind w:left="10"/>
              <w:spacing w:after="0"/>
              <w:rPr>
                <w:sz w:val="20"/>
                <w:szCs w:val="20"/>
                <w:color w:val="auto"/>
              </w:rPr>
            </w:pPr>
            <w:r>
              <w:rPr>
                <w:rFonts w:ascii="Arial" w:cs="Arial" w:eastAsia="Arial" w:hAnsi="Arial"/>
                <w:sz w:val="13"/>
                <w:szCs w:val="13"/>
                <w:b w:val="1"/>
                <w:bCs w:val="1"/>
                <w:color w:val="00AE4F"/>
                <w:w w:val="96"/>
              </w:rPr>
              <w:t>Total # of</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jc w:val="center"/>
              <w:ind w:left="10"/>
              <w:spacing w:after="0"/>
              <w:rPr>
                <w:sz w:val="20"/>
                <w:szCs w:val="20"/>
                <w:color w:val="auto"/>
              </w:rPr>
            </w:pPr>
            <w:r>
              <w:rPr>
                <w:rFonts w:ascii="Arial" w:cs="Arial" w:eastAsia="Arial" w:hAnsi="Arial"/>
                <w:sz w:val="13"/>
                <w:szCs w:val="13"/>
                <w:b w:val="1"/>
                <w:bCs w:val="1"/>
                <w:color w:val="00AE4F"/>
              </w:rPr>
              <w:t>Year 3</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jc w:val="center"/>
              <w:ind w:left="29"/>
              <w:spacing w:after="0" w:line="116" w:lineRule="exact"/>
              <w:rPr>
                <w:sz w:val="20"/>
                <w:szCs w:val="20"/>
                <w:color w:val="auto"/>
              </w:rPr>
            </w:pPr>
            <w:r>
              <w:rPr>
                <w:rFonts w:ascii="Arial" w:cs="Arial" w:eastAsia="Arial" w:hAnsi="Arial"/>
                <w:sz w:val="13"/>
                <w:szCs w:val="13"/>
                <w:b w:val="1"/>
                <w:bCs w:val="1"/>
                <w:color w:val="00AE4F"/>
              </w:rPr>
              <w:t>Year 3 # of</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jc w:val="right"/>
              <w:ind w:right="70"/>
              <w:spacing w:after="0"/>
              <w:rPr>
                <w:sz w:val="20"/>
                <w:szCs w:val="20"/>
                <w:color w:val="auto"/>
              </w:rPr>
            </w:pPr>
            <w:r>
              <w:rPr>
                <w:rFonts w:ascii="Arial" w:cs="Arial" w:eastAsia="Arial" w:hAnsi="Arial"/>
                <w:sz w:val="13"/>
                <w:szCs w:val="13"/>
                <w:b w:val="1"/>
                <w:bCs w:val="1"/>
                <w:color w:val="00AE4F"/>
              </w:rPr>
              <w:t>Year 3 Target</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Shares</w:t>
            </w:r>
          </w:p>
        </w:tc>
        <w:tc>
          <w:tcPr>
            <w:tcW w:w="920" w:type="dxa"/>
            <w:vAlign w:val="bottom"/>
          </w:tcPr>
          <w:p>
            <w:pPr>
              <w:jc w:val="right"/>
              <w:ind w:right="10"/>
              <w:spacing w:after="0"/>
              <w:rPr>
                <w:sz w:val="20"/>
                <w:szCs w:val="20"/>
                <w:color w:val="auto"/>
              </w:rPr>
            </w:pPr>
            <w:r>
              <w:rPr>
                <w:rFonts w:ascii="Arial" w:cs="Arial" w:eastAsia="Arial" w:hAnsi="Arial"/>
                <w:sz w:val="13"/>
                <w:szCs w:val="13"/>
                <w:b w:val="1"/>
                <w:bCs w:val="1"/>
                <w:color w:val="00AE4F"/>
                <w:w w:val="99"/>
              </w:rPr>
              <w:t>Year 3 Target</w:t>
            </w:r>
          </w:p>
        </w:tc>
        <w:tc>
          <w:tcPr>
            <w:tcW w:w="1000" w:type="dxa"/>
            <w:vAlign w:val="bottom"/>
          </w:tcPr>
          <w:p>
            <w:pPr>
              <w:jc w:val="right"/>
              <w:ind w:right="68"/>
              <w:spacing w:after="0"/>
              <w:rPr>
                <w:sz w:val="20"/>
                <w:szCs w:val="20"/>
                <w:color w:val="auto"/>
              </w:rPr>
            </w:pPr>
            <w:r>
              <w:rPr>
                <w:rFonts w:ascii="Arial" w:cs="Arial" w:eastAsia="Arial" w:hAnsi="Arial"/>
                <w:sz w:val="13"/>
                <w:szCs w:val="13"/>
                <w:b w:val="1"/>
                <w:bCs w:val="1"/>
                <w:color w:val="00AE4F"/>
              </w:rPr>
              <w:t>Year 3 # of</w:t>
            </w:r>
          </w:p>
        </w:tc>
        <w:tc>
          <w:tcPr>
            <w:tcW w:w="1040" w:type="dxa"/>
            <w:vAlign w:val="bottom"/>
          </w:tcPr>
          <w:p>
            <w:pPr>
              <w:jc w:val="center"/>
              <w:ind w:left="10"/>
              <w:spacing w:after="0"/>
              <w:rPr>
                <w:sz w:val="20"/>
                <w:szCs w:val="20"/>
                <w:color w:val="auto"/>
              </w:rPr>
            </w:pPr>
            <w:r>
              <w:rPr>
                <w:rFonts w:ascii="Arial" w:cs="Arial" w:eastAsia="Arial" w:hAnsi="Arial"/>
                <w:sz w:val="13"/>
                <w:szCs w:val="13"/>
                <w:b w:val="1"/>
                <w:bCs w:val="1"/>
                <w:color w:val="00AE4F"/>
              </w:rPr>
              <w:t>Performance</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3"/>
                <w:szCs w:val="13"/>
                <w:b w:val="1"/>
                <w:bCs w:val="1"/>
                <w:color w:val="00AE4F"/>
              </w:rPr>
              <w:t>Name</w:t>
            </w:r>
          </w:p>
        </w:tc>
        <w:tc>
          <w:tcPr>
            <w:tcW w:w="1100" w:type="dxa"/>
            <w:vAlign w:val="bottom"/>
          </w:tcPr>
          <w:p>
            <w:pPr>
              <w:jc w:val="right"/>
              <w:ind w:right="130"/>
              <w:spacing w:after="0"/>
              <w:rPr>
                <w:sz w:val="20"/>
                <w:szCs w:val="20"/>
                <w:color w:val="auto"/>
              </w:rPr>
            </w:pPr>
            <w:r>
              <w:rPr>
                <w:rFonts w:ascii="Arial" w:cs="Arial" w:eastAsia="Arial" w:hAnsi="Arial"/>
                <w:sz w:val="13"/>
                <w:szCs w:val="13"/>
                <w:b w:val="1"/>
                <w:bCs w:val="1"/>
                <w:color w:val="00AE4F"/>
              </w:rPr>
              <w:t># of Shares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00AE4F"/>
                <w:w w:val="99"/>
              </w:rPr>
              <w:t>Earned</w:t>
            </w:r>
          </w:p>
        </w:tc>
        <w:tc>
          <w:tcPr>
            <w:tcW w:w="920" w:type="dxa"/>
            <w:vAlign w:val="bottom"/>
          </w:tcPr>
          <w:p>
            <w:pPr>
              <w:jc w:val="right"/>
              <w:ind w:right="50"/>
              <w:spacing w:after="0"/>
              <w:rPr>
                <w:sz w:val="20"/>
                <w:szCs w:val="20"/>
                <w:color w:val="auto"/>
              </w:rPr>
            </w:pPr>
            <w:r>
              <w:rPr>
                <w:rFonts w:ascii="Arial" w:cs="Arial" w:eastAsia="Arial" w:hAnsi="Arial"/>
                <w:sz w:val="13"/>
                <w:szCs w:val="13"/>
                <w:b w:val="1"/>
                <w:bCs w:val="1"/>
                <w:color w:val="00AE4F"/>
              </w:rPr>
              <w:t># of Shares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AE4F"/>
              </w:rPr>
              <w:t>Shares Earned</w:t>
            </w:r>
          </w:p>
        </w:tc>
        <w:tc>
          <w:tcPr>
            <w:tcW w:w="1040" w:type="dxa"/>
            <w:vAlign w:val="bottom"/>
          </w:tcPr>
          <w:p>
            <w:pPr>
              <w:jc w:val="center"/>
              <w:ind w:left="10"/>
              <w:spacing w:after="0"/>
              <w:rPr>
                <w:sz w:val="20"/>
                <w:szCs w:val="20"/>
                <w:color w:val="auto"/>
              </w:rPr>
            </w:pPr>
            <w:r>
              <w:rPr>
                <w:rFonts w:ascii="Arial" w:cs="Arial" w:eastAsia="Arial" w:hAnsi="Arial"/>
                <w:sz w:val="13"/>
                <w:szCs w:val="13"/>
                <w:b w:val="1"/>
                <w:bCs w:val="1"/>
                <w:color w:val="00AE4F"/>
              </w:rPr>
              <w:t>Shares Earned</w:t>
            </w: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1100" w:type="dxa"/>
            <w:vAlign w:val="bottom"/>
            <w:tcBorders>
              <w:bottom w:val="single" w:sz="8" w:color="7F7F7F"/>
            </w:tcBorders>
          </w:tcPr>
          <w:p>
            <w:pPr>
              <w:jc w:val="right"/>
              <w:ind w:right="190"/>
              <w:spacing w:after="0"/>
              <w:rPr>
                <w:sz w:val="20"/>
                <w:szCs w:val="20"/>
                <w:color w:val="auto"/>
              </w:rPr>
            </w:pPr>
            <w:r>
              <w:rPr>
                <w:rFonts w:ascii="Arial" w:cs="Arial" w:eastAsia="Arial" w:hAnsi="Arial"/>
                <w:sz w:val="15"/>
                <w:szCs w:val="15"/>
                <w:color w:val="auto"/>
              </w:rPr>
              <w:t>1,877</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1,075</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10"/>
              <w:spacing w:after="0"/>
              <w:rPr>
                <w:sz w:val="20"/>
                <w:szCs w:val="20"/>
                <w:color w:val="auto"/>
              </w:rPr>
            </w:pPr>
            <w:r>
              <w:rPr>
                <w:rFonts w:ascii="Arial" w:cs="Arial" w:eastAsia="Arial" w:hAnsi="Arial"/>
                <w:sz w:val="15"/>
                <w:szCs w:val="15"/>
                <w:color w:val="auto"/>
              </w:rPr>
              <w:t>1,877</w:t>
            </w:r>
          </w:p>
        </w:tc>
        <w:tc>
          <w:tcPr>
            <w:tcW w:w="100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color w:val="auto"/>
              </w:rPr>
              <w:t>939</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1100" w:type="dxa"/>
            <w:vAlign w:val="bottom"/>
            <w:tcBorders>
              <w:bottom w:val="single" w:sz="8" w:color="7F7F7F"/>
            </w:tcBorders>
          </w:tcPr>
          <w:p>
            <w:pPr>
              <w:jc w:val="right"/>
              <w:ind w:right="190"/>
              <w:spacing w:after="0"/>
              <w:rPr>
                <w:sz w:val="20"/>
                <w:szCs w:val="20"/>
                <w:color w:val="auto"/>
              </w:rPr>
            </w:pPr>
            <w:r>
              <w:rPr>
                <w:rFonts w:ascii="Arial" w:cs="Arial" w:eastAsia="Arial" w:hAnsi="Arial"/>
                <w:sz w:val="15"/>
                <w:szCs w:val="15"/>
                <w:color w:val="auto"/>
              </w:rPr>
              <w:t>2,584</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1,480</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10"/>
              <w:spacing w:after="0"/>
              <w:rPr>
                <w:sz w:val="20"/>
                <w:szCs w:val="20"/>
                <w:color w:val="auto"/>
              </w:rPr>
            </w:pPr>
            <w:r>
              <w:rPr>
                <w:rFonts w:ascii="Arial" w:cs="Arial" w:eastAsia="Arial" w:hAnsi="Arial"/>
                <w:sz w:val="15"/>
                <w:szCs w:val="15"/>
                <w:color w:val="auto"/>
              </w:rPr>
              <w:t>2,584</w:t>
            </w:r>
          </w:p>
        </w:tc>
        <w:tc>
          <w:tcPr>
            <w:tcW w:w="100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color w:val="auto"/>
              </w:rPr>
              <w:t>1,292</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2,772</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1100" w:type="dxa"/>
            <w:vAlign w:val="bottom"/>
            <w:tcBorders>
              <w:bottom w:val="single" w:sz="8" w:color="7F7F7F"/>
            </w:tcBorders>
          </w:tcPr>
          <w:p>
            <w:pPr>
              <w:jc w:val="right"/>
              <w:ind w:right="190"/>
              <w:spacing w:after="0"/>
              <w:rPr>
                <w:sz w:val="20"/>
                <w:szCs w:val="20"/>
                <w:color w:val="auto"/>
              </w:rPr>
            </w:pPr>
            <w:r>
              <w:rPr>
                <w:rFonts w:ascii="Arial" w:cs="Arial" w:eastAsia="Arial" w:hAnsi="Arial"/>
                <w:sz w:val="15"/>
                <w:szCs w:val="15"/>
                <w:color w:val="auto"/>
              </w:rPr>
              <w:t>1,713</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981</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10"/>
              <w:spacing w:after="0"/>
              <w:rPr>
                <w:sz w:val="20"/>
                <w:szCs w:val="20"/>
                <w:color w:val="auto"/>
              </w:rPr>
            </w:pPr>
            <w:r>
              <w:rPr>
                <w:rFonts w:ascii="Arial" w:cs="Arial" w:eastAsia="Arial" w:hAnsi="Arial"/>
                <w:sz w:val="15"/>
                <w:szCs w:val="15"/>
                <w:color w:val="auto"/>
              </w:rPr>
              <w:t>1,713</w:t>
            </w:r>
          </w:p>
        </w:tc>
        <w:tc>
          <w:tcPr>
            <w:tcW w:w="100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color w:val="auto"/>
              </w:rPr>
              <w:t>857</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1,838</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w w:val="98"/>
              </w:rPr>
              <w:t>Former Executive</w:t>
            </w:r>
          </w:p>
        </w:tc>
        <w:tc>
          <w:tcPr>
            <w:tcW w:w="3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7F7F7F"/>
            </w:tcBorders>
          </w:tcPr>
          <w:p>
            <w:pPr>
              <w:spacing w:after="0"/>
              <w:rPr>
                <w:sz w:val="24"/>
                <w:szCs w:val="24"/>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Peter W. Quigley</w:t>
            </w:r>
          </w:p>
        </w:tc>
        <w:tc>
          <w:tcPr>
            <w:tcW w:w="1100" w:type="dxa"/>
            <w:vAlign w:val="bottom"/>
            <w:tcBorders>
              <w:bottom w:val="single" w:sz="8" w:color="7F7F7F"/>
            </w:tcBorders>
          </w:tcPr>
          <w:p>
            <w:pPr>
              <w:jc w:val="right"/>
              <w:ind w:right="190"/>
              <w:spacing w:after="0"/>
              <w:rPr>
                <w:sz w:val="20"/>
                <w:szCs w:val="20"/>
                <w:color w:val="auto"/>
              </w:rPr>
            </w:pPr>
            <w:r>
              <w:rPr>
                <w:rFonts w:ascii="Arial" w:cs="Arial" w:eastAsia="Arial" w:hAnsi="Arial"/>
                <w:sz w:val="15"/>
                <w:szCs w:val="15"/>
                <w:color w:val="auto"/>
              </w:rPr>
              <w:t>17,546</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10,049</w:t>
            </w:r>
          </w:p>
        </w:tc>
        <w:tc>
          <w:tcPr>
            <w:tcW w:w="100" w:type="dxa"/>
            <w:vAlign w:val="bottom"/>
            <w:tcBorders>
              <w:bottom w:val="single" w:sz="8" w:color="7F7F7F"/>
            </w:tcBorders>
          </w:tcPr>
          <w:p>
            <w:pPr>
              <w:spacing w:after="0"/>
              <w:rPr>
                <w:sz w:val="24"/>
                <w:szCs w:val="24"/>
                <w:color w:val="auto"/>
              </w:rPr>
            </w:pPr>
          </w:p>
        </w:tc>
        <w:tc>
          <w:tcPr>
            <w:tcW w:w="920" w:type="dxa"/>
            <w:vAlign w:val="bottom"/>
            <w:tcBorders>
              <w:bottom w:val="single" w:sz="8" w:color="7F7F7F"/>
            </w:tcBorders>
          </w:tcPr>
          <w:p>
            <w:pPr>
              <w:jc w:val="right"/>
              <w:ind w:right="10"/>
              <w:spacing w:after="0"/>
              <w:rPr>
                <w:sz w:val="20"/>
                <w:szCs w:val="20"/>
                <w:color w:val="auto"/>
              </w:rPr>
            </w:pPr>
            <w:r>
              <w:rPr>
                <w:rFonts w:ascii="Arial" w:cs="Arial" w:eastAsia="Arial" w:hAnsi="Arial"/>
                <w:sz w:val="15"/>
                <w:szCs w:val="15"/>
                <w:color w:val="auto"/>
              </w:rPr>
              <w:t>17,546</w:t>
            </w:r>
          </w:p>
        </w:tc>
        <w:tc>
          <w:tcPr>
            <w:tcW w:w="1000" w:type="dxa"/>
            <w:vAlign w:val="bottom"/>
            <w:tcBorders>
              <w:bottom w:val="single" w:sz="8" w:color="7F7F7F"/>
            </w:tcBorders>
          </w:tcPr>
          <w:p>
            <w:pPr>
              <w:jc w:val="right"/>
              <w:ind w:right="48"/>
              <w:spacing w:after="0"/>
              <w:rPr>
                <w:sz w:val="20"/>
                <w:szCs w:val="20"/>
                <w:color w:val="auto"/>
              </w:rPr>
            </w:pPr>
            <w:r>
              <w:rPr>
                <w:rFonts w:ascii="Arial" w:cs="Arial" w:eastAsia="Arial" w:hAnsi="Arial"/>
                <w:sz w:val="15"/>
                <w:szCs w:val="15"/>
                <w:color w:val="auto"/>
              </w:rPr>
              <w:t>8,773</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18,822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Note: Based on the hire dates for Messrs. Layden and Anderson, they are not participating in the 2023-2025 LTI award.</w:t>
      </w:r>
    </w:p>
    <w:p>
      <w:pPr>
        <w:spacing w:after="0" w:line="71"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58 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2024-2026 Long-Term Incentive Performance Results – Year 2</w:t>
      </w:r>
    </w:p>
    <w:p>
      <w:pPr>
        <w:spacing w:after="0" w:line="61" w:lineRule="exact"/>
        <w:rPr>
          <w:sz w:val="20"/>
          <w:szCs w:val="20"/>
          <w:color w:val="auto"/>
        </w:rPr>
      </w:pPr>
    </w:p>
    <w:p>
      <w:pPr>
        <w:ind w:left="560" w:right="100"/>
        <w:spacing w:after="0" w:line="250" w:lineRule="auto"/>
        <w:rPr>
          <w:sz w:val="20"/>
          <w:szCs w:val="20"/>
          <w:color w:val="auto"/>
        </w:rPr>
      </w:pPr>
      <w:r>
        <w:rPr>
          <w:rFonts w:ascii="Arial" w:cs="Arial" w:eastAsia="Arial" w:hAnsi="Arial"/>
          <w:sz w:val="15"/>
          <w:szCs w:val="15"/>
          <w:color w:val="auto"/>
        </w:rPr>
        <w:t>The 2024-2026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will vest 100% upon the third anniversary of the grant (February 2027). Aggregate funding for all performance measures during the 2025 performance year was 53.64% of target (as shown in the 2025 Performance Goals table above).</w:t>
      </w:r>
    </w:p>
    <w:p>
      <w:pPr>
        <w:spacing w:after="0" w:line="32"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As a result of the above level of achievement for each of the performance measures for year 2 of the 2024-2026 LTI award, the Committee approved the following number of earned performance shares for each named executive officer.</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00AE4F"/>
              </w:rPr>
              <w:t>Financial Measure:</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Financial Measure: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00AE4F"/>
              </w:rPr>
              <w:t>Revenue Growth</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EBITDA Margin</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1040" w:type="dxa"/>
            <w:vAlign w:val="bottom"/>
            <w:vMerge w:val="restart"/>
          </w:tcPr>
          <w:p>
            <w:pPr>
              <w:jc w:val="center"/>
              <w:ind w:left="10"/>
              <w:spacing w:after="0"/>
              <w:rPr>
                <w:sz w:val="20"/>
                <w:szCs w:val="20"/>
                <w:color w:val="auto"/>
              </w:rPr>
            </w:pPr>
            <w:r>
              <w:rPr>
                <w:rFonts w:ascii="Arial" w:cs="Arial" w:eastAsia="Arial" w:hAnsi="Arial"/>
                <w:sz w:val="13"/>
                <w:szCs w:val="13"/>
                <w:b w:val="1"/>
                <w:bCs w:val="1"/>
                <w:color w:val="00AE4F"/>
                <w:w w:val="96"/>
              </w:rPr>
              <w:t>Total # of</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00AE4F"/>
              </w:rPr>
              <w:t>Payout as % of Target: 57.27%</w:t>
            </w:r>
          </w:p>
        </w:tc>
        <w:tc>
          <w:tcPr>
            <w:tcW w:w="100" w:type="dxa"/>
            <w:vAlign w:val="bottom"/>
          </w:tcPr>
          <w:p>
            <w:pPr>
              <w:spacing w:after="0"/>
              <w:rPr>
                <w:sz w:val="10"/>
                <w:szCs w:val="10"/>
                <w:color w:val="auto"/>
              </w:rPr>
            </w:pPr>
          </w:p>
        </w:tc>
        <w:tc>
          <w:tcPr>
            <w:tcW w:w="19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00AE4F"/>
              </w:rPr>
              <w:t>Payout as % of Target: 50.00%</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jc w:val="center"/>
              <w:ind w:left="10"/>
              <w:spacing w:after="0"/>
              <w:rPr>
                <w:sz w:val="20"/>
                <w:szCs w:val="20"/>
                <w:color w:val="auto"/>
              </w:rPr>
            </w:pPr>
            <w:r>
              <w:rPr>
                <w:rFonts w:ascii="Arial" w:cs="Arial" w:eastAsia="Arial" w:hAnsi="Arial"/>
                <w:sz w:val="13"/>
                <w:szCs w:val="13"/>
                <w:b w:val="1"/>
                <w:bCs w:val="1"/>
                <w:color w:val="00AE4F"/>
              </w:rPr>
              <w:t>Year 2</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tcPr>
          <w:p>
            <w:pPr>
              <w:jc w:val="center"/>
              <w:ind w:left="29"/>
              <w:spacing w:after="0" w:line="116" w:lineRule="exact"/>
              <w:rPr>
                <w:sz w:val="20"/>
                <w:szCs w:val="20"/>
                <w:color w:val="auto"/>
              </w:rPr>
            </w:pPr>
            <w:r>
              <w:rPr>
                <w:rFonts w:ascii="Arial" w:cs="Arial" w:eastAsia="Arial" w:hAnsi="Arial"/>
                <w:sz w:val="13"/>
                <w:szCs w:val="13"/>
                <w:b w:val="1"/>
                <w:bCs w:val="1"/>
                <w:color w:val="00AE4F"/>
              </w:rPr>
              <w:t>Year 2 # of</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Arial" w:cs="Arial" w:eastAsia="Arial" w:hAnsi="Arial"/>
                <w:sz w:val="13"/>
                <w:szCs w:val="13"/>
                <w:b w:val="1"/>
                <w:bCs w:val="1"/>
                <w:color w:val="00AE4F"/>
              </w:rPr>
              <w:t>Year 2 # of</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80" w:type="dxa"/>
            <w:vAlign w:val="bottom"/>
          </w:tcPr>
          <w:p>
            <w:pPr>
              <w:jc w:val="right"/>
              <w:ind w:right="50"/>
              <w:spacing w:after="0"/>
              <w:rPr>
                <w:sz w:val="20"/>
                <w:szCs w:val="20"/>
                <w:color w:val="auto"/>
              </w:rPr>
            </w:pPr>
            <w:r>
              <w:rPr>
                <w:rFonts w:ascii="Arial" w:cs="Arial" w:eastAsia="Arial" w:hAnsi="Arial"/>
                <w:sz w:val="13"/>
                <w:szCs w:val="13"/>
                <w:b w:val="1"/>
                <w:bCs w:val="1"/>
                <w:color w:val="00AE4F"/>
              </w:rPr>
              <w:t>Year 2 Target</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Shares</w:t>
            </w:r>
          </w:p>
        </w:tc>
        <w:tc>
          <w:tcPr>
            <w:tcW w:w="1080" w:type="dxa"/>
            <w:vAlign w:val="bottom"/>
          </w:tcPr>
          <w:p>
            <w:pPr>
              <w:jc w:val="right"/>
              <w:ind w:right="50"/>
              <w:spacing w:after="0"/>
              <w:rPr>
                <w:sz w:val="20"/>
                <w:szCs w:val="20"/>
                <w:color w:val="auto"/>
              </w:rPr>
            </w:pPr>
            <w:r>
              <w:rPr>
                <w:rFonts w:ascii="Arial" w:cs="Arial" w:eastAsia="Arial" w:hAnsi="Arial"/>
                <w:sz w:val="13"/>
                <w:szCs w:val="13"/>
                <w:b w:val="1"/>
                <w:bCs w:val="1"/>
                <w:color w:val="00AE4F"/>
              </w:rPr>
              <w:t>Year 2 Target</w:t>
            </w:r>
          </w:p>
        </w:tc>
        <w:tc>
          <w:tcPr>
            <w:tcW w:w="840" w:type="dxa"/>
            <w:vAlign w:val="bottom"/>
          </w:tcPr>
          <w:p>
            <w:pPr>
              <w:jc w:val="right"/>
              <w:ind w:right="69"/>
              <w:spacing w:after="0"/>
              <w:rPr>
                <w:sz w:val="20"/>
                <w:szCs w:val="20"/>
                <w:color w:val="auto"/>
              </w:rPr>
            </w:pPr>
            <w:r>
              <w:rPr>
                <w:rFonts w:ascii="Arial" w:cs="Arial" w:eastAsia="Arial" w:hAnsi="Arial"/>
                <w:sz w:val="13"/>
                <w:szCs w:val="13"/>
                <w:b w:val="1"/>
                <w:bCs w:val="1"/>
                <w:color w:val="00AE4F"/>
              </w:rPr>
              <w:t>Shares</w:t>
            </w:r>
          </w:p>
        </w:tc>
        <w:tc>
          <w:tcPr>
            <w:tcW w:w="1040" w:type="dxa"/>
            <w:vAlign w:val="bottom"/>
          </w:tcPr>
          <w:p>
            <w:pPr>
              <w:jc w:val="center"/>
              <w:ind w:left="10"/>
              <w:spacing w:after="0"/>
              <w:rPr>
                <w:sz w:val="20"/>
                <w:szCs w:val="20"/>
                <w:color w:val="auto"/>
              </w:rPr>
            </w:pPr>
            <w:r>
              <w:rPr>
                <w:rFonts w:ascii="Arial" w:cs="Arial" w:eastAsia="Arial" w:hAnsi="Arial"/>
                <w:sz w:val="13"/>
                <w:szCs w:val="13"/>
                <w:b w:val="1"/>
                <w:bCs w:val="1"/>
                <w:color w:val="00AE4F"/>
              </w:rPr>
              <w:t>Performance</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3"/>
                <w:szCs w:val="13"/>
                <w:b w:val="1"/>
                <w:bCs w:val="1"/>
                <w:color w:val="00AE4F"/>
              </w:rPr>
              <w:t>Name</w:t>
            </w:r>
          </w:p>
        </w:tc>
        <w:tc>
          <w:tcPr>
            <w:tcW w:w="1080" w:type="dxa"/>
            <w:vAlign w:val="bottom"/>
          </w:tcPr>
          <w:p>
            <w:pPr>
              <w:jc w:val="right"/>
              <w:ind w:right="110"/>
              <w:spacing w:after="0"/>
              <w:rPr>
                <w:sz w:val="20"/>
                <w:szCs w:val="20"/>
                <w:color w:val="auto"/>
              </w:rPr>
            </w:pPr>
            <w:r>
              <w:rPr>
                <w:rFonts w:ascii="Arial" w:cs="Arial" w:eastAsia="Arial" w:hAnsi="Arial"/>
                <w:sz w:val="13"/>
                <w:szCs w:val="13"/>
                <w:b w:val="1"/>
                <w:bCs w:val="1"/>
                <w:color w:val="00AE4F"/>
              </w:rPr>
              <w:t># of Shares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Earned</w:t>
            </w:r>
          </w:p>
        </w:tc>
        <w:tc>
          <w:tcPr>
            <w:tcW w:w="1080" w:type="dxa"/>
            <w:vAlign w:val="bottom"/>
          </w:tcPr>
          <w:p>
            <w:pPr>
              <w:jc w:val="right"/>
              <w:ind w:right="110"/>
              <w:spacing w:after="0"/>
              <w:rPr>
                <w:sz w:val="20"/>
                <w:szCs w:val="20"/>
                <w:color w:val="auto"/>
              </w:rPr>
            </w:pPr>
            <w:r>
              <w:rPr>
                <w:rFonts w:ascii="Arial" w:cs="Arial" w:eastAsia="Arial" w:hAnsi="Arial"/>
                <w:sz w:val="13"/>
                <w:szCs w:val="13"/>
                <w:b w:val="1"/>
                <w:bCs w:val="1"/>
                <w:color w:val="00AE4F"/>
              </w:rPr>
              <w:t># of Shares</w:t>
            </w:r>
          </w:p>
        </w:tc>
        <w:tc>
          <w:tcPr>
            <w:tcW w:w="840" w:type="dxa"/>
            <w:vAlign w:val="bottom"/>
          </w:tcPr>
          <w:p>
            <w:pPr>
              <w:jc w:val="right"/>
              <w:ind w:right="69"/>
              <w:spacing w:after="0"/>
              <w:rPr>
                <w:sz w:val="20"/>
                <w:szCs w:val="20"/>
                <w:color w:val="auto"/>
              </w:rPr>
            </w:pPr>
            <w:r>
              <w:rPr>
                <w:rFonts w:ascii="Arial" w:cs="Arial" w:eastAsia="Arial" w:hAnsi="Arial"/>
                <w:sz w:val="13"/>
                <w:szCs w:val="13"/>
                <w:b w:val="1"/>
                <w:bCs w:val="1"/>
                <w:color w:val="00AE4F"/>
              </w:rPr>
              <w:t>Earned</w:t>
            </w:r>
          </w:p>
        </w:tc>
        <w:tc>
          <w:tcPr>
            <w:tcW w:w="1040" w:type="dxa"/>
            <w:vAlign w:val="bottom"/>
          </w:tcPr>
          <w:p>
            <w:pPr>
              <w:jc w:val="center"/>
              <w:ind w:left="10"/>
              <w:spacing w:after="0"/>
              <w:rPr>
                <w:sz w:val="20"/>
                <w:szCs w:val="20"/>
                <w:color w:val="auto"/>
              </w:rPr>
            </w:pPr>
            <w:r>
              <w:rPr>
                <w:rFonts w:ascii="Arial" w:cs="Arial" w:eastAsia="Arial" w:hAnsi="Arial"/>
                <w:sz w:val="13"/>
                <w:szCs w:val="13"/>
                <w:b w:val="1"/>
                <w:bCs w:val="1"/>
                <w:color w:val="00AE4F"/>
              </w:rPr>
              <w:t>Shares Earned</w:t>
            </w: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1,445</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828</w:t>
            </w:r>
          </w:p>
        </w:tc>
        <w:tc>
          <w:tcPr>
            <w:tcW w:w="10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1,445</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723</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1,551</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2,853</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1,634</w:t>
            </w:r>
          </w:p>
        </w:tc>
        <w:tc>
          <w:tcPr>
            <w:tcW w:w="10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2,853</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1,427</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3,061</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1,384</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1,384</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692</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1,485</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w w:val="98"/>
              </w:rPr>
              <w:t>Former Executive</w:t>
            </w:r>
          </w:p>
        </w:tc>
        <w:tc>
          <w:tcPr>
            <w:tcW w:w="3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7F7F7F"/>
            </w:tcBorders>
          </w:tcPr>
          <w:p>
            <w:pPr>
              <w:spacing w:after="0"/>
              <w:rPr>
                <w:sz w:val="24"/>
                <w:szCs w:val="24"/>
                <w:color w:val="auto"/>
              </w:rPr>
            </w:pPr>
          </w:p>
        </w:tc>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Peter W. Quigley</w:t>
            </w: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13,514</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7,739</w:t>
            </w:r>
          </w:p>
        </w:tc>
        <w:tc>
          <w:tcPr>
            <w:tcW w:w="100" w:type="dxa"/>
            <w:vAlign w:val="bottom"/>
            <w:tcBorders>
              <w:bottom w:val="single" w:sz="8" w:color="7F7F7F"/>
            </w:tcBorders>
          </w:tcPr>
          <w:p>
            <w:pPr>
              <w:spacing w:after="0"/>
              <w:rPr>
                <w:sz w:val="24"/>
                <w:szCs w:val="24"/>
                <w:color w:val="auto"/>
              </w:rPr>
            </w:pPr>
          </w:p>
        </w:tc>
        <w:tc>
          <w:tcPr>
            <w:tcW w:w="1080" w:type="dxa"/>
            <w:vAlign w:val="bottom"/>
            <w:tcBorders>
              <w:bottom w:val="single" w:sz="8" w:color="7F7F7F"/>
            </w:tcBorders>
          </w:tcPr>
          <w:p>
            <w:pPr>
              <w:jc w:val="right"/>
              <w:ind w:right="170"/>
              <w:spacing w:after="0"/>
              <w:rPr>
                <w:sz w:val="20"/>
                <w:szCs w:val="20"/>
                <w:color w:val="auto"/>
              </w:rPr>
            </w:pPr>
            <w:r>
              <w:rPr>
                <w:rFonts w:ascii="Arial" w:cs="Arial" w:eastAsia="Arial" w:hAnsi="Arial"/>
                <w:sz w:val="15"/>
                <w:szCs w:val="15"/>
                <w:color w:val="auto"/>
              </w:rPr>
              <w:t>13,514</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6,757</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14,496</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Note: Based on the hire dates for Messrs. Layden and Anderson, they are not participating in the 2024-2026 LTI award.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2025-2027 Long-Term Incentive Performance Results – Year 1</w:t>
      </w:r>
    </w:p>
    <w:p>
      <w:pPr>
        <w:spacing w:after="0" w:line="61" w:lineRule="exact"/>
        <w:rPr>
          <w:sz w:val="20"/>
          <w:szCs w:val="20"/>
          <w:color w:val="auto"/>
        </w:rPr>
      </w:pPr>
    </w:p>
    <w:p>
      <w:pPr>
        <w:ind w:left="560" w:right="160"/>
        <w:spacing w:after="0" w:line="272" w:lineRule="auto"/>
        <w:rPr>
          <w:sz w:val="20"/>
          <w:szCs w:val="20"/>
          <w:color w:val="auto"/>
        </w:rPr>
      </w:pPr>
      <w:r>
        <w:rPr>
          <w:rFonts w:ascii="Arial" w:cs="Arial" w:eastAsia="Arial" w:hAnsi="Arial"/>
          <w:sz w:val="14"/>
          <w:szCs w:val="14"/>
          <w:color w:val="auto"/>
        </w:rPr>
        <w:t>As described above, the 2025-2027 performance shares have two financial measures, revenue growth and EBITDA margin, which have three one-year goals set in the beginning of each performance year. In February 2025, the Committee approved goals at threshold, target, and maximum levels of performance for each of the measures for the 2025 portion of the award opportunity. During its February 10, 2026 meeting, the Committee approved the results for the 2025 performance year. Earned shares will vest 100% upon the third anniversary of the grant (February 2028). Aggregate funding for all performance measures during the 2025 performance year was 53.64% of target (as shown in the 2025 Performance Goals table above).</w:t>
      </w:r>
    </w:p>
    <w:p>
      <w:pPr>
        <w:spacing w:after="0" w:line="18"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As a result of the above level of achievement for each of the performance measures for year 1 of the 2025-2027 LTI award, the Committee approved the following number of earned performance shares for each named executive officer.</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00AE4F"/>
              </w:rPr>
              <w:t>Financial Measure:</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Financial Measure: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00AE4F"/>
              </w:rPr>
              <w:t>Revenue Growth</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EBITDA Margin</w:t>
            </w:r>
          </w:p>
        </w:tc>
        <w:tc>
          <w:tcPr>
            <w:tcW w:w="1040" w:type="dxa"/>
            <w:vAlign w:val="bottom"/>
          </w:tcPr>
          <w:p>
            <w:pPr>
              <w:jc w:val="center"/>
              <w:ind w:left="9"/>
              <w:spacing w:after="0"/>
              <w:rPr>
                <w:sz w:val="20"/>
                <w:szCs w:val="20"/>
                <w:color w:val="auto"/>
              </w:rPr>
            </w:pPr>
            <w:r>
              <w:rPr>
                <w:rFonts w:ascii="Arial" w:cs="Arial" w:eastAsia="Arial" w:hAnsi="Arial"/>
                <w:sz w:val="13"/>
                <w:szCs w:val="13"/>
                <w:b w:val="1"/>
                <w:bCs w:val="1"/>
                <w:color w:val="00AE4F"/>
                <w:w w:val="96"/>
              </w:rPr>
              <w:t>Total # of</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98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00AE4F"/>
              </w:rPr>
              <w:t>Payout as % of Target: 57.27%</w:t>
            </w:r>
          </w:p>
        </w:tc>
        <w:tc>
          <w:tcPr>
            <w:tcW w:w="100" w:type="dxa"/>
            <w:vAlign w:val="bottom"/>
          </w:tcPr>
          <w:p>
            <w:pPr>
              <w:spacing w:after="0"/>
              <w:rPr>
                <w:sz w:val="10"/>
                <w:szCs w:val="10"/>
                <w:color w:val="auto"/>
              </w:rPr>
            </w:pPr>
          </w:p>
        </w:tc>
        <w:tc>
          <w:tcPr>
            <w:tcW w:w="19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00AE4F"/>
              </w:rPr>
              <w:t>Payout as % of Target: 50.00%</w:t>
            </w:r>
          </w:p>
        </w:tc>
        <w:tc>
          <w:tcPr>
            <w:tcW w:w="1040" w:type="dxa"/>
            <w:vAlign w:val="bottom"/>
          </w:tcPr>
          <w:p>
            <w:pPr>
              <w:jc w:val="center"/>
              <w:ind w:left="9"/>
              <w:spacing w:after="0" w:line="121" w:lineRule="exact"/>
              <w:rPr>
                <w:sz w:val="20"/>
                <w:szCs w:val="20"/>
                <w:color w:val="auto"/>
              </w:rPr>
            </w:pPr>
            <w:r>
              <w:rPr>
                <w:rFonts w:ascii="Arial" w:cs="Arial" w:eastAsia="Arial" w:hAnsi="Arial"/>
                <w:sz w:val="13"/>
                <w:szCs w:val="13"/>
                <w:b w:val="1"/>
                <w:bCs w:val="1"/>
                <w:color w:val="00AE4F"/>
              </w:rPr>
              <w:t>Year 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jc w:val="center"/>
              <w:ind w:left="9"/>
              <w:spacing w:after="0"/>
              <w:rPr>
                <w:sz w:val="20"/>
                <w:szCs w:val="20"/>
                <w:color w:val="auto"/>
              </w:rPr>
            </w:pPr>
            <w:r>
              <w:rPr>
                <w:rFonts w:ascii="Arial" w:cs="Arial" w:eastAsia="Arial" w:hAnsi="Arial"/>
                <w:sz w:val="13"/>
                <w:szCs w:val="13"/>
                <w:b w:val="1"/>
                <w:bCs w:val="1"/>
                <w:color w:val="00AE4F"/>
              </w:rPr>
              <w:t>Performance</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0" w:type="dxa"/>
            <w:vAlign w:val="bottom"/>
          </w:tcPr>
          <w:p>
            <w:pPr>
              <w:jc w:val="right"/>
              <w:spacing w:after="0" w:line="116" w:lineRule="exact"/>
              <w:rPr>
                <w:sz w:val="20"/>
                <w:szCs w:val="20"/>
                <w:color w:val="auto"/>
              </w:rPr>
            </w:pPr>
            <w:r>
              <w:rPr>
                <w:rFonts w:ascii="Arial" w:cs="Arial" w:eastAsia="Arial" w:hAnsi="Arial"/>
                <w:sz w:val="13"/>
                <w:szCs w:val="13"/>
                <w:b w:val="1"/>
                <w:bCs w:val="1"/>
                <w:color w:val="00AE4F"/>
                <w:w w:val="98"/>
              </w:rPr>
              <w:t>Year 1 Target #</w:t>
            </w:r>
          </w:p>
        </w:tc>
        <w:tc>
          <w:tcPr>
            <w:tcW w:w="980" w:type="dxa"/>
            <w:vAlign w:val="bottom"/>
          </w:tcPr>
          <w:p>
            <w:pPr>
              <w:jc w:val="center"/>
              <w:spacing w:after="0" w:line="116" w:lineRule="exact"/>
              <w:rPr>
                <w:sz w:val="20"/>
                <w:szCs w:val="20"/>
                <w:color w:val="auto"/>
              </w:rPr>
            </w:pPr>
            <w:r>
              <w:rPr>
                <w:rFonts w:ascii="Arial" w:cs="Arial" w:eastAsia="Arial" w:hAnsi="Arial"/>
                <w:sz w:val="13"/>
                <w:szCs w:val="13"/>
                <w:b w:val="1"/>
                <w:bCs w:val="1"/>
                <w:color w:val="00AE4F"/>
              </w:rPr>
              <w:t>Year 1 # of</w:t>
            </w:r>
          </w:p>
        </w:tc>
        <w:tc>
          <w:tcPr>
            <w:tcW w:w="100" w:type="dxa"/>
            <w:vAlign w:val="bottom"/>
          </w:tcPr>
          <w:p>
            <w:pPr>
              <w:spacing w:after="0"/>
              <w:rPr>
                <w:sz w:val="10"/>
                <w:szCs w:val="10"/>
                <w:color w:val="auto"/>
              </w:rPr>
            </w:pPr>
          </w:p>
        </w:tc>
        <w:tc>
          <w:tcPr>
            <w:tcW w:w="920" w:type="dxa"/>
            <w:vAlign w:val="bottom"/>
          </w:tcPr>
          <w:p>
            <w:pPr>
              <w:jc w:val="right"/>
              <w:ind w:right="10"/>
              <w:spacing w:after="0" w:line="116" w:lineRule="exact"/>
              <w:rPr>
                <w:sz w:val="20"/>
                <w:szCs w:val="20"/>
                <w:color w:val="auto"/>
              </w:rPr>
            </w:pPr>
            <w:r>
              <w:rPr>
                <w:rFonts w:ascii="Arial" w:cs="Arial" w:eastAsia="Arial" w:hAnsi="Arial"/>
                <w:sz w:val="13"/>
                <w:szCs w:val="13"/>
                <w:b w:val="1"/>
                <w:bCs w:val="1"/>
                <w:color w:val="00AE4F"/>
                <w:w w:val="99"/>
              </w:rPr>
              <w:t>Year 1 Target</w:t>
            </w:r>
          </w:p>
        </w:tc>
        <w:tc>
          <w:tcPr>
            <w:tcW w:w="1000" w:type="dxa"/>
            <w:vAlign w:val="bottom"/>
          </w:tcPr>
          <w:p>
            <w:pPr>
              <w:jc w:val="right"/>
              <w:ind w:right="68"/>
              <w:spacing w:after="0" w:line="116" w:lineRule="exact"/>
              <w:rPr>
                <w:sz w:val="20"/>
                <w:szCs w:val="20"/>
                <w:color w:val="auto"/>
              </w:rPr>
            </w:pPr>
            <w:r>
              <w:rPr>
                <w:rFonts w:ascii="Arial" w:cs="Arial" w:eastAsia="Arial" w:hAnsi="Arial"/>
                <w:sz w:val="13"/>
                <w:szCs w:val="13"/>
                <w:b w:val="1"/>
                <w:bCs w:val="1"/>
                <w:color w:val="00AE4F"/>
              </w:rPr>
              <w:t>Year 1 # of</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3"/>
                <w:szCs w:val="13"/>
                <w:b w:val="1"/>
                <w:bCs w:val="1"/>
                <w:color w:val="00AE4F"/>
              </w:rPr>
              <w:t>Name</w:t>
            </w:r>
          </w:p>
        </w:tc>
        <w:tc>
          <w:tcPr>
            <w:tcW w:w="180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Arial" w:cs="Arial" w:eastAsia="Arial" w:hAnsi="Arial"/>
                <w:sz w:val="13"/>
                <w:szCs w:val="13"/>
                <w:b w:val="1"/>
                <w:bCs w:val="1"/>
                <w:color w:val="00AE4F"/>
              </w:rPr>
              <w:t>of Shares</w:t>
            </w: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00AE4F"/>
              </w:rPr>
              <w:t>Shares Earned</w:t>
            </w:r>
          </w:p>
        </w:tc>
        <w:tc>
          <w:tcPr>
            <w:tcW w:w="920" w:type="dxa"/>
            <w:vAlign w:val="bottom"/>
          </w:tcPr>
          <w:p>
            <w:pPr>
              <w:jc w:val="right"/>
              <w:ind w:right="50"/>
              <w:spacing w:after="0"/>
              <w:rPr>
                <w:sz w:val="20"/>
                <w:szCs w:val="20"/>
                <w:color w:val="auto"/>
              </w:rPr>
            </w:pPr>
            <w:r>
              <w:rPr>
                <w:rFonts w:ascii="Arial" w:cs="Arial" w:eastAsia="Arial" w:hAnsi="Arial"/>
                <w:sz w:val="13"/>
                <w:szCs w:val="13"/>
                <w:b w:val="1"/>
                <w:bCs w:val="1"/>
                <w:color w:val="00AE4F"/>
              </w:rPr>
              <w:t># of Shares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AE4F"/>
              </w:rPr>
              <w:t>Shares Earned</w:t>
            </w:r>
          </w:p>
        </w:tc>
        <w:tc>
          <w:tcPr>
            <w:tcW w:w="1040" w:type="dxa"/>
            <w:vAlign w:val="bottom"/>
          </w:tcPr>
          <w:p>
            <w:pPr>
              <w:jc w:val="center"/>
              <w:ind w:left="9"/>
              <w:spacing w:after="0"/>
              <w:rPr>
                <w:sz w:val="20"/>
                <w:szCs w:val="20"/>
                <w:color w:val="auto"/>
              </w:rPr>
            </w:pPr>
            <w:r>
              <w:rPr>
                <w:rFonts w:ascii="Arial" w:cs="Arial" w:eastAsia="Arial" w:hAnsi="Arial"/>
                <w:sz w:val="13"/>
                <w:szCs w:val="13"/>
                <w:b w:val="1"/>
                <w:bCs w:val="1"/>
                <w:color w:val="00AE4F"/>
              </w:rPr>
              <w:t>Shares Earned</w:t>
            </w: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3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Troy R. Anderson</w:t>
            </w:r>
          </w:p>
        </w:tc>
        <w:tc>
          <w:tcPr>
            <w:tcW w:w="2800" w:type="dxa"/>
            <w:vAlign w:val="bottom"/>
            <w:tcBorders>
              <w:bottom w:val="single" w:sz="8" w:color="7F7F7F"/>
            </w:tcBorders>
            <w:gridSpan w:val="2"/>
          </w:tcPr>
          <w:p>
            <w:pPr>
              <w:jc w:val="right"/>
              <w:ind w:right="74"/>
              <w:spacing w:after="0"/>
              <w:rPr>
                <w:sz w:val="20"/>
                <w:szCs w:val="20"/>
                <w:color w:val="auto"/>
              </w:rPr>
            </w:pPr>
            <w:r>
              <w:rPr>
                <w:rFonts w:ascii="Arial" w:cs="Arial" w:eastAsia="Arial" w:hAnsi="Arial"/>
                <w:sz w:val="15"/>
                <w:szCs w:val="15"/>
                <w:color w:val="auto"/>
              </w:rPr>
              <w:t>7,254</w:t>
            </w: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4,154</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30"/>
              <w:spacing w:after="0"/>
              <w:rPr>
                <w:sz w:val="20"/>
                <w:szCs w:val="20"/>
                <w:color w:val="auto"/>
              </w:rPr>
            </w:pPr>
            <w:r>
              <w:rPr>
                <w:rFonts w:ascii="Arial" w:cs="Arial" w:eastAsia="Arial" w:hAnsi="Arial"/>
                <w:sz w:val="15"/>
                <w:szCs w:val="15"/>
                <w:color w:val="auto"/>
              </w:rPr>
              <w:t>7,254</w:t>
            </w:r>
          </w:p>
        </w:tc>
        <w:tc>
          <w:tcPr>
            <w:tcW w:w="1000" w:type="dxa"/>
            <w:vAlign w:val="bottom"/>
            <w:tcBorders>
              <w:bottom w:val="single" w:sz="8" w:color="7F7F7F"/>
            </w:tcBorders>
          </w:tcPr>
          <w:p>
            <w:pPr>
              <w:jc w:val="right"/>
              <w:ind w:right="8"/>
              <w:spacing w:after="0"/>
              <w:rPr>
                <w:sz w:val="20"/>
                <w:szCs w:val="20"/>
                <w:color w:val="auto"/>
              </w:rPr>
            </w:pPr>
            <w:r>
              <w:rPr>
                <w:rFonts w:ascii="Arial" w:cs="Arial" w:eastAsia="Arial" w:hAnsi="Arial"/>
                <w:sz w:val="15"/>
                <w:szCs w:val="15"/>
                <w:color w:val="auto"/>
              </w:rPr>
              <w:t>3,627</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7,781</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Tammy L. Browning</w:t>
            </w:r>
          </w:p>
        </w:tc>
        <w:tc>
          <w:tcPr>
            <w:tcW w:w="2800" w:type="dxa"/>
            <w:vAlign w:val="bottom"/>
            <w:tcBorders>
              <w:bottom w:val="single" w:sz="8" w:color="7F7F7F"/>
            </w:tcBorders>
            <w:gridSpan w:val="2"/>
          </w:tcPr>
          <w:p>
            <w:pPr>
              <w:jc w:val="right"/>
              <w:ind w:right="74"/>
              <w:spacing w:after="0"/>
              <w:rPr>
                <w:sz w:val="20"/>
                <w:szCs w:val="20"/>
                <w:color w:val="auto"/>
              </w:rPr>
            </w:pPr>
            <w:r>
              <w:rPr>
                <w:rFonts w:ascii="Arial" w:cs="Arial" w:eastAsia="Arial" w:hAnsi="Arial"/>
                <w:sz w:val="15"/>
                <w:szCs w:val="15"/>
                <w:color w:val="auto"/>
              </w:rPr>
              <w:t>2,349</w:t>
            </w: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1,345</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30"/>
              <w:spacing w:after="0"/>
              <w:rPr>
                <w:sz w:val="20"/>
                <w:szCs w:val="20"/>
                <w:color w:val="auto"/>
              </w:rPr>
            </w:pPr>
            <w:r>
              <w:rPr>
                <w:rFonts w:ascii="Arial" w:cs="Arial" w:eastAsia="Arial" w:hAnsi="Arial"/>
                <w:sz w:val="15"/>
                <w:szCs w:val="15"/>
                <w:color w:val="auto"/>
              </w:rPr>
              <w:t>2,349</w:t>
            </w:r>
          </w:p>
        </w:tc>
        <w:tc>
          <w:tcPr>
            <w:tcW w:w="1000" w:type="dxa"/>
            <w:vAlign w:val="bottom"/>
            <w:tcBorders>
              <w:bottom w:val="single" w:sz="8" w:color="7F7F7F"/>
            </w:tcBorders>
          </w:tcPr>
          <w:p>
            <w:pPr>
              <w:jc w:val="right"/>
              <w:ind w:right="8"/>
              <w:spacing w:after="0"/>
              <w:rPr>
                <w:sz w:val="20"/>
                <w:szCs w:val="20"/>
                <w:color w:val="auto"/>
              </w:rPr>
            </w:pPr>
            <w:r>
              <w:rPr>
                <w:rFonts w:ascii="Arial" w:cs="Arial" w:eastAsia="Arial" w:hAnsi="Arial"/>
                <w:sz w:val="15"/>
                <w:szCs w:val="15"/>
                <w:color w:val="auto"/>
              </w:rPr>
              <w:t>1,175</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2,520</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Vanessa P. Williams</w:t>
            </w:r>
          </w:p>
        </w:tc>
        <w:tc>
          <w:tcPr>
            <w:tcW w:w="2800" w:type="dxa"/>
            <w:vAlign w:val="bottom"/>
            <w:tcBorders>
              <w:bottom w:val="single" w:sz="8" w:color="7F7F7F"/>
            </w:tcBorders>
            <w:gridSpan w:val="2"/>
          </w:tcPr>
          <w:p>
            <w:pPr>
              <w:jc w:val="right"/>
              <w:ind w:right="74"/>
              <w:spacing w:after="0"/>
              <w:rPr>
                <w:sz w:val="20"/>
                <w:szCs w:val="20"/>
                <w:color w:val="auto"/>
              </w:rPr>
            </w:pPr>
            <w:r>
              <w:rPr>
                <w:rFonts w:ascii="Arial" w:cs="Arial" w:eastAsia="Arial" w:hAnsi="Arial"/>
                <w:sz w:val="15"/>
                <w:szCs w:val="15"/>
                <w:color w:val="auto"/>
              </w:rPr>
              <w:t>4,836</w:t>
            </w: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2,770</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30"/>
              <w:spacing w:after="0"/>
              <w:rPr>
                <w:sz w:val="20"/>
                <w:szCs w:val="20"/>
                <w:color w:val="auto"/>
              </w:rPr>
            </w:pPr>
            <w:r>
              <w:rPr>
                <w:rFonts w:ascii="Arial" w:cs="Arial" w:eastAsia="Arial" w:hAnsi="Arial"/>
                <w:sz w:val="15"/>
                <w:szCs w:val="15"/>
                <w:color w:val="auto"/>
              </w:rPr>
              <w:t>4,836</w:t>
            </w:r>
          </w:p>
        </w:tc>
        <w:tc>
          <w:tcPr>
            <w:tcW w:w="1000" w:type="dxa"/>
            <w:vAlign w:val="bottom"/>
            <w:tcBorders>
              <w:bottom w:val="single" w:sz="8" w:color="7F7F7F"/>
            </w:tcBorders>
          </w:tcPr>
          <w:p>
            <w:pPr>
              <w:jc w:val="right"/>
              <w:ind w:right="8"/>
              <w:spacing w:after="0"/>
              <w:rPr>
                <w:sz w:val="20"/>
                <w:szCs w:val="20"/>
                <w:color w:val="auto"/>
              </w:rPr>
            </w:pPr>
            <w:r>
              <w:rPr>
                <w:rFonts w:ascii="Arial" w:cs="Arial" w:eastAsia="Arial" w:hAnsi="Arial"/>
                <w:sz w:val="15"/>
                <w:szCs w:val="15"/>
                <w:color w:val="auto"/>
              </w:rPr>
              <w:t>2,418</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5,188</w:t>
            </w:r>
          </w:p>
        </w:tc>
        <w:tc>
          <w:tcPr>
            <w:tcW w:w="0" w:type="dxa"/>
            <w:vAlign w:val="bottom"/>
          </w:tcPr>
          <w:p>
            <w:pPr>
              <w:spacing w:after="0"/>
              <w:rPr>
                <w:sz w:val="1"/>
                <w:szCs w:val="1"/>
                <w:color w:val="auto"/>
              </w:rPr>
            </w:pPr>
          </w:p>
        </w:tc>
      </w:tr>
      <w:tr>
        <w:trPr>
          <w:trHeight w:val="228"/>
        </w:trPr>
        <w:tc>
          <w:tcPr>
            <w:tcW w:w="60" w:type="dxa"/>
            <w:vAlign w:val="bottom"/>
            <w:tcBorders>
              <w:bottom w:val="single" w:sz="8" w:color="7F7F7F"/>
            </w:tcBorders>
          </w:tcPr>
          <w:p>
            <w:pPr>
              <w:spacing w:after="0"/>
              <w:rPr>
                <w:sz w:val="19"/>
                <w:szCs w:val="19"/>
                <w:color w:val="auto"/>
              </w:rPr>
            </w:pPr>
          </w:p>
        </w:tc>
        <w:tc>
          <w:tcPr>
            <w:tcW w:w="3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Nicola M. Soares</w:t>
            </w:r>
          </w:p>
        </w:tc>
        <w:tc>
          <w:tcPr>
            <w:tcW w:w="2800" w:type="dxa"/>
            <w:vAlign w:val="bottom"/>
            <w:tcBorders>
              <w:bottom w:val="single" w:sz="8" w:color="7F7F7F"/>
            </w:tcBorders>
            <w:gridSpan w:val="2"/>
          </w:tcPr>
          <w:p>
            <w:pPr>
              <w:jc w:val="right"/>
              <w:ind w:right="74"/>
              <w:spacing w:after="0"/>
              <w:rPr>
                <w:sz w:val="20"/>
                <w:szCs w:val="20"/>
                <w:color w:val="auto"/>
              </w:rPr>
            </w:pPr>
            <w:r>
              <w:rPr>
                <w:rFonts w:ascii="Arial" w:cs="Arial" w:eastAsia="Arial" w:hAnsi="Arial"/>
                <w:sz w:val="15"/>
                <w:szCs w:val="15"/>
                <w:color w:val="auto"/>
              </w:rPr>
              <w:t>2,288</w:t>
            </w: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1,310</w:t>
            </w:r>
          </w:p>
        </w:tc>
        <w:tc>
          <w:tcPr>
            <w:tcW w:w="100" w:type="dxa"/>
            <w:vAlign w:val="bottom"/>
            <w:tcBorders>
              <w:bottom w:val="single" w:sz="8" w:color="7F7F7F"/>
            </w:tcBorders>
          </w:tcPr>
          <w:p>
            <w:pPr>
              <w:spacing w:after="0"/>
              <w:rPr>
                <w:sz w:val="19"/>
                <w:szCs w:val="19"/>
                <w:color w:val="auto"/>
              </w:rPr>
            </w:pPr>
          </w:p>
        </w:tc>
        <w:tc>
          <w:tcPr>
            <w:tcW w:w="920" w:type="dxa"/>
            <w:vAlign w:val="bottom"/>
            <w:tcBorders>
              <w:bottom w:val="single" w:sz="8" w:color="7F7F7F"/>
            </w:tcBorders>
          </w:tcPr>
          <w:p>
            <w:pPr>
              <w:jc w:val="right"/>
              <w:ind w:right="30"/>
              <w:spacing w:after="0"/>
              <w:rPr>
                <w:sz w:val="20"/>
                <w:szCs w:val="20"/>
                <w:color w:val="auto"/>
              </w:rPr>
            </w:pPr>
            <w:r>
              <w:rPr>
                <w:rFonts w:ascii="Arial" w:cs="Arial" w:eastAsia="Arial" w:hAnsi="Arial"/>
                <w:sz w:val="15"/>
                <w:szCs w:val="15"/>
                <w:color w:val="auto"/>
              </w:rPr>
              <w:t>2,288</w:t>
            </w:r>
          </w:p>
        </w:tc>
        <w:tc>
          <w:tcPr>
            <w:tcW w:w="1000" w:type="dxa"/>
            <w:vAlign w:val="bottom"/>
            <w:tcBorders>
              <w:bottom w:val="single" w:sz="8" w:color="7F7F7F"/>
            </w:tcBorders>
          </w:tcPr>
          <w:p>
            <w:pPr>
              <w:jc w:val="right"/>
              <w:ind w:right="8"/>
              <w:spacing w:after="0"/>
              <w:rPr>
                <w:sz w:val="20"/>
                <w:szCs w:val="20"/>
                <w:color w:val="auto"/>
              </w:rPr>
            </w:pPr>
            <w:r>
              <w:rPr>
                <w:rFonts w:ascii="Arial" w:cs="Arial" w:eastAsia="Arial" w:hAnsi="Arial"/>
                <w:sz w:val="15"/>
                <w:szCs w:val="15"/>
                <w:color w:val="auto"/>
              </w:rPr>
              <w:t>1,144</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2,454</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w w:val="98"/>
              </w:rPr>
              <w:t>Former Executive</w:t>
            </w:r>
          </w:p>
        </w:tc>
        <w:tc>
          <w:tcPr>
            <w:tcW w:w="1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7F7F7F"/>
            </w:tcBorders>
          </w:tcPr>
          <w:p>
            <w:pPr>
              <w:spacing w:after="0"/>
              <w:rPr>
                <w:sz w:val="24"/>
                <w:szCs w:val="24"/>
                <w:color w:val="auto"/>
              </w:rPr>
            </w:pPr>
          </w:p>
        </w:tc>
        <w:tc>
          <w:tcPr>
            <w:tcW w:w="3240" w:type="dxa"/>
            <w:vAlign w:val="bottom"/>
            <w:tcBorders>
              <w:bottom w:val="single" w:sz="8" w:color="7F7F7F"/>
            </w:tcBorders>
            <w:gridSpan w:val="2"/>
          </w:tcPr>
          <w:p>
            <w:pPr>
              <w:spacing w:after="0"/>
              <w:rPr>
                <w:sz w:val="20"/>
                <w:szCs w:val="20"/>
                <w:color w:val="auto"/>
              </w:rPr>
            </w:pPr>
            <w:r>
              <w:rPr>
                <w:rFonts w:ascii="Arial" w:cs="Arial" w:eastAsia="Arial" w:hAnsi="Arial"/>
                <w:sz w:val="15"/>
                <w:szCs w:val="15"/>
                <w:b w:val="1"/>
                <w:bCs w:val="1"/>
                <w:color w:val="auto"/>
              </w:rPr>
              <w:t>Peter W. Quigley</w:t>
            </w:r>
          </w:p>
        </w:tc>
        <w:tc>
          <w:tcPr>
            <w:tcW w:w="2800" w:type="dxa"/>
            <w:vAlign w:val="bottom"/>
            <w:tcBorders>
              <w:bottom w:val="single" w:sz="8" w:color="7F7F7F"/>
            </w:tcBorders>
            <w:gridSpan w:val="2"/>
          </w:tcPr>
          <w:p>
            <w:pPr>
              <w:jc w:val="right"/>
              <w:ind w:right="74"/>
              <w:spacing w:after="0"/>
              <w:rPr>
                <w:sz w:val="20"/>
                <w:szCs w:val="20"/>
                <w:color w:val="auto"/>
              </w:rPr>
            </w:pPr>
            <w:r>
              <w:rPr>
                <w:rFonts w:ascii="Arial" w:cs="Arial" w:eastAsia="Arial" w:hAnsi="Arial"/>
                <w:sz w:val="15"/>
                <w:szCs w:val="15"/>
                <w:color w:val="auto"/>
              </w:rPr>
              <w:t>22,670</w:t>
            </w: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12,983</w:t>
            </w:r>
          </w:p>
        </w:tc>
        <w:tc>
          <w:tcPr>
            <w:tcW w:w="100" w:type="dxa"/>
            <w:vAlign w:val="bottom"/>
            <w:tcBorders>
              <w:bottom w:val="single" w:sz="8" w:color="7F7F7F"/>
            </w:tcBorders>
          </w:tcPr>
          <w:p>
            <w:pPr>
              <w:spacing w:after="0"/>
              <w:rPr>
                <w:sz w:val="24"/>
                <w:szCs w:val="24"/>
                <w:color w:val="auto"/>
              </w:rPr>
            </w:pPr>
          </w:p>
        </w:tc>
        <w:tc>
          <w:tcPr>
            <w:tcW w:w="920" w:type="dxa"/>
            <w:vAlign w:val="bottom"/>
            <w:tcBorders>
              <w:bottom w:val="single" w:sz="8" w:color="7F7F7F"/>
            </w:tcBorders>
          </w:tcPr>
          <w:p>
            <w:pPr>
              <w:jc w:val="right"/>
              <w:ind w:right="30"/>
              <w:spacing w:after="0"/>
              <w:rPr>
                <w:sz w:val="20"/>
                <w:szCs w:val="20"/>
                <w:color w:val="auto"/>
              </w:rPr>
            </w:pPr>
            <w:r>
              <w:rPr>
                <w:rFonts w:ascii="Arial" w:cs="Arial" w:eastAsia="Arial" w:hAnsi="Arial"/>
                <w:sz w:val="15"/>
                <w:szCs w:val="15"/>
                <w:color w:val="auto"/>
              </w:rPr>
              <w:t>22,670</w:t>
            </w:r>
          </w:p>
        </w:tc>
        <w:tc>
          <w:tcPr>
            <w:tcW w:w="1000" w:type="dxa"/>
            <w:vAlign w:val="bottom"/>
            <w:tcBorders>
              <w:bottom w:val="single" w:sz="8" w:color="7F7F7F"/>
            </w:tcBorders>
          </w:tcPr>
          <w:p>
            <w:pPr>
              <w:jc w:val="right"/>
              <w:ind w:right="8"/>
              <w:spacing w:after="0"/>
              <w:rPr>
                <w:sz w:val="20"/>
                <w:szCs w:val="20"/>
                <w:color w:val="auto"/>
              </w:rPr>
            </w:pPr>
            <w:r>
              <w:rPr>
                <w:rFonts w:ascii="Arial" w:cs="Arial" w:eastAsia="Arial" w:hAnsi="Arial"/>
                <w:sz w:val="15"/>
                <w:szCs w:val="15"/>
                <w:color w:val="auto"/>
              </w:rPr>
              <w:t>11,335</w:t>
            </w:r>
          </w:p>
        </w:tc>
        <w:tc>
          <w:tcPr>
            <w:tcW w:w="1040" w:type="dxa"/>
            <w:vAlign w:val="bottom"/>
            <w:tcBorders>
              <w:bottom w:val="single" w:sz="8" w:color="7F7F7F"/>
            </w:tcBorders>
          </w:tcPr>
          <w:p>
            <w:pPr>
              <w:jc w:val="right"/>
              <w:spacing w:after="0"/>
              <w:rPr>
                <w:sz w:val="20"/>
                <w:szCs w:val="20"/>
                <w:color w:val="auto"/>
              </w:rPr>
            </w:pPr>
            <w:r>
              <w:rPr>
                <w:rFonts w:ascii="Arial" w:cs="Arial" w:eastAsia="Arial" w:hAnsi="Arial"/>
                <w:sz w:val="15"/>
                <w:szCs w:val="15"/>
                <w:color w:val="auto"/>
              </w:rPr>
              <w:t>24,318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Note: Based on the hire date for Mr. Layden, he is not participating in the 2025-2027 LTI award.</w:t>
      </w:r>
    </w:p>
    <w:p>
      <w:pPr>
        <w:spacing w:after="0" w:line="124"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5"/>
          <w:szCs w:val="15"/>
          <w:i w:val="1"/>
          <w:iCs w:val="1"/>
          <w:u w:val="single" w:color="auto"/>
          <w:color w:val="auto"/>
        </w:rPr>
        <w:t>Restricted Stock</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Committee considers restricted stock to be an effective vehicle to support the Company’s long-term compensation objectives:</w:t>
      </w:r>
    </w:p>
    <w:p>
      <w:pPr>
        <w:spacing w:after="0" w:line="8" w:lineRule="exact"/>
        <w:rPr>
          <w:sz w:val="20"/>
          <w:szCs w:val="20"/>
          <w:color w:val="auto"/>
        </w:rPr>
      </w:pPr>
    </w:p>
    <w:p>
      <w:pPr>
        <w:ind w:left="760" w:hanging="196"/>
        <w:spacing w:after="0"/>
        <w:tabs>
          <w:tab w:leader="none" w:pos="760" w:val="left"/>
        </w:tabs>
        <w:numPr>
          <w:ilvl w:val="0"/>
          <w:numId w:val="83"/>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alignment with shareholder interests;</w:t>
      </w:r>
    </w:p>
    <w:p>
      <w:pPr>
        <w:spacing w:after="0" w:line="65"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83"/>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facilitate retention through an extended pro rata vesting structure; and</w:t>
      </w:r>
    </w:p>
    <w:p>
      <w:pPr>
        <w:spacing w:after="0" w:line="65" w:lineRule="exact"/>
        <w:rPr>
          <w:rFonts w:ascii="Times New Roman" w:cs="Times New Roman" w:eastAsia="Times New Roman" w:hAnsi="Times New Roman"/>
          <w:sz w:val="21"/>
          <w:szCs w:val="21"/>
          <w:color w:val="00AE4F"/>
          <w:vertAlign w:val="superscript"/>
        </w:rPr>
      </w:pPr>
    </w:p>
    <w:p>
      <w:pPr>
        <w:ind w:left="760" w:hanging="196"/>
        <w:spacing w:after="0" w:line="181" w:lineRule="auto"/>
        <w:tabs>
          <w:tab w:leader="none" w:pos="760" w:val="left"/>
        </w:tabs>
        <w:numPr>
          <w:ilvl w:val="0"/>
          <w:numId w:val="83"/>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support meaningful stock ownership.</w:t>
      </w:r>
    </w:p>
    <w:p>
      <w:pPr>
        <w:spacing w:after="0" w:line="54" w:lineRule="exact"/>
        <w:rPr>
          <w:sz w:val="20"/>
          <w:szCs w:val="20"/>
          <w:color w:val="auto"/>
        </w:rPr>
      </w:pPr>
    </w:p>
    <w:p>
      <w:pPr>
        <w:ind w:left="560" w:right="180"/>
        <w:spacing w:after="0" w:line="243" w:lineRule="auto"/>
        <w:rPr>
          <w:sz w:val="20"/>
          <w:szCs w:val="20"/>
          <w:color w:val="auto"/>
        </w:rPr>
      </w:pPr>
      <w:r>
        <w:rPr>
          <w:rFonts w:ascii="Arial" w:cs="Arial" w:eastAsia="Arial" w:hAnsi="Arial"/>
          <w:sz w:val="15"/>
          <w:szCs w:val="15"/>
          <w:color w:val="auto"/>
        </w:rPr>
        <w:t>At its February 11, 2025 meeting, the Committee approved restricted stock grants for senior officers, including the named executive officers (except for Mr. Layden due to his hire date), which vest ratably over three years, as detailed in the Summary Compensation Table and the Grants of Plan Based Awards Table. This grant of restricted shares represents 25% for the CEO and 40% for all other senior officers’ target long-term incentive grant. The Company believes that restricted stock is an important component of total compensation for our named executive officers and the three-year, pro rata vesting feature supports the Company’s retention objective. Any remaining unvested portion of restricted stock awards is forfeited upon voluntary termination, normal retirement, and involuntary termination for cause or not for cause, unless termination not for cause is in connection with a change in control. In the case of termination not for cause in connection with a change in control, all restricted stock shares or units vest immediately. Restricted stock is prorated in the event of termination due to death or disability.</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Governance of Executive Compensation Programs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Executive Stock Ownership and Retention Requirements</w:t>
      </w:r>
    </w:p>
    <w:p>
      <w:pPr>
        <w:spacing w:after="0" w:line="98" w:lineRule="exact"/>
        <w:rPr>
          <w:sz w:val="20"/>
          <w:szCs w:val="20"/>
          <w:color w:val="auto"/>
        </w:rPr>
      </w:pPr>
    </w:p>
    <w:p>
      <w:pPr>
        <w:ind w:left="560" w:right="380"/>
        <w:spacing w:after="0" w:line="250" w:lineRule="auto"/>
        <w:rPr>
          <w:sz w:val="20"/>
          <w:szCs w:val="20"/>
          <w:color w:val="auto"/>
        </w:rPr>
      </w:pPr>
      <w:r>
        <w:rPr>
          <w:rFonts w:ascii="Arial" w:cs="Arial" w:eastAsia="Arial" w:hAnsi="Arial"/>
          <w:sz w:val="15"/>
          <w:szCs w:val="15"/>
          <w:color w:val="auto"/>
        </w:rPr>
        <w:t>The Committee implemented minimum stock ownership and retention requirements to encourage meaningful stock ownership by the Company’s executives that aligns their interests more closely with shareholders’ interests. Annually, the Committee reviews the named executive officers stock holdings for achievement of the stock ownership requirements. The Committee periodically reviews the Executive Stock Ownership Requirements to ensure the design is consistent with current market practice and those of our peers, as determined by research performed by the independent compensation consultant. The requirements are expressed as a multiple of base salary for each level of senior officer, as shown in the table below.</w:t>
      </w:r>
    </w:p>
    <w:p>
      <w:pPr>
        <w:spacing w:after="0" w:line="198"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00AE4F"/>
        </w:rPr>
        <w:t>2025 Minimum Stock Ownership Requirements</w:t>
      </w:r>
    </w:p>
    <w:p>
      <w:pPr>
        <w:spacing w:after="0" w:line="30"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00AE4F"/>
        </w:rPr>
        <w:t>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16510</wp:posOffset>
            </wp:positionV>
            <wp:extent cx="642683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3540" w:type="dxa"/>
            <w:vAlign w:val="bottom"/>
          </w:tcPr>
          <w:p>
            <w:pPr>
              <w:jc w:val="center"/>
              <w:spacing w:after="0"/>
              <w:rPr>
                <w:sz w:val="20"/>
                <w:szCs w:val="20"/>
                <w:color w:val="auto"/>
              </w:rPr>
            </w:pPr>
            <w:r>
              <w:rPr>
                <w:rFonts w:ascii="Arial" w:cs="Arial" w:eastAsia="Arial" w:hAnsi="Arial"/>
                <w:sz w:val="13"/>
                <w:szCs w:val="13"/>
                <w:b w:val="1"/>
                <w:bCs w:val="1"/>
                <w:color w:val="auto"/>
                <w:w w:val="99"/>
              </w:rPr>
              <w:t>CEO</w:t>
            </w:r>
          </w:p>
        </w:tc>
        <w:tc>
          <w:tcPr>
            <w:tcW w:w="3120" w:type="dxa"/>
            <w:vAlign w:val="bottom"/>
          </w:tcPr>
          <w:p>
            <w:pPr>
              <w:jc w:val="center"/>
              <w:ind w:left="290"/>
              <w:spacing w:after="0"/>
              <w:rPr>
                <w:sz w:val="20"/>
                <w:szCs w:val="20"/>
                <w:color w:val="auto"/>
              </w:rPr>
            </w:pPr>
            <w:r>
              <w:rPr>
                <w:rFonts w:ascii="Arial" w:cs="Arial" w:eastAsia="Arial" w:hAnsi="Arial"/>
                <w:sz w:val="13"/>
                <w:szCs w:val="13"/>
                <w:b w:val="1"/>
                <w:bCs w:val="1"/>
                <w:color w:val="auto"/>
              </w:rPr>
              <w:t>EVP</w:t>
            </w:r>
          </w:p>
        </w:tc>
        <w:tc>
          <w:tcPr>
            <w:tcW w:w="3480" w:type="dxa"/>
            <w:vAlign w:val="bottom"/>
          </w:tcPr>
          <w:p>
            <w:pPr>
              <w:jc w:val="center"/>
              <w:ind w:left="270"/>
              <w:spacing w:after="0"/>
              <w:rPr>
                <w:sz w:val="20"/>
                <w:szCs w:val="20"/>
                <w:color w:val="auto"/>
              </w:rPr>
            </w:pPr>
            <w:r>
              <w:rPr>
                <w:rFonts w:ascii="Arial" w:cs="Arial" w:eastAsia="Arial" w:hAnsi="Arial"/>
                <w:sz w:val="13"/>
                <w:szCs w:val="13"/>
                <w:b w:val="1"/>
                <w:bCs w:val="1"/>
                <w:color w:val="auto"/>
              </w:rPr>
              <w:t>Other Senior Officers</w:t>
            </w:r>
          </w:p>
        </w:tc>
      </w:tr>
      <w:tr>
        <w:trPr>
          <w:trHeight w:val="26"/>
        </w:trPr>
        <w:tc>
          <w:tcPr>
            <w:tcW w:w="3540" w:type="dxa"/>
            <w:vAlign w:val="bottom"/>
            <w:tcBorders>
              <w:bottom w:val="single" w:sz="8" w:color="7F7F7F"/>
            </w:tcBorders>
          </w:tcPr>
          <w:p>
            <w:pPr>
              <w:spacing w:after="0"/>
              <w:rPr>
                <w:sz w:val="2"/>
                <w:szCs w:val="2"/>
                <w:color w:val="auto"/>
              </w:rPr>
            </w:pPr>
          </w:p>
        </w:tc>
        <w:tc>
          <w:tcPr>
            <w:tcW w:w="3120" w:type="dxa"/>
            <w:vAlign w:val="bottom"/>
            <w:tcBorders>
              <w:bottom w:val="single" w:sz="8" w:color="7F7F7F"/>
            </w:tcBorders>
          </w:tcPr>
          <w:p>
            <w:pPr>
              <w:spacing w:after="0"/>
              <w:rPr>
                <w:sz w:val="2"/>
                <w:szCs w:val="2"/>
                <w:color w:val="auto"/>
              </w:rPr>
            </w:pPr>
          </w:p>
        </w:tc>
        <w:tc>
          <w:tcPr>
            <w:tcW w:w="3480" w:type="dxa"/>
            <w:vAlign w:val="bottom"/>
            <w:tcBorders>
              <w:bottom w:val="single" w:sz="8" w:color="7F7F7F"/>
            </w:tcBorders>
          </w:tcPr>
          <w:p>
            <w:pPr>
              <w:spacing w:after="0"/>
              <w:rPr>
                <w:sz w:val="2"/>
                <w:szCs w:val="2"/>
                <w:color w:val="auto"/>
              </w:rPr>
            </w:pPr>
          </w:p>
        </w:tc>
      </w:tr>
      <w:tr>
        <w:trPr>
          <w:trHeight w:val="214"/>
        </w:trPr>
        <w:tc>
          <w:tcPr>
            <w:tcW w:w="3540" w:type="dxa"/>
            <w:vAlign w:val="bottom"/>
          </w:tcPr>
          <w:p>
            <w:pPr>
              <w:jc w:val="center"/>
              <w:spacing w:after="0"/>
              <w:rPr>
                <w:sz w:val="20"/>
                <w:szCs w:val="20"/>
                <w:color w:val="auto"/>
              </w:rPr>
            </w:pPr>
            <w:r>
              <w:rPr>
                <w:rFonts w:ascii="Arial" w:cs="Arial" w:eastAsia="Arial" w:hAnsi="Arial"/>
                <w:sz w:val="15"/>
                <w:szCs w:val="15"/>
                <w:color w:val="auto"/>
              </w:rPr>
              <w:t>6x</w:t>
            </w:r>
          </w:p>
        </w:tc>
        <w:tc>
          <w:tcPr>
            <w:tcW w:w="3120" w:type="dxa"/>
            <w:vAlign w:val="bottom"/>
          </w:tcPr>
          <w:p>
            <w:pPr>
              <w:jc w:val="center"/>
              <w:ind w:left="290"/>
              <w:spacing w:after="0"/>
              <w:rPr>
                <w:sz w:val="20"/>
                <w:szCs w:val="20"/>
                <w:color w:val="auto"/>
              </w:rPr>
            </w:pPr>
            <w:r>
              <w:rPr>
                <w:rFonts w:ascii="Arial" w:cs="Arial" w:eastAsia="Arial" w:hAnsi="Arial"/>
                <w:sz w:val="15"/>
                <w:szCs w:val="15"/>
                <w:color w:val="auto"/>
              </w:rPr>
              <w:t>3x</w:t>
            </w:r>
          </w:p>
        </w:tc>
        <w:tc>
          <w:tcPr>
            <w:tcW w:w="3480" w:type="dxa"/>
            <w:vAlign w:val="bottom"/>
          </w:tcPr>
          <w:p>
            <w:pPr>
              <w:jc w:val="center"/>
              <w:ind w:left="250"/>
              <w:spacing w:after="0"/>
              <w:rPr>
                <w:sz w:val="20"/>
                <w:szCs w:val="20"/>
                <w:color w:val="auto"/>
              </w:rPr>
            </w:pPr>
            <w:r>
              <w:rPr>
                <w:rFonts w:ascii="Arial" w:cs="Arial" w:eastAsia="Arial" w:hAnsi="Arial"/>
                <w:sz w:val="15"/>
                <w:szCs w:val="15"/>
                <w:color w:val="auto"/>
                <w:w w:val="97"/>
              </w:rPr>
              <w:t>1x-1.5x</w:t>
            </w:r>
          </w:p>
        </w:tc>
      </w:tr>
      <w:tr>
        <w:trPr>
          <w:trHeight w:val="39"/>
        </w:trPr>
        <w:tc>
          <w:tcPr>
            <w:tcW w:w="354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480" w:type="dxa"/>
            <w:vAlign w:val="bottom"/>
            <w:tcBorders>
              <w:bottom w:val="single" w:sz="8" w:color="7F7F7F"/>
            </w:tcBorders>
          </w:tcPr>
          <w:p>
            <w:pPr>
              <w:spacing w:after="0"/>
              <w:rPr>
                <w:sz w:val="3"/>
                <w:szCs w:val="3"/>
                <w:color w:val="auto"/>
              </w:rPr>
            </w:pPr>
          </w:p>
        </w:tc>
      </w:tr>
    </w:tbl>
    <w:p>
      <w:pPr>
        <w:spacing w:after="0" w:line="62" w:lineRule="exact"/>
        <w:rPr>
          <w:sz w:val="20"/>
          <w:szCs w:val="20"/>
          <w:color w:val="auto"/>
        </w:rPr>
      </w:pPr>
    </w:p>
    <w:p>
      <w:pPr>
        <w:ind w:left="560" w:right="100"/>
        <w:spacing w:after="0" w:line="275" w:lineRule="auto"/>
        <w:rPr>
          <w:sz w:val="20"/>
          <w:szCs w:val="20"/>
          <w:color w:val="auto"/>
        </w:rPr>
      </w:pPr>
      <w:r>
        <w:rPr>
          <w:rFonts w:ascii="Arial" w:cs="Arial" w:eastAsia="Arial" w:hAnsi="Arial"/>
          <w:sz w:val="15"/>
          <w:szCs w:val="15"/>
          <w:color w:val="auto"/>
        </w:rPr>
        <w:t>Under the ownership requirements, senior officers are required to hold (50%) of the after-tax shares acquired upon equity award vesting until compliance with the stock ownership requirements is achieved.</w:t>
      </w:r>
    </w:p>
    <w:p>
      <w:pPr>
        <w:spacing w:after="0" w:line="14" w:lineRule="exact"/>
        <w:rPr>
          <w:sz w:val="20"/>
          <w:szCs w:val="20"/>
          <w:color w:val="auto"/>
        </w:rPr>
      </w:pPr>
    </w:p>
    <w:p>
      <w:pPr>
        <w:ind w:left="560" w:right="260"/>
        <w:spacing w:after="0" w:line="251" w:lineRule="auto"/>
        <w:rPr>
          <w:sz w:val="20"/>
          <w:szCs w:val="20"/>
          <w:color w:val="auto"/>
        </w:rPr>
      </w:pPr>
      <w:r>
        <w:rPr>
          <w:rFonts w:ascii="Arial" w:cs="Arial" w:eastAsia="Arial" w:hAnsi="Arial"/>
          <w:sz w:val="15"/>
          <w:szCs w:val="15"/>
          <w:color w:val="auto"/>
        </w:rPr>
        <w:t>Shares counted toward achievement of ownership requirements include: directly owned shares, shares held by family or trusts, and 100% of unvested restricted stock awards, restricted stock units, and earned unvested performance shares.</w:t>
      </w:r>
    </w:p>
    <w:p>
      <w:pPr>
        <w:spacing w:after="0" w:line="1" w:lineRule="exact"/>
        <w:rPr>
          <w:sz w:val="20"/>
          <w:szCs w:val="20"/>
          <w:color w:val="auto"/>
        </w:rPr>
      </w:pPr>
    </w:p>
    <w:p>
      <w:pPr>
        <w:ind w:left="560" w:right="60"/>
        <w:spacing w:after="0" w:line="245" w:lineRule="auto"/>
        <w:rPr>
          <w:sz w:val="20"/>
          <w:szCs w:val="20"/>
          <w:color w:val="auto"/>
        </w:rPr>
      </w:pPr>
      <w:r>
        <w:rPr>
          <w:rFonts w:ascii="Arial" w:cs="Arial" w:eastAsia="Arial" w:hAnsi="Arial"/>
          <w:sz w:val="15"/>
          <w:szCs w:val="15"/>
          <w:color w:val="auto"/>
        </w:rPr>
        <w:t>Although there is no fixed compliance period, new senior officers will likely reach the requirements within five years from their start date. The Committee reviews each executive’s progress towards and compliance with the requirements on an annual basis. If the required level of ownership is not achieved within a reasonable period of time or an executive falls out of compliance with the requirements, the Committee can eliminate or adjust the amount of any future equity awards. Stock ownership levels must be maintained as long as the executive is employed by the Company as a senior officer and is subject to the terms of the Executive Stock Ownership Requirements.</w:t>
      </w:r>
    </w:p>
    <w:p>
      <w:pPr>
        <w:spacing w:after="0" w:line="36" w:lineRule="exact"/>
        <w:rPr>
          <w:sz w:val="20"/>
          <w:szCs w:val="20"/>
          <w:color w:val="auto"/>
        </w:rPr>
      </w:pPr>
    </w:p>
    <w:p>
      <w:pPr>
        <w:ind w:left="560" w:right="580"/>
        <w:spacing w:after="0" w:line="312" w:lineRule="auto"/>
        <w:rPr>
          <w:sz w:val="20"/>
          <w:szCs w:val="20"/>
          <w:color w:val="auto"/>
        </w:rPr>
      </w:pPr>
      <w:r>
        <w:rPr>
          <w:rFonts w:ascii="Arial" w:cs="Arial" w:eastAsia="Arial" w:hAnsi="Arial"/>
          <w:sz w:val="14"/>
          <w:szCs w:val="14"/>
          <w:color w:val="auto"/>
        </w:rPr>
        <w:t>As of February 10, 2026, all named executive officers have met their stock ownership requirement, except Mr. Layden. Mr. Layden was appointed President and CEO of the Company, effective September 2, 2025, is in the process of accumulating shares toward his applicable requirement.</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Incentive Compensation Recovery (“Clawback”) Policy</w:t>
      </w:r>
    </w:p>
    <w:p>
      <w:pPr>
        <w:spacing w:after="0" w:line="68" w:lineRule="exact"/>
        <w:rPr>
          <w:sz w:val="20"/>
          <w:szCs w:val="20"/>
          <w:color w:val="auto"/>
        </w:rPr>
      </w:pPr>
    </w:p>
    <w:p>
      <w:pPr>
        <w:ind w:left="560" w:right="320"/>
        <w:spacing w:after="0" w:line="257" w:lineRule="auto"/>
        <w:rPr>
          <w:sz w:val="20"/>
          <w:szCs w:val="20"/>
          <w:color w:val="auto"/>
        </w:rPr>
      </w:pPr>
      <w:r>
        <w:rPr>
          <w:rFonts w:ascii="Arial" w:cs="Arial" w:eastAsia="Arial" w:hAnsi="Arial"/>
          <w:sz w:val="15"/>
          <w:szCs w:val="15"/>
          <w:color w:val="auto"/>
        </w:rPr>
        <w:t>The Company has maintained a Clawback Policy since 2011 and expanded its application in 2019 to include all senior officers. In 2023, the Company amended the policy to comply with SEC Rule 10D-1 under the Securities Exchange Act of 1934 and applicable Nasdaq listing standards.</w:t>
      </w:r>
    </w:p>
    <w:p>
      <w:pPr>
        <w:spacing w:after="0" w:line="1"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60 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-211455</wp:posOffset>
            </wp:positionV>
            <wp:extent cx="7620" cy="212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right="80"/>
        <w:spacing w:after="0" w:line="250" w:lineRule="auto"/>
        <w:rPr>
          <w:sz w:val="20"/>
          <w:szCs w:val="20"/>
          <w:color w:val="auto"/>
        </w:rPr>
      </w:pPr>
      <w:r>
        <w:rPr>
          <w:rFonts w:ascii="Arial" w:cs="Arial" w:eastAsia="Arial" w:hAnsi="Arial"/>
          <w:sz w:val="15"/>
          <w:szCs w:val="15"/>
          <w:color w:val="auto"/>
        </w:rPr>
        <w:t>The policy applies to incentive-based compensation received by current and former executive officers, including all senior officers. If the Company is required to prepare an accounting restatement due to material non-compliance with federal securities laws, the Company will recover, on a no-fault basis and to the fullest extent permitted by law, incentive-based compensation received during the three completed fiscal years preceding the date the Company is required to prepare the restatement to the extent such compensation exceeds the amount that would have been received based on the restated financial results.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Clawback Policy is incorporated into the Company’s Insider Trading Policy and Section 16 Compliance Procedures.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Hedging and Pledging of Shares</w:t>
      </w:r>
    </w:p>
    <w:p>
      <w:pPr>
        <w:spacing w:after="0" w:line="55" w:lineRule="exact"/>
        <w:rPr>
          <w:sz w:val="20"/>
          <w:szCs w:val="20"/>
          <w:color w:val="auto"/>
        </w:rPr>
      </w:pPr>
    </w:p>
    <w:p>
      <w:pPr>
        <w:ind w:left="560"/>
        <w:spacing w:after="0" w:line="248" w:lineRule="auto"/>
        <w:rPr>
          <w:sz w:val="20"/>
          <w:szCs w:val="20"/>
          <w:color w:val="auto"/>
        </w:rPr>
      </w:pPr>
      <w:r>
        <w:rPr>
          <w:rFonts w:ascii="Arial" w:cs="Arial" w:eastAsia="Arial" w:hAnsi="Arial"/>
          <w:sz w:val="15"/>
          <w:szCs w:val="15"/>
          <w:color w:val="auto"/>
        </w:rPr>
        <w:t>The Company’s Insider Trading Policy and Section 16 Compliance Procedures strictly prohibit the Company’s directors and all employees, including the named executive officers, from engaging in hedging, monetization or other derivative or speculative transactions in securities of the Company. This includes short sales, failing to deliver Company securities sold, put or call options, equity swaps, collars, forward sale contracts, exchange funds, holding Company securities in a margin account, or pledging Company securities as collateral for a loan. The 2025 Equity Incentive Plan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Retirement Benefits</w:t>
      </w:r>
    </w:p>
    <w:p>
      <w:pPr>
        <w:spacing w:after="0" w:line="68" w:lineRule="exact"/>
        <w:rPr>
          <w:sz w:val="20"/>
          <w:szCs w:val="20"/>
          <w:color w:val="auto"/>
        </w:rPr>
      </w:pPr>
    </w:p>
    <w:p>
      <w:pPr>
        <w:ind w:left="560" w:right="60"/>
        <w:spacing w:after="0" w:line="245" w:lineRule="auto"/>
        <w:rPr>
          <w:sz w:val="20"/>
          <w:szCs w:val="20"/>
          <w:color w:val="auto"/>
        </w:rPr>
      </w:pPr>
      <w:r>
        <w:rPr>
          <w:rFonts w:ascii="Arial" w:cs="Arial" w:eastAsia="Arial" w:hAnsi="Arial"/>
          <w:sz w:val="15"/>
          <w:szCs w:val="15"/>
          <w:color w:val="auto"/>
        </w:rPr>
        <w:t>Highly compensated employees in the U.S. are not eligible to participate in the Company’s qualified 401(k) plan. In order to provide a competitive total compensation package, the Company has established the Management Retirement Plan (the “MRP”). The MRP is a U.S. nonqualified defined contribution/deferred compensation plan available to all highly compensated employees, including the named executive officers, as outlined by Section 414(q)(1)(B)(i) of the Code. Employees who are working in the U.S. while on an international assignment are not eligible to participate in the MRP. All participants in the MRP can elect to defer from 2% to 25% of their annual base earnings and 2% to 50% of their annual cash incentive earnings. Matching contributions by the Company equal 50% of the first 10% of base salary and annual cash incentives deferred by a participant. Other than the MRP, there are no other retirement income plans available to the Company’s highly compensated employees in the U.S. The MRP provides all participants, including the named executive officers, with a tax gross-up of Medicare taxes incurred on contributions to the plan. The Medicare tax gross-up provides for parity with other employees who are eligible to participate in the Company’s tax-qualified 401(k) plan and therefore do not pay Medicare tax on Company contributions.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Perquisites</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 modest level of perquisites is available to named executive officers:</w:t>
      </w:r>
    </w:p>
    <w:p>
      <w:pPr>
        <w:spacing w:after="0" w:line="229" w:lineRule="exact"/>
        <w:rPr>
          <w:sz w:val="20"/>
          <w:szCs w:val="20"/>
          <w:color w:val="auto"/>
        </w:rPr>
      </w:pPr>
    </w:p>
    <w:p>
      <w:pPr>
        <w:ind w:left="620"/>
        <w:spacing w:after="0"/>
        <w:tabs>
          <w:tab w:leader="none" w:pos="4780" w:val="left"/>
          <w:tab w:leader="none" w:pos="8860" w:val="left"/>
        </w:tabs>
        <w:rPr>
          <w:sz w:val="20"/>
          <w:szCs w:val="20"/>
          <w:color w:val="auto"/>
        </w:rPr>
      </w:pPr>
      <w:r>
        <w:rPr>
          <w:rFonts w:ascii="Arial" w:cs="Arial" w:eastAsia="Arial" w:hAnsi="Arial"/>
          <w:sz w:val="13"/>
          <w:szCs w:val="13"/>
          <w:b w:val="1"/>
          <w:bCs w:val="1"/>
          <w:color w:val="00AE4F"/>
        </w:rPr>
        <w:t>Perquisite</w:t>
      </w:r>
      <w:r>
        <w:rPr>
          <w:sz w:val="20"/>
          <w:szCs w:val="20"/>
          <w:color w:val="auto"/>
        </w:rPr>
        <w:tab/>
      </w:r>
      <w:r>
        <w:rPr>
          <w:rFonts w:ascii="Arial" w:cs="Arial" w:eastAsia="Arial" w:hAnsi="Arial"/>
          <w:sz w:val="13"/>
          <w:szCs w:val="13"/>
          <w:b w:val="1"/>
          <w:bCs w:val="1"/>
          <w:color w:val="00AE4F"/>
        </w:rPr>
        <w:t>Benefit</w:t>
      </w:r>
      <w:r>
        <w:rPr>
          <w:sz w:val="20"/>
          <w:szCs w:val="20"/>
          <w:color w:val="auto"/>
        </w:rPr>
        <w:tab/>
      </w:r>
      <w:r>
        <w:rPr>
          <w:rFonts w:ascii="Arial" w:cs="Arial" w:eastAsia="Arial" w:hAnsi="Arial"/>
          <w:sz w:val="13"/>
          <w:szCs w:val="13"/>
          <w:b w:val="1"/>
          <w:bCs w:val="1"/>
          <w:color w:val="00AE4F"/>
        </w:rPr>
        <w:t>Usage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642683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p>
      <w:pPr>
        <w:spacing w:after="0" w:line="44" w:lineRule="exact"/>
        <w:rPr>
          <w:sz w:val="20"/>
          <w:szCs w:val="20"/>
          <w:color w:val="auto"/>
        </w:rPr>
      </w:pPr>
    </w:p>
    <w:p>
      <w:pPr>
        <w:ind w:left="2200"/>
        <w:spacing w:after="0" w:line="269" w:lineRule="auto"/>
        <w:rPr>
          <w:sz w:val="20"/>
          <w:szCs w:val="20"/>
          <w:color w:val="auto"/>
        </w:rPr>
      </w:pPr>
      <w:r>
        <w:rPr>
          <w:rFonts w:ascii="Arial" w:cs="Arial" w:eastAsia="Arial" w:hAnsi="Arial"/>
          <w:sz w:val="14"/>
          <w:szCs w:val="14"/>
          <w:color w:val="auto"/>
        </w:rPr>
        <w:t>To ensure senior officers monitor their health and general well-being, an annual physical examination is provided at the Company’s expense. Senior officers may also</w:t>
      </w:r>
    </w:p>
    <w:p>
      <w:pPr>
        <w:ind w:left="2200" w:hanging="1571"/>
        <w:spacing w:after="0" w:line="275" w:lineRule="auto"/>
        <w:tabs>
          <w:tab w:leader="none" w:pos="2180" w:val="left"/>
        </w:tabs>
        <w:rPr>
          <w:sz w:val="20"/>
          <w:szCs w:val="20"/>
          <w:color w:val="auto"/>
        </w:rPr>
      </w:pPr>
      <w:r>
        <w:rPr>
          <w:rFonts w:ascii="Arial" w:cs="Arial" w:eastAsia="Arial" w:hAnsi="Arial"/>
          <w:sz w:val="15"/>
          <w:szCs w:val="15"/>
          <w:i w:val="1"/>
          <w:iCs w:val="1"/>
          <w:color w:val="auto"/>
        </w:rPr>
        <w:t>Executive Physical</w:t>
      </w:r>
      <w:r>
        <w:rPr>
          <w:sz w:val="20"/>
          <w:szCs w:val="20"/>
          <w:color w:val="auto"/>
        </w:rPr>
        <w:tab/>
      </w:r>
      <w:r>
        <w:rPr>
          <w:rFonts w:ascii="Arial" w:cs="Arial" w:eastAsia="Arial" w:hAnsi="Arial"/>
          <w:sz w:val="14"/>
          <w:szCs w:val="14"/>
          <w:color w:val="auto"/>
        </w:rPr>
        <w:t>use their own physician to perform the required tests and evaluations, in lieu of using the selected facilities. For those senior officers, expenses were processed through their employee health care coverage and not through the executive physical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-5080</wp:posOffset>
            </wp:positionV>
            <wp:extent cx="642683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Three named executive officers utilized the formal executive physical program in 2025.</w:t>
      </w:r>
    </w:p>
    <w:p>
      <w:pPr>
        <w:spacing w:after="0" w:line="187" w:lineRule="exact"/>
        <w:rPr>
          <w:sz w:val="20"/>
          <w:szCs w:val="20"/>
          <w:color w:val="auto"/>
        </w:rPr>
      </w:pPr>
    </w:p>
    <w:p>
      <w:pPr>
        <w:sectPr>
          <w:pgSz w:w="11900" w:h="16838" w:orient="portrait"/>
          <w:cols w:equalWidth="0" w:num="2">
            <w:col w:w="7820" w:space="140"/>
            <w:col w:w="2720"/>
          </w:cols>
          <w:pgMar w:left="320" w:top="454" w:right="899" w:bottom="1440" w:gutter="0" w:footer="0" w:header="0"/>
          <w:type w:val="continuous"/>
        </w:sectPr>
      </w:pPr>
    </w:p>
    <w:tbl>
      <w:tblPr>
        <w:tblLayout w:type="fixed"/>
        <w:tblInd w:w="620" w:type="dxa"/>
        <w:tblCellMar>
          <w:top w:w="0" w:type="dxa"/>
          <w:left w:w="0" w:type="dxa"/>
          <w:bottom w:w="0" w:type="dxa"/>
          <w:right w:w="0" w:type="dxa"/>
        </w:tblCellMar>
      </w:tblPr>
      <w:tr>
        <w:trPr>
          <w:trHeight w:val="174"/>
        </w:trPr>
        <w:tc>
          <w:tcPr>
            <w:tcW w:w="1340" w:type="dxa"/>
            <w:vAlign w:val="bottom"/>
            <w:vMerge w:val="restart"/>
          </w:tcPr>
          <w:p>
            <w:pPr>
              <w:spacing w:after="0"/>
              <w:rPr>
                <w:sz w:val="20"/>
                <w:szCs w:val="20"/>
                <w:color w:val="auto"/>
              </w:rPr>
            </w:pPr>
            <w:r>
              <w:rPr>
                <w:rFonts w:ascii="Arial" w:cs="Arial" w:eastAsia="Arial" w:hAnsi="Arial"/>
                <w:sz w:val="15"/>
                <w:szCs w:val="15"/>
                <w:i w:val="1"/>
                <w:iCs w:val="1"/>
                <w:color w:val="auto"/>
              </w:rPr>
              <w:t>Vacation Facility</w:t>
            </w:r>
          </w:p>
        </w:tc>
        <w:tc>
          <w:tcPr>
            <w:tcW w:w="5600" w:type="dxa"/>
            <w:vAlign w:val="bottom"/>
          </w:tcPr>
          <w:p>
            <w:pPr>
              <w:ind w:left="240"/>
              <w:spacing w:after="0"/>
              <w:rPr>
                <w:sz w:val="20"/>
                <w:szCs w:val="20"/>
                <w:color w:val="auto"/>
              </w:rPr>
            </w:pPr>
            <w:r>
              <w:rPr>
                <w:rFonts w:ascii="Arial" w:cs="Arial" w:eastAsia="Arial" w:hAnsi="Arial"/>
                <w:sz w:val="15"/>
                <w:szCs w:val="15"/>
                <w:color w:val="auto"/>
                <w:w w:val="98"/>
              </w:rPr>
              <w:t>Company-owned condominium is available on a limited basis to employees at the</w:t>
            </w:r>
          </w:p>
        </w:tc>
        <w:tc>
          <w:tcPr>
            <w:tcW w:w="0" w:type="dxa"/>
            <w:vAlign w:val="bottom"/>
          </w:tcPr>
          <w:p>
            <w:pPr>
              <w:spacing w:after="0"/>
              <w:rPr>
                <w:sz w:val="1"/>
                <w:szCs w:val="1"/>
                <w:color w:val="auto"/>
              </w:rPr>
            </w:pPr>
          </w:p>
        </w:tc>
      </w:tr>
      <w:tr>
        <w:trPr>
          <w:trHeight w:val="110"/>
        </w:trPr>
        <w:tc>
          <w:tcPr>
            <w:tcW w:w="1340" w:type="dxa"/>
            <w:vAlign w:val="bottom"/>
            <w:vMerge w:val="continue"/>
          </w:tcPr>
          <w:p>
            <w:pPr>
              <w:spacing w:after="0"/>
              <w:rPr>
                <w:sz w:val="9"/>
                <w:szCs w:val="9"/>
                <w:color w:val="auto"/>
              </w:rPr>
            </w:pPr>
          </w:p>
        </w:tc>
        <w:tc>
          <w:tcPr>
            <w:tcW w:w="5600" w:type="dxa"/>
            <w:vAlign w:val="bottom"/>
            <w:vMerge w:val="restart"/>
          </w:tcPr>
          <w:p>
            <w:pPr>
              <w:ind w:left="240"/>
              <w:spacing w:after="0"/>
              <w:rPr>
                <w:sz w:val="20"/>
                <w:szCs w:val="20"/>
                <w:color w:val="auto"/>
              </w:rPr>
            </w:pPr>
            <w:r>
              <w:rPr>
                <w:rFonts w:ascii="Arial" w:cs="Arial" w:eastAsia="Arial" w:hAnsi="Arial"/>
                <w:sz w:val="15"/>
                <w:szCs w:val="15"/>
                <w:color w:val="auto"/>
              </w:rPr>
              <w:t>Vice President level and above.</w:t>
            </w: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5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8890</wp:posOffset>
            </wp:positionV>
            <wp:extent cx="642683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75" w:lineRule="auto"/>
        <w:rPr>
          <w:sz w:val="20"/>
          <w:szCs w:val="20"/>
          <w:color w:val="auto"/>
        </w:rPr>
      </w:pPr>
      <w:r>
        <w:rPr>
          <w:rFonts w:ascii="Arial" w:cs="Arial" w:eastAsia="Arial" w:hAnsi="Arial"/>
          <w:sz w:val="15"/>
          <w:szCs w:val="15"/>
          <w:color w:val="auto"/>
        </w:rPr>
        <w:t>One named executive officer used the vacation facility in 2025.</w:t>
      </w:r>
    </w:p>
    <w:p>
      <w:pPr>
        <w:spacing w:after="0" w:line="51" w:lineRule="exact"/>
        <w:rPr>
          <w:sz w:val="20"/>
          <w:szCs w:val="20"/>
          <w:color w:val="auto"/>
        </w:rPr>
      </w:pPr>
    </w:p>
    <w:p>
      <w:pPr>
        <w:sectPr>
          <w:pgSz w:w="11900" w:h="16838" w:orient="portrait"/>
          <w:cols w:equalWidth="0" w:num="2">
            <w:col w:w="7560" w:space="400"/>
            <w:col w:w="2720"/>
          </w:cols>
          <w:pgMar w:left="320" w:top="454" w:right="89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Note: The company owned condominium was sold in 2025 and therefore this benefit is no longer available.</w:t>
      </w:r>
    </w:p>
    <w:p>
      <w:pPr>
        <w:spacing w:after="0" w:line="76" w:lineRule="exact"/>
        <w:rPr>
          <w:sz w:val="20"/>
          <w:szCs w:val="20"/>
          <w:color w:val="auto"/>
        </w:rPr>
      </w:pPr>
    </w:p>
    <w:p>
      <w:pPr>
        <w:ind w:left="560" w:right="400"/>
        <w:spacing w:after="0" w:line="275" w:lineRule="auto"/>
        <w:rPr>
          <w:sz w:val="20"/>
          <w:szCs w:val="20"/>
          <w:color w:val="auto"/>
        </w:rPr>
      </w:pPr>
      <w:r>
        <w:rPr>
          <w:rFonts w:ascii="Arial" w:cs="Arial" w:eastAsia="Arial" w:hAnsi="Arial"/>
          <w:sz w:val="15"/>
          <w:szCs w:val="15"/>
          <w:color w:val="auto"/>
        </w:rPr>
        <w:t>The aggregate amount of perquisites provided in 2025 for Messrs. Layden and Anderson and Mses. Browning, Williams and Soares, were less than $10,000 and therefore only the perquisites for Mr. Quigley are reported in the Summary Compensation Table.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Senior Executive Severance Plan</w:t>
      </w:r>
    </w:p>
    <w:p>
      <w:pPr>
        <w:spacing w:after="0" w:line="61" w:lineRule="exact"/>
        <w:rPr>
          <w:sz w:val="20"/>
          <w:szCs w:val="20"/>
          <w:color w:val="auto"/>
        </w:rPr>
      </w:pPr>
    </w:p>
    <w:p>
      <w:pPr>
        <w:ind w:left="560" w:right="240"/>
        <w:spacing w:after="0" w:line="275" w:lineRule="auto"/>
        <w:rPr>
          <w:sz w:val="20"/>
          <w:szCs w:val="20"/>
          <w:color w:val="auto"/>
        </w:rPr>
      </w:pPr>
      <w:r>
        <w:rPr>
          <w:rFonts w:ascii="Arial" w:cs="Arial" w:eastAsia="Arial" w:hAnsi="Arial"/>
          <w:sz w:val="15"/>
          <w:szCs w:val="15"/>
          <w:color w:val="auto"/>
        </w:rPr>
        <w:t>To promote leadership continuity and retention, the Company maintains a Senior Executive Severance Plan (“Severance Plan”) which was established effective March 31, 2017 and expanded in 2021 to include additional senior officers. For 2025, all active</w:t>
      </w:r>
    </w:p>
    <w:p>
      <w:pPr>
        <w:spacing w:after="0" w:line="75"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80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5" w:lineRule="exact"/>
        <w:rPr>
          <w:sz w:val="20"/>
          <w:szCs w:val="20"/>
          <w:color w:val="auto"/>
        </w:rPr>
      </w:pPr>
    </w:p>
    <w:p>
      <w:pPr>
        <w:ind w:left="560" w:right="60"/>
        <w:spacing w:after="0" w:line="258" w:lineRule="auto"/>
        <w:rPr>
          <w:sz w:val="20"/>
          <w:szCs w:val="20"/>
          <w:color w:val="auto"/>
        </w:rPr>
      </w:pPr>
      <w:r>
        <w:rPr>
          <w:rFonts w:ascii="Arial" w:cs="Arial" w:eastAsia="Arial" w:hAnsi="Arial"/>
          <w:sz w:val="15"/>
          <w:szCs w:val="15"/>
          <w:color w:val="auto"/>
        </w:rPr>
        <w:t>named executive officers participated in the Severance Plan. The Severance Plan provides severance benefits in the event a participant’s employment is terminated under certain circumstances as explained and illustrated in “Potential Payments Upon Termination or Change in Control 2025” (below). The Plan does not provide excise tax gross-ups to participants under Section 280G of the Code.</w:t>
      </w:r>
    </w:p>
    <w:p>
      <w:pPr>
        <w:spacing w:after="0" w:line="27" w:lineRule="exact"/>
        <w:rPr>
          <w:sz w:val="20"/>
          <w:szCs w:val="20"/>
          <w:color w:val="auto"/>
        </w:rPr>
      </w:pPr>
    </w:p>
    <w:p>
      <w:pPr>
        <w:ind w:left="560" w:right="40"/>
        <w:spacing w:after="0" w:line="275" w:lineRule="auto"/>
        <w:rPr>
          <w:sz w:val="20"/>
          <w:szCs w:val="20"/>
          <w:color w:val="auto"/>
        </w:rPr>
      </w:pPr>
      <w:r>
        <w:rPr>
          <w:rFonts w:ascii="Arial" w:cs="Arial" w:eastAsia="Arial" w:hAnsi="Arial"/>
          <w:sz w:val="15"/>
          <w:szCs w:val="15"/>
          <w:color w:val="auto"/>
        </w:rPr>
        <w:t>The Company’s 2025 Equity Incentive Plan provides for the immediate vesting of restricted stock and performance awards upon a qualified termination in connection with a change in control (e.g., “double trigger”), which is also explained in Potential Payments Upon Termination or Change in Control.</w:t>
      </w:r>
    </w:p>
    <w:p>
      <w:pPr>
        <w:spacing w:after="0" w:line="14" w:lineRule="exact"/>
        <w:rPr>
          <w:sz w:val="20"/>
          <w:szCs w:val="20"/>
          <w:color w:val="auto"/>
        </w:rPr>
      </w:pPr>
    </w:p>
    <w:p>
      <w:pPr>
        <w:ind w:left="560" w:right="100"/>
        <w:spacing w:after="0" w:line="246" w:lineRule="auto"/>
        <w:rPr>
          <w:sz w:val="20"/>
          <w:szCs w:val="20"/>
          <w:color w:val="auto"/>
        </w:rPr>
      </w:pPr>
      <w:r>
        <w:rPr>
          <w:rFonts w:ascii="Arial" w:cs="Arial" w:eastAsia="Arial" w:hAnsi="Arial"/>
          <w:sz w:val="15"/>
          <w:szCs w:val="15"/>
          <w:color w:val="auto"/>
        </w:rPr>
        <w:t>Under the terms of the Severance Plan covering the eligible named executive officers, each would be entitled to severance payments and benefits in the event that he or she experiences a “qualifying termination” (i.e., any termination of the participant by the Company other than for cause, disability, or death, or for good reason by a participant in connection with a change in control as is defined in the Severance Plan). A change in control will not automatically entitle an eligible named executive officer to severance benefits or equity acceleration; instead, the executive must also lose his or her job or suffer a significant adverse change to employment terms or conditions in order to be eligible for benefits under the Severance Plan. In the event of a termination for any reason, eligible named executive officers would be entitled to any earned compensation owed but not yet paid as of the date of termination. Eligible named executive officers would also be entitled to payment of vested benefits, if any. Details of the Severance Plan are provided in the “Potential Payments Upon Termination or Change in Control 2025” section of this Proxy Statement.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Tax Considerations: Deductibility of Executive Compensation</w:t>
      </w:r>
    </w:p>
    <w:p>
      <w:pPr>
        <w:spacing w:after="0" w:line="74" w:lineRule="exact"/>
        <w:rPr>
          <w:sz w:val="20"/>
          <w:szCs w:val="20"/>
          <w:color w:val="auto"/>
        </w:rPr>
      </w:pPr>
    </w:p>
    <w:p>
      <w:pPr>
        <w:ind w:left="560" w:right="20"/>
        <w:spacing w:after="0" w:line="245" w:lineRule="auto"/>
        <w:rPr>
          <w:sz w:val="20"/>
          <w:szCs w:val="20"/>
          <w:color w:val="auto"/>
        </w:rPr>
      </w:pPr>
      <w:r>
        <w:rPr>
          <w:rFonts w:ascii="Arial" w:cs="Arial" w:eastAsia="Arial" w:hAnsi="Arial"/>
          <w:sz w:val="15"/>
          <w:szCs w:val="15"/>
          <w:color w:val="auto"/>
        </w:rPr>
        <w:t>Section 162(m) of the Code places a limit of $1 million on the amount of compensation that can be deducted for tax purposes for the CEO, CFO, and other three highest paid executives listed in the Summary Compensation Table or were listed in the Summary Compensation Table in any preceding year after 2016. Prior to 2018, the Company’s incentive compensation programs were generally designed to qualify for the performance-based exception to this limit. Beginning in 2018, effective with the Tax Cuts and Jobs Act that was enacted in December 2017, the corporate tax deduction previously available for performance-based compensation above $1 million for current or former named executive officers was eliminated. This means that pay to each current or former named executive officer in excess of $1 million is no longer tax deductible. Now that the performance-based exception is no longer available, the Company will no longer include reference to Section 162(m) related limitations or provisions or shareholder approval for this purpose. However, management and the Committee currently intend to retain as good governance, certain practices that had been in place previously for Section 162(m) purposes. These practices include: specification of guidelines for the adjustment of special items, establishing performance goals within the first ninety days of a performance period, and requiring the Committee’s certification of results prior to the payout of any award.</w:t>
      </w:r>
    </w:p>
    <w:p>
      <w:pPr>
        <w:spacing w:after="0" w:line="26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Compensation and Talent Management Committee Report</w:t>
      </w:r>
    </w:p>
    <w:p>
      <w:pPr>
        <w:spacing w:after="0" w:line="69" w:lineRule="exact"/>
        <w:rPr>
          <w:sz w:val="20"/>
          <w:szCs w:val="20"/>
          <w:color w:val="auto"/>
        </w:rPr>
      </w:pPr>
    </w:p>
    <w:p>
      <w:pPr>
        <w:ind w:left="560"/>
        <w:spacing w:after="0" w:line="285" w:lineRule="auto"/>
        <w:rPr>
          <w:sz w:val="20"/>
          <w:szCs w:val="20"/>
          <w:color w:val="auto"/>
        </w:rPr>
      </w:pPr>
      <w:r>
        <w:rPr>
          <w:rFonts w:ascii="Arial" w:cs="Arial" w:eastAsia="Arial" w:hAnsi="Arial"/>
          <w:sz w:val="14"/>
          <w:szCs w:val="14"/>
          <w:color w:val="auto"/>
        </w:rPr>
        <w:t>Prior to and at the Special Board of Directors meeting held on March 17, 2026, the Compensation and Talent Management Committee members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report is submitted by the Compensation and Talent Management Committee of the Board of Directors.</w:t>
      </w:r>
    </w:p>
    <w:p>
      <w:pPr>
        <w:spacing w:after="0" w:line="398"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THE COMPENSATION AND TALENT MANAGEMENT</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COMMITTEE</w:t>
      </w:r>
    </w:p>
    <w:p>
      <w:pPr>
        <w:spacing w:after="0" w:line="186"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ROBERT S. CUBBIN, CHAIR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EDWARD ESCUDERO</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CHRIS HUNT</w:t>
      </w:r>
    </w:p>
    <w:p>
      <w:pPr>
        <w:spacing w:after="0" w:line="5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62 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2025 Executive Compensation Tables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Summary Compensation Table 2025</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Change in</w:t>
            </w: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Pension</w:t>
            </w: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Value and</w:t>
            </w: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AE4F"/>
              </w:rPr>
              <w:t>Non-Equity</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Nonqualified</w:t>
            </w: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3"/>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Stock</w:t>
            </w:r>
          </w:p>
        </w:tc>
        <w:tc>
          <w:tcPr>
            <w:tcW w:w="580" w:type="dxa"/>
            <w:vAlign w:val="bottom"/>
          </w:tcPr>
          <w:p>
            <w:pPr>
              <w:jc w:val="right"/>
              <w:spacing w:after="0" w:line="144" w:lineRule="exact"/>
              <w:rPr>
                <w:sz w:val="20"/>
                <w:szCs w:val="20"/>
                <w:color w:val="auto"/>
              </w:rPr>
            </w:pPr>
            <w:r>
              <w:rPr>
                <w:rFonts w:ascii="Arial" w:cs="Arial" w:eastAsia="Arial" w:hAnsi="Arial"/>
                <w:sz w:val="13"/>
                <w:szCs w:val="13"/>
                <w:b w:val="1"/>
                <w:bCs w:val="1"/>
                <w:color w:val="00AE4F"/>
              </w:rPr>
              <w:t>Option</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Incentive Plan</w:t>
            </w: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Deferred</w:t>
            </w: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All Other</w:t>
            </w:r>
          </w:p>
        </w:tc>
        <w:tc>
          <w:tcPr>
            <w:tcW w:w="720" w:type="dxa"/>
            <w:vAlign w:val="bottom"/>
          </w:tcPr>
          <w:p>
            <w:pPr>
              <w:spacing w:after="0"/>
              <w:rPr>
                <w:sz w:val="12"/>
                <w:szCs w:val="12"/>
                <w:color w:val="auto"/>
              </w:rPr>
            </w:pPr>
          </w:p>
        </w:tc>
      </w:tr>
      <w:tr>
        <w:trPr>
          <w:trHeight w:val="154"/>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2"/>
                <w:szCs w:val="12"/>
                <w:b w:val="1"/>
                <w:bCs w:val="1"/>
                <w:color w:val="00AE4F"/>
              </w:rPr>
              <w:t>Salary</w:t>
            </w:r>
            <w:r>
              <w:rPr>
                <w:rFonts w:ascii="Arial" w:cs="Arial" w:eastAsia="Arial" w:hAnsi="Arial"/>
                <w:sz w:val="17"/>
                <w:szCs w:val="17"/>
                <w:b w:val="1"/>
                <w:bCs w:val="1"/>
                <w:color w:val="00AE4F"/>
                <w:vertAlign w:val="superscript"/>
              </w:rPr>
              <w:t>(1)</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00AE4F"/>
              </w:rPr>
              <w:t>Bonus</w:t>
            </w:r>
          </w:p>
        </w:tc>
        <w:tc>
          <w:tcPr>
            <w:tcW w:w="980" w:type="dxa"/>
            <w:vAlign w:val="bottom"/>
          </w:tcPr>
          <w:p>
            <w:pPr>
              <w:jc w:val="center"/>
              <w:spacing w:after="0" w:line="154" w:lineRule="exact"/>
              <w:rPr>
                <w:sz w:val="20"/>
                <w:szCs w:val="20"/>
                <w:color w:val="auto"/>
              </w:rPr>
            </w:pPr>
            <w:r>
              <w:rPr>
                <w:rFonts w:ascii="Arial" w:cs="Arial" w:eastAsia="Arial" w:hAnsi="Arial"/>
                <w:sz w:val="17"/>
                <w:szCs w:val="17"/>
                <w:b w:val="1"/>
                <w:bCs w:val="1"/>
                <w:color w:val="00AE4F"/>
                <w:vertAlign w:val="subscript"/>
              </w:rPr>
              <w:t>Awards</w:t>
            </w:r>
            <w:r>
              <w:rPr>
                <w:rFonts w:ascii="Arial" w:cs="Arial" w:eastAsia="Arial" w:hAnsi="Arial"/>
                <w:sz w:val="8"/>
                <w:szCs w:val="8"/>
                <w:b w:val="1"/>
                <w:bCs w:val="1"/>
                <w:color w:val="00AE4F"/>
              </w:rPr>
              <w:t>(2),(3)(4)</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00AE4F"/>
              </w:rPr>
              <w:t>Awards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AE4F"/>
              </w:rPr>
              <w:t>Compensation</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Compensation</w:t>
            </w:r>
          </w:p>
        </w:tc>
        <w:tc>
          <w:tcPr>
            <w:tcW w:w="1300" w:type="dxa"/>
            <w:vAlign w:val="bottom"/>
          </w:tcPr>
          <w:p>
            <w:pPr>
              <w:jc w:val="center"/>
              <w:spacing w:after="0" w:line="154" w:lineRule="exact"/>
              <w:rPr>
                <w:sz w:val="20"/>
                <w:szCs w:val="20"/>
                <w:color w:val="auto"/>
              </w:rPr>
            </w:pPr>
            <w:r>
              <w:rPr>
                <w:rFonts w:ascii="Arial" w:cs="Arial" w:eastAsia="Arial" w:hAnsi="Arial"/>
                <w:sz w:val="12"/>
                <w:szCs w:val="12"/>
                <w:b w:val="1"/>
                <w:bCs w:val="1"/>
                <w:color w:val="00AE4F"/>
              </w:rPr>
              <w:t>Compensation</w:t>
            </w:r>
            <w:r>
              <w:rPr>
                <w:rFonts w:ascii="Arial" w:cs="Arial" w:eastAsia="Arial" w:hAnsi="Arial"/>
                <w:sz w:val="17"/>
                <w:szCs w:val="17"/>
                <w:b w:val="1"/>
                <w:bCs w:val="1"/>
                <w:color w:val="00AE4F"/>
                <w:vertAlign w:val="superscript"/>
              </w:rPr>
              <w:t>(5)(6)</w:t>
            </w:r>
          </w:p>
        </w:tc>
        <w:tc>
          <w:tcPr>
            <w:tcW w:w="720" w:type="dxa"/>
            <w:vAlign w:val="bottom"/>
          </w:tcPr>
          <w:p>
            <w:pPr>
              <w:spacing w:after="0"/>
              <w:rPr>
                <w:sz w:val="13"/>
                <w:szCs w:val="13"/>
                <w:color w:val="auto"/>
              </w:rPr>
            </w:pPr>
          </w:p>
        </w:tc>
      </w:tr>
      <w:tr>
        <w:trPr>
          <w:trHeight w:val="180"/>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00AE4F"/>
              </w:rPr>
              <w:t>Name and Principal Position</w:t>
            </w:r>
          </w:p>
        </w:tc>
        <w:tc>
          <w:tcPr>
            <w:tcW w:w="500" w:type="dxa"/>
            <w:vAlign w:val="bottom"/>
          </w:tcPr>
          <w:p>
            <w:pPr>
              <w:ind w:left="120"/>
              <w:spacing w:after="0"/>
              <w:rPr>
                <w:sz w:val="20"/>
                <w:szCs w:val="20"/>
                <w:color w:val="auto"/>
              </w:rPr>
            </w:pPr>
            <w:r>
              <w:rPr>
                <w:rFonts w:ascii="Arial" w:cs="Arial" w:eastAsia="Arial" w:hAnsi="Arial"/>
                <w:sz w:val="13"/>
                <w:szCs w:val="13"/>
                <w:b w:val="1"/>
                <w:bCs w:val="1"/>
                <w:color w:val="00AE4F"/>
              </w:rPr>
              <w:t>Year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00AE4F"/>
              </w:rPr>
              <w: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Earnings ($)</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720" w:type="dxa"/>
            <w:vAlign w:val="bottom"/>
          </w:tcPr>
          <w:p>
            <w:pPr>
              <w:ind w:left="120"/>
              <w:spacing w:after="0"/>
              <w:rPr>
                <w:sz w:val="20"/>
                <w:szCs w:val="20"/>
                <w:color w:val="auto"/>
              </w:rPr>
            </w:pPr>
            <w:r>
              <w:rPr>
                <w:rFonts w:ascii="Arial" w:cs="Arial" w:eastAsia="Arial" w:hAnsi="Arial"/>
                <w:sz w:val="13"/>
                <w:szCs w:val="13"/>
                <w:b w:val="1"/>
                <w:bCs w:val="1"/>
                <w:color w:val="00AE4F"/>
              </w:rPr>
              <w:t>Total ($)</w:t>
            </w:r>
          </w:p>
        </w:tc>
      </w:tr>
      <w:tr>
        <w:trPr>
          <w:trHeight w:val="26"/>
        </w:trPr>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6"/>
        </w:trPr>
        <w:tc>
          <w:tcPr>
            <w:tcW w:w="60" w:type="dxa"/>
            <w:vAlign w:val="bottom"/>
          </w:tcPr>
          <w:p>
            <w:pPr>
              <w:spacing w:after="0"/>
              <w:rPr>
                <w:sz w:val="12"/>
                <w:szCs w:val="12"/>
                <w:color w:val="auto"/>
              </w:rPr>
            </w:pPr>
          </w:p>
        </w:tc>
        <w:tc>
          <w:tcPr>
            <w:tcW w:w="26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Christopher D. Layden</w:t>
            </w:r>
          </w:p>
        </w:tc>
        <w:tc>
          <w:tcPr>
            <w:tcW w:w="500" w:type="dxa"/>
            <w:vAlign w:val="bottom"/>
          </w:tcPr>
          <w:p>
            <w:pPr>
              <w:ind w:left="120"/>
              <w:spacing w:after="0" w:line="146" w:lineRule="exact"/>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line="146" w:lineRule="exact"/>
              <w:rPr>
                <w:sz w:val="20"/>
                <w:szCs w:val="20"/>
                <w:color w:val="auto"/>
              </w:rPr>
            </w:pPr>
            <w:r>
              <w:rPr>
                <w:rFonts w:ascii="Arial" w:cs="Arial" w:eastAsia="Arial" w:hAnsi="Arial"/>
                <w:sz w:val="13"/>
                <w:szCs w:val="13"/>
                <w:color w:val="auto"/>
              </w:rPr>
              <w:t>307,692</w:t>
            </w:r>
          </w:p>
        </w:tc>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w w:val="97"/>
              </w:rPr>
              <w:t>450,000</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4,000,003</w:t>
            </w:r>
          </w:p>
        </w:tc>
        <w:tc>
          <w:tcPr>
            <w:tcW w:w="5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040" w:type="dxa"/>
            <w:vAlign w:val="bottom"/>
          </w:tcPr>
          <w:p>
            <w:pPr>
              <w:jc w:val="center"/>
              <w:spacing w:after="0" w:line="146" w:lineRule="exact"/>
              <w:rPr>
                <w:sz w:val="20"/>
                <w:szCs w:val="20"/>
                <w:color w:val="auto"/>
              </w:rPr>
            </w:pPr>
            <w:r>
              <w:rPr>
                <w:rFonts w:ascii="Arial" w:cs="Arial" w:eastAsia="Arial" w:hAnsi="Arial"/>
                <w:sz w:val="13"/>
                <w:szCs w:val="13"/>
                <w:color w:val="auto"/>
              </w:rPr>
              <w:t>450,000</w:t>
            </w:r>
          </w:p>
        </w:tc>
        <w:tc>
          <w:tcPr>
            <w:tcW w:w="102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center"/>
              <w:spacing w:after="0" w:line="146" w:lineRule="exact"/>
              <w:rPr>
                <w:sz w:val="20"/>
                <w:szCs w:val="20"/>
                <w:color w:val="auto"/>
              </w:rPr>
            </w:pPr>
            <w:r>
              <w:rPr>
                <w:rFonts w:ascii="Arial" w:cs="Arial" w:eastAsia="Arial" w:hAnsi="Arial"/>
                <w:sz w:val="13"/>
                <w:szCs w:val="13"/>
                <w:color w:val="auto"/>
              </w:rPr>
              <w:t>—</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auto"/>
              </w:rPr>
              <w:t>5,207,696</w:t>
            </w: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President and Chief Executive Officer</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r>
        <w:trPr>
          <w:trHeight w:val="208"/>
        </w:trPr>
        <w:tc>
          <w:tcPr>
            <w:tcW w:w="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500" w:type="dxa"/>
            <w:vAlign w:val="bottom"/>
          </w:tcPr>
          <w:p>
            <w:pPr>
              <w:ind w:left="120"/>
              <w:spacing w:after="0"/>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rPr>
                <w:sz w:val="20"/>
                <w:szCs w:val="20"/>
                <w:color w:val="auto"/>
              </w:rPr>
            </w:pPr>
            <w:r>
              <w:rPr>
                <w:rFonts w:ascii="Arial" w:cs="Arial" w:eastAsia="Arial" w:hAnsi="Arial"/>
                <w:sz w:val="13"/>
                <w:szCs w:val="13"/>
                <w:color w:val="auto"/>
              </w:rPr>
              <w:t>650,000</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938,019</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32,500</w:t>
            </w:r>
          </w:p>
        </w:tc>
        <w:tc>
          <w:tcPr>
            <w:tcW w:w="720" w:type="dxa"/>
            <w:vAlign w:val="bottom"/>
          </w:tcPr>
          <w:p>
            <w:pPr>
              <w:jc w:val="center"/>
              <w:spacing w:after="0"/>
              <w:rPr>
                <w:sz w:val="20"/>
                <w:szCs w:val="20"/>
                <w:color w:val="auto"/>
              </w:rPr>
            </w:pPr>
            <w:r>
              <w:rPr>
                <w:rFonts w:ascii="Arial" w:cs="Arial" w:eastAsia="Arial" w:hAnsi="Arial"/>
                <w:sz w:val="13"/>
                <w:szCs w:val="13"/>
                <w:color w:val="auto"/>
              </w:rPr>
              <w:t>1,620,519</w:t>
            </w:r>
          </w:p>
        </w:tc>
      </w:tr>
      <w:tr>
        <w:trPr>
          <w:trHeight w:val="149"/>
        </w:trPr>
        <w:tc>
          <w:tcPr>
            <w:tcW w:w="6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Executive Vice President and Chief</w:t>
            </w:r>
          </w:p>
        </w:tc>
        <w:tc>
          <w:tcPr>
            <w:tcW w:w="500" w:type="dxa"/>
            <w:vAlign w:val="bottom"/>
          </w:tcPr>
          <w:p>
            <w:pPr>
              <w:ind w:left="120"/>
              <w:spacing w:after="0"/>
              <w:rPr>
                <w:sz w:val="20"/>
                <w:szCs w:val="20"/>
                <w:color w:val="auto"/>
              </w:rPr>
            </w:pPr>
            <w:r>
              <w:rPr>
                <w:rFonts w:ascii="Arial" w:cs="Arial" w:eastAsia="Arial" w:hAnsi="Arial"/>
                <w:sz w:val="13"/>
                <w:szCs w:val="13"/>
                <w:color w:val="auto"/>
              </w:rPr>
              <w:t>2024</w:t>
            </w:r>
          </w:p>
        </w:tc>
        <w:tc>
          <w:tcPr>
            <w:tcW w:w="660" w:type="dxa"/>
            <w:vAlign w:val="bottom"/>
          </w:tcPr>
          <w:p>
            <w:pPr>
              <w:jc w:val="center"/>
              <w:spacing w:after="0"/>
              <w:rPr>
                <w:sz w:val="20"/>
                <w:szCs w:val="20"/>
                <w:color w:val="auto"/>
              </w:rPr>
            </w:pPr>
            <w:r>
              <w:rPr>
                <w:rFonts w:ascii="Arial" w:cs="Arial" w:eastAsia="Arial" w:hAnsi="Arial"/>
                <w:sz w:val="13"/>
                <w:szCs w:val="13"/>
                <w:color w:val="auto"/>
              </w:rPr>
              <w:t>125,000</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750,000</w:t>
            </w:r>
          </w:p>
        </w:tc>
        <w:tc>
          <w:tcPr>
            <w:tcW w:w="980" w:type="dxa"/>
            <w:vAlign w:val="bottom"/>
          </w:tcPr>
          <w:p>
            <w:pPr>
              <w:jc w:val="center"/>
              <w:spacing w:after="0"/>
              <w:rPr>
                <w:sz w:val="20"/>
                <w:szCs w:val="20"/>
                <w:color w:val="auto"/>
              </w:rPr>
            </w:pPr>
            <w:r>
              <w:rPr>
                <w:rFonts w:ascii="Arial" w:cs="Arial" w:eastAsia="Arial" w:hAnsi="Arial"/>
                <w:sz w:val="13"/>
                <w:szCs w:val="13"/>
                <w:color w:val="auto"/>
              </w:rPr>
              <w:t>3,499,998</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63,000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3,750</w:t>
            </w:r>
          </w:p>
        </w:tc>
        <w:tc>
          <w:tcPr>
            <w:tcW w:w="720" w:type="dxa"/>
            <w:vAlign w:val="bottom"/>
          </w:tcPr>
          <w:p>
            <w:pPr>
              <w:jc w:val="center"/>
              <w:spacing w:after="0"/>
              <w:rPr>
                <w:sz w:val="20"/>
                <w:szCs w:val="20"/>
                <w:color w:val="auto"/>
              </w:rPr>
            </w:pPr>
            <w:r>
              <w:rPr>
                <w:rFonts w:ascii="Arial" w:cs="Arial" w:eastAsia="Arial" w:hAnsi="Arial"/>
                <w:sz w:val="13"/>
                <w:szCs w:val="13"/>
                <w:color w:val="auto"/>
              </w:rPr>
              <w:t>4,441,748</w:t>
            </w: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Financial Officer</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r>
        <w:trPr>
          <w:trHeight w:val="146"/>
        </w:trPr>
        <w:tc>
          <w:tcPr>
            <w:tcW w:w="60" w:type="dxa"/>
            <w:vAlign w:val="bottom"/>
          </w:tcPr>
          <w:p>
            <w:pPr>
              <w:spacing w:after="0"/>
              <w:rPr>
                <w:sz w:val="12"/>
                <w:szCs w:val="12"/>
                <w:color w:val="auto"/>
              </w:rPr>
            </w:pPr>
          </w:p>
        </w:tc>
        <w:tc>
          <w:tcPr>
            <w:tcW w:w="26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Tammy L. Browning</w:t>
            </w:r>
          </w:p>
        </w:tc>
        <w:tc>
          <w:tcPr>
            <w:tcW w:w="500" w:type="dxa"/>
            <w:vAlign w:val="bottom"/>
          </w:tcPr>
          <w:p>
            <w:pPr>
              <w:ind w:left="120"/>
              <w:spacing w:after="0" w:line="146" w:lineRule="exact"/>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line="146" w:lineRule="exact"/>
              <w:rPr>
                <w:sz w:val="20"/>
                <w:szCs w:val="20"/>
                <w:color w:val="auto"/>
              </w:rPr>
            </w:pPr>
            <w:r>
              <w:rPr>
                <w:rFonts w:ascii="Arial" w:cs="Arial" w:eastAsia="Arial" w:hAnsi="Arial"/>
                <w:sz w:val="13"/>
                <w:szCs w:val="13"/>
                <w:color w:val="auto"/>
              </w:rPr>
              <w:t>461,869</w:t>
            </w:r>
          </w:p>
        </w:tc>
        <w:tc>
          <w:tcPr>
            <w:tcW w:w="640" w:type="dxa"/>
            <w:vAlign w:val="bottom"/>
          </w:tcPr>
          <w:p>
            <w:pPr>
              <w:jc w:val="center"/>
              <w:spacing w:after="0" w:line="146"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803,765</w:t>
            </w:r>
          </w:p>
        </w:tc>
        <w:tc>
          <w:tcPr>
            <w:tcW w:w="5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040" w:type="dxa"/>
            <w:vAlign w:val="bottom"/>
          </w:tcPr>
          <w:p>
            <w:pPr>
              <w:jc w:val="center"/>
              <w:spacing w:after="0" w:line="146" w:lineRule="exact"/>
              <w:rPr>
                <w:sz w:val="20"/>
                <w:szCs w:val="20"/>
                <w:color w:val="auto"/>
              </w:rPr>
            </w:pPr>
            <w:r>
              <w:rPr>
                <w:rFonts w:ascii="Arial" w:cs="Arial" w:eastAsia="Arial" w:hAnsi="Arial"/>
                <w:sz w:val="13"/>
                <w:szCs w:val="13"/>
                <w:color w:val="auto"/>
                <w:w w:val="91"/>
              </w:rPr>
              <w:t>—</w:t>
            </w:r>
          </w:p>
        </w:tc>
        <w:tc>
          <w:tcPr>
            <w:tcW w:w="102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center"/>
              <w:spacing w:after="0" w:line="146" w:lineRule="exact"/>
              <w:rPr>
                <w:sz w:val="20"/>
                <w:szCs w:val="20"/>
                <w:color w:val="auto"/>
              </w:rPr>
            </w:pPr>
            <w:r>
              <w:rPr>
                <w:rFonts w:ascii="Arial" w:cs="Arial" w:eastAsia="Arial" w:hAnsi="Arial"/>
                <w:sz w:val="13"/>
                <w:szCs w:val="13"/>
                <w:color w:val="auto"/>
              </w:rPr>
              <w:t>30,945</w:t>
            </w:r>
          </w:p>
        </w:tc>
        <w:tc>
          <w:tcPr>
            <w:tcW w:w="720" w:type="dxa"/>
            <w:vAlign w:val="bottom"/>
          </w:tcPr>
          <w:p>
            <w:pPr>
              <w:jc w:val="center"/>
              <w:spacing w:after="0" w:line="146" w:lineRule="exact"/>
              <w:rPr>
                <w:sz w:val="20"/>
                <w:szCs w:val="20"/>
                <w:color w:val="auto"/>
              </w:rPr>
            </w:pPr>
            <w:r>
              <w:rPr>
                <w:rFonts w:ascii="Arial" w:cs="Arial" w:eastAsia="Arial" w:hAnsi="Arial"/>
                <w:sz w:val="13"/>
                <w:szCs w:val="13"/>
                <w:color w:val="auto"/>
              </w:rPr>
              <w:t>1,296,579</w:t>
            </w:r>
          </w:p>
        </w:tc>
      </w:tr>
      <w:tr>
        <w:trPr>
          <w:trHeight w:val="149"/>
        </w:trPr>
        <w:tc>
          <w:tcPr>
            <w:tcW w:w="6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Senior Vice President and Group President</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Enterprise Talent Management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r>
        <w:trPr>
          <w:trHeight w:val="208"/>
        </w:trPr>
        <w:tc>
          <w:tcPr>
            <w:tcW w:w="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500" w:type="dxa"/>
            <w:vAlign w:val="bottom"/>
          </w:tcPr>
          <w:p>
            <w:pPr>
              <w:ind w:left="120"/>
              <w:spacing w:after="0"/>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rPr>
                <w:sz w:val="20"/>
                <w:szCs w:val="20"/>
                <w:color w:val="auto"/>
              </w:rPr>
            </w:pPr>
            <w:r>
              <w:rPr>
                <w:rFonts w:ascii="Arial" w:cs="Arial" w:eastAsia="Arial" w:hAnsi="Arial"/>
                <w:sz w:val="13"/>
                <w:szCs w:val="13"/>
                <w:color w:val="auto"/>
              </w:rPr>
              <w:t>518,173</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625,333</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5,763</w:t>
            </w:r>
          </w:p>
        </w:tc>
        <w:tc>
          <w:tcPr>
            <w:tcW w:w="720" w:type="dxa"/>
            <w:vAlign w:val="bottom"/>
          </w:tcPr>
          <w:p>
            <w:pPr>
              <w:jc w:val="center"/>
              <w:spacing w:after="0"/>
              <w:rPr>
                <w:sz w:val="20"/>
                <w:szCs w:val="20"/>
                <w:color w:val="auto"/>
              </w:rPr>
            </w:pPr>
            <w:r>
              <w:rPr>
                <w:rFonts w:ascii="Arial" w:cs="Arial" w:eastAsia="Arial" w:hAnsi="Arial"/>
                <w:sz w:val="13"/>
                <w:szCs w:val="13"/>
                <w:color w:val="auto"/>
              </w:rPr>
              <w:t>1,149,270</w:t>
            </w:r>
          </w:p>
        </w:tc>
      </w:tr>
      <w:tr>
        <w:trPr>
          <w:trHeight w:val="149"/>
        </w:trPr>
        <w:tc>
          <w:tcPr>
            <w:tcW w:w="6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Executive Vice President General Counsel</w:t>
            </w:r>
          </w:p>
        </w:tc>
        <w:tc>
          <w:tcPr>
            <w:tcW w:w="500" w:type="dxa"/>
            <w:vAlign w:val="bottom"/>
          </w:tcPr>
          <w:p>
            <w:pPr>
              <w:ind w:left="120"/>
              <w:spacing w:after="0"/>
              <w:rPr>
                <w:sz w:val="20"/>
                <w:szCs w:val="20"/>
                <w:color w:val="auto"/>
              </w:rPr>
            </w:pPr>
            <w:r>
              <w:rPr>
                <w:rFonts w:ascii="Arial" w:cs="Arial" w:eastAsia="Arial" w:hAnsi="Arial"/>
                <w:sz w:val="13"/>
                <w:szCs w:val="13"/>
                <w:color w:val="auto"/>
              </w:rPr>
              <w:t>2024</w:t>
            </w:r>
          </w:p>
        </w:tc>
        <w:tc>
          <w:tcPr>
            <w:tcW w:w="660" w:type="dxa"/>
            <w:vAlign w:val="bottom"/>
          </w:tcPr>
          <w:p>
            <w:pPr>
              <w:jc w:val="center"/>
              <w:spacing w:after="0"/>
              <w:rPr>
                <w:sz w:val="20"/>
                <w:szCs w:val="20"/>
                <w:color w:val="auto"/>
              </w:rPr>
            </w:pPr>
            <w:r>
              <w:rPr>
                <w:rFonts w:ascii="Arial" w:cs="Arial" w:eastAsia="Arial" w:hAnsi="Arial"/>
                <w:sz w:val="13"/>
                <w:szCs w:val="13"/>
                <w:color w:val="auto"/>
              </w:rPr>
              <w:t>493,269</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579,220</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250,000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25,641</w:t>
            </w:r>
          </w:p>
        </w:tc>
        <w:tc>
          <w:tcPr>
            <w:tcW w:w="720" w:type="dxa"/>
            <w:vAlign w:val="bottom"/>
          </w:tcPr>
          <w:p>
            <w:pPr>
              <w:jc w:val="center"/>
              <w:spacing w:after="0"/>
              <w:rPr>
                <w:sz w:val="20"/>
                <w:szCs w:val="20"/>
                <w:color w:val="auto"/>
              </w:rPr>
            </w:pPr>
            <w:r>
              <w:rPr>
                <w:rFonts w:ascii="Arial" w:cs="Arial" w:eastAsia="Arial" w:hAnsi="Arial"/>
                <w:sz w:val="13"/>
                <w:szCs w:val="13"/>
                <w:color w:val="auto"/>
              </w:rPr>
              <w:t>1,348,130</w:t>
            </w: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and Secretary</w:t>
            </w:r>
          </w:p>
        </w:tc>
        <w:tc>
          <w:tcPr>
            <w:tcW w:w="500" w:type="dxa"/>
            <w:vAlign w:val="bottom"/>
          </w:tcPr>
          <w:p>
            <w:pPr>
              <w:ind w:left="120"/>
              <w:spacing w:after="0"/>
              <w:rPr>
                <w:sz w:val="20"/>
                <w:szCs w:val="20"/>
                <w:color w:val="auto"/>
              </w:rPr>
            </w:pPr>
            <w:r>
              <w:rPr>
                <w:rFonts w:ascii="Arial" w:cs="Arial" w:eastAsia="Arial" w:hAnsi="Arial"/>
                <w:sz w:val="13"/>
                <w:szCs w:val="13"/>
                <w:color w:val="auto"/>
              </w:rPr>
              <w:t>2023</w:t>
            </w:r>
          </w:p>
        </w:tc>
        <w:tc>
          <w:tcPr>
            <w:tcW w:w="660" w:type="dxa"/>
            <w:vAlign w:val="bottom"/>
          </w:tcPr>
          <w:p>
            <w:pPr>
              <w:jc w:val="center"/>
              <w:spacing w:after="0"/>
              <w:rPr>
                <w:sz w:val="20"/>
                <w:szCs w:val="20"/>
                <w:color w:val="auto"/>
              </w:rPr>
            </w:pPr>
            <w:r>
              <w:rPr>
                <w:rFonts w:ascii="Arial" w:cs="Arial" w:eastAsia="Arial" w:hAnsi="Arial"/>
                <w:sz w:val="13"/>
                <w:szCs w:val="13"/>
                <w:color w:val="auto"/>
              </w:rPr>
              <w:t>473,827</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400,835</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325,000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26,122</w:t>
            </w:r>
          </w:p>
        </w:tc>
        <w:tc>
          <w:tcPr>
            <w:tcW w:w="720" w:type="dxa"/>
            <w:vAlign w:val="bottom"/>
          </w:tcPr>
          <w:p>
            <w:pPr>
              <w:jc w:val="center"/>
              <w:spacing w:after="0"/>
              <w:rPr>
                <w:sz w:val="20"/>
                <w:szCs w:val="20"/>
                <w:color w:val="auto"/>
              </w:rPr>
            </w:pPr>
            <w:r>
              <w:rPr>
                <w:rFonts w:ascii="Arial" w:cs="Arial" w:eastAsia="Arial" w:hAnsi="Arial"/>
                <w:sz w:val="13"/>
                <w:szCs w:val="13"/>
                <w:color w:val="auto"/>
              </w:rPr>
              <w:t>1,225,784</w:t>
            </w: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r>
        <w:trPr>
          <w:trHeight w:val="208"/>
        </w:trPr>
        <w:tc>
          <w:tcPr>
            <w:tcW w:w="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500" w:type="dxa"/>
            <w:vAlign w:val="bottom"/>
          </w:tcPr>
          <w:p>
            <w:pPr>
              <w:ind w:left="120"/>
              <w:spacing w:after="0"/>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rPr>
                <w:sz w:val="20"/>
                <w:szCs w:val="20"/>
                <w:color w:val="auto"/>
              </w:rPr>
            </w:pPr>
            <w:r>
              <w:rPr>
                <w:rFonts w:ascii="Arial" w:cs="Arial" w:eastAsia="Arial" w:hAnsi="Arial"/>
                <w:sz w:val="13"/>
                <w:szCs w:val="13"/>
                <w:color w:val="auto"/>
              </w:rPr>
              <w:t>418,723</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295,838</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89,816</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21,285</w:t>
            </w:r>
          </w:p>
        </w:tc>
        <w:tc>
          <w:tcPr>
            <w:tcW w:w="720" w:type="dxa"/>
            <w:vAlign w:val="bottom"/>
          </w:tcPr>
          <w:p>
            <w:pPr>
              <w:jc w:val="center"/>
              <w:spacing w:after="0"/>
              <w:rPr>
                <w:sz w:val="20"/>
                <w:szCs w:val="20"/>
                <w:color w:val="auto"/>
              </w:rPr>
            </w:pPr>
            <w:r>
              <w:rPr>
                <w:rFonts w:ascii="Arial" w:cs="Arial" w:eastAsia="Arial" w:hAnsi="Arial"/>
                <w:sz w:val="13"/>
                <w:szCs w:val="13"/>
                <w:color w:val="auto"/>
                <w:w w:val="97"/>
              </w:rPr>
              <w:t>825,662</w:t>
            </w:r>
          </w:p>
        </w:tc>
      </w:tr>
      <w:tr>
        <w:trPr>
          <w:trHeight w:val="149"/>
        </w:trPr>
        <w:tc>
          <w:tcPr>
            <w:tcW w:w="6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Senior Vice President and President</w:t>
            </w:r>
          </w:p>
        </w:tc>
        <w:tc>
          <w:tcPr>
            <w:tcW w:w="500" w:type="dxa"/>
            <w:vAlign w:val="bottom"/>
          </w:tcPr>
          <w:p>
            <w:pPr>
              <w:ind w:left="120"/>
              <w:spacing w:after="0"/>
              <w:rPr>
                <w:sz w:val="20"/>
                <w:szCs w:val="20"/>
                <w:color w:val="auto"/>
              </w:rPr>
            </w:pPr>
            <w:r>
              <w:rPr>
                <w:rFonts w:ascii="Arial" w:cs="Arial" w:eastAsia="Arial" w:hAnsi="Arial"/>
                <w:sz w:val="13"/>
                <w:szCs w:val="13"/>
                <w:color w:val="auto"/>
              </w:rPr>
              <w:t>2024</w:t>
            </w:r>
          </w:p>
        </w:tc>
        <w:tc>
          <w:tcPr>
            <w:tcW w:w="660" w:type="dxa"/>
            <w:vAlign w:val="bottom"/>
          </w:tcPr>
          <w:p>
            <w:pPr>
              <w:jc w:val="center"/>
              <w:spacing w:after="0"/>
              <w:rPr>
                <w:sz w:val="20"/>
                <w:szCs w:val="20"/>
                <w:color w:val="auto"/>
              </w:rPr>
            </w:pPr>
            <w:r>
              <w:rPr>
                <w:rFonts w:ascii="Arial" w:cs="Arial" w:eastAsia="Arial" w:hAnsi="Arial"/>
                <w:sz w:val="13"/>
                <w:szCs w:val="13"/>
                <w:color w:val="auto"/>
              </w:rPr>
              <w:t>403,081</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481,165</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220,000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20,984</w:t>
            </w:r>
          </w:p>
        </w:tc>
        <w:tc>
          <w:tcPr>
            <w:tcW w:w="720" w:type="dxa"/>
            <w:vAlign w:val="bottom"/>
          </w:tcPr>
          <w:p>
            <w:pPr>
              <w:jc w:val="center"/>
              <w:spacing w:after="0"/>
              <w:rPr>
                <w:sz w:val="20"/>
                <w:szCs w:val="20"/>
                <w:color w:val="auto"/>
              </w:rPr>
            </w:pPr>
            <w:r>
              <w:rPr>
                <w:rFonts w:ascii="Arial" w:cs="Arial" w:eastAsia="Arial" w:hAnsi="Arial"/>
                <w:sz w:val="13"/>
                <w:szCs w:val="13"/>
                <w:color w:val="auto"/>
              </w:rPr>
              <w:t>1,125,229</w:t>
            </w: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Education</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r>
        <w:trPr>
          <w:trHeight w:val="178"/>
        </w:trPr>
        <w:tc>
          <w:tcPr>
            <w:tcW w:w="60" w:type="dxa"/>
            <w:vAlign w:val="bottom"/>
          </w:tcPr>
          <w:p>
            <w:pPr>
              <w:spacing w:after="0"/>
              <w:rPr>
                <w:sz w:val="15"/>
                <w:szCs w:val="15"/>
                <w:color w:val="auto"/>
              </w:rPr>
            </w:pPr>
          </w:p>
        </w:tc>
        <w:tc>
          <w:tcPr>
            <w:tcW w:w="1200" w:type="dxa"/>
            <w:vAlign w:val="bottom"/>
            <w:tcBorders>
              <w:bottom w:val="single" w:sz="8" w:color="00AE4F"/>
            </w:tcBorders>
          </w:tcPr>
          <w:p>
            <w:pPr>
              <w:spacing w:after="0"/>
              <w:rPr>
                <w:sz w:val="20"/>
                <w:szCs w:val="20"/>
                <w:color w:val="auto"/>
              </w:rPr>
            </w:pPr>
            <w:r>
              <w:rPr>
                <w:rFonts w:ascii="Arial" w:cs="Arial" w:eastAsia="Arial" w:hAnsi="Arial"/>
                <w:sz w:val="13"/>
                <w:szCs w:val="13"/>
                <w:b w:val="1"/>
                <w:bCs w:val="1"/>
                <w:i w:val="1"/>
                <w:iCs w:val="1"/>
                <w:color w:val="00AE4F"/>
              </w:rPr>
              <w:t>Former Executives</w:t>
            </w: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0"/>
        </w:trPr>
        <w:tc>
          <w:tcPr>
            <w:tcW w:w="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Peter W. Quigley</w:t>
            </w:r>
          </w:p>
        </w:tc>
        <w:tc>
          <w:tcPr>
            <w:tcW w:w="500" w:type="dxa"/>
            <w:vAlign w:val="bottom"/>
          </w:tcPr>
          <w:p>
            <w:pPr>
              <w:ind w:left="120"/>
              <w:spacing w:after="0"/>
              <w:rPr>
                <w:sz w:val="20"/>
                <w:szCs w:val="20"/>
                <w:color w:val="auto"/>
              </w:rPr>
            </w:pPr>
            <w:r>
              <w:rPr>
                <w:rFonts w:ascii="Arial" w:cs="Arial" w:eastAsia="Arial" w:hAnsi="Arial"/>
                <w:sz w:val="13"/>
                <w:szCs w:val="13"/>
                <w:color w:val="auto"/>
              </w:rPr>
              <w:t>2025</w:t>
            </w:r>
          </w:p>
        </w:tc>
        <w:tc>
          <w:tcPr>
            <w:tcW w:w="660" w:type="dxa"/>
            <w:vAlign w:val="bottom"/>
          </w:tcPr>
          <w:p>
            <w:pPr>
              <w:jc w:val="center"/>
              <w:spacing w:after="0"/>
              <w:rPr>
                <w:sz w:val="20"/>
                <w:szCs w:val="20"/>
                <w:color w:val="auto"/>
              </w:rPr>
            </w:pPr>
            <w:r>
              <w:rPr>
                <w:rFonts w:ascii="Arial" w:cs="Arial" w:eastAsia="Arial" w:hAnsi="Arial"/>
                <w:sz w:val="13"/>
                <w:szCs w:val="13"/>
                <w:color w:val="auto"/>
              </w:rPr>
              <w:t>884,135</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2,321,887</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121,131</w:t>
            </w:r>
          </w:p>
        </w:tc>
        <w:tc>
          <w:tcPr>
            <w:tcW w:w="720" w:type="dxa"/>
            <w:vAlign w:val="bottom"/>
          </w:tcPr>
          <w:p>
            <w:pPr>
              <w:jc w:val="center"/>
              <w:spacing w:after="0"/>
              <w:rPr>
                <w:sz w:val="20"/>
                <w:szCs w:val="20"/>
                <w:color w:val="auto"/>
              </w:rPr>
            </w:pPr>
            <w:r>
              <w:rPr>
                <w:rFonts w:ascii="Arial" w:cs="Arial" w:eastAsia="Arial" w:hAnsi="Arial"/>
                <w:sz w:val="13"/>
                <w:szCs w:val="13"/>
                <w:color w:val="auto"/>
              </w:rPr>
              <w:t>3,327,152</w:t>
            </w:r>
          </w:p>
        </w:tc>
      </w:tr>
      <w:tr>
        <w:trPr>
          <w:trHeight w:val="149"/>
        </w:trPr>
        <w:tc>
          <w:tcPr>
            <w:tcW w:w="6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3"/>
                <w:szCs w:val="13"/>
                <w:i w:val="1"/>
                <w:iCs w:val="1"/>
                <w:color w:val="auto"/>
              </w:rPr>
              <w:t>Former President and Chief Executive</w:t>
            </w:r>
          </w:p>
        </w:tc>
        <w:tc>
          <w:tcPr>
            <w:tcW w:w="500" w:type="dxa"/>
            <w:vAlign w:val="bottom"/>
          </w:tcPr>
          <w:p>
            <w:pPr>
              <w:ind w:left="120"/>
              <w:spacing w:after="0"/>
              <w:rPr>
                <w:sz w:val="20"/>
                <w:szCs w:val="20"/>
                <w:color w:val="auto"/>
              </w:rPr>
            </w:pPr>
            <w:r>
              <w:rPr>
                <w:rFonts w:ascii="Arial" w:cs="Arial" w:eastAsia="Arial" w:hAnsi="Arial"/>
                <w:sz w:val="13"/>
                <w:szCs w:val="13"/>
                <w:color w:val="auto"/>
              </w:rPr>
              <w:t>2024</w:t>
            </w:r>
          </w:p>
        </w:tc>
        <w:tc>
          <w:tcPr>
            <w:tcW w:w="660" w:type="dxa"/>
            <w:vAlign w:val="bottom"/>
          </w:tcPr>
          <w:p>
            <w:pPr>
              <w:jc w:val="center"/>
              <w:spacing w:after="0"/>
              <w:rPr>
                <w:sz w:val="20"/>
                <w:szCs w:val="20"/>
                <w:color w:val="auto"/>
              </w:rPr>
            </w:pPr>
            <w:r>
              <w:rPr>
                <w:rFonts w:ascii="Arial" w:cs="Arial" w:eastAsia="Arial" w:hAnsi="Arial"/>
                <w:sz w:val="13"/>
                <w:szCs w:val="13"/>
                <w:color w:val="auto"/>
              </w:rPr>
              <w:t>954,808</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2,381,060</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675,000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w w:val="97"/>
              </w:rPr>
              <w:t>117,571</w:t>
            </w:r>
          </w:p>
        </w:tc>
        <w:tc>
          <w:tcPr>
            <w:tcW w:w="720" w:type="dxa"/>
            <w:vAlign w:val="bottom"/>
          </w:tcPr>
          <w:p>
            <w:pPr>
              <w:jc w:val="center"/>
              <w:spacing w:after="0"/>
              <w:rPr>
                <w:sz w:val="20"/>
                <w:szCs w:val="20"/>
                <w:color w:val="auto"/>
              </w:rPr>
            </w:pPr>
            <w:r>
              <w:rPr>
                <w:rFonts w:ascii="Arial" w:cs="Arial" w:eastAsia="Arial" w:hAnsi="Arial"/>
                <w:sz w:val="13"/>
                <w:szCs w:val="13"/>
                <w:color w:val="auto"/>
              </w:rPr>
              <w:t>4,128,439</w:t>
            </w:r>
          </w:p>
        </w:tc>
      </w:tr>
      <w:tr>
        <w:trPr>
          <w:trHeight w:val="174"/>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3"/>
                <w:szCs w:val="13"/>
                <w:i w:val="1"/>
                <w:iCs w:val="1"/>
                <w:color w:val="auto"/>
              </w:rPr>
              <w:t>Officer</w:t>
            </w:r>
          </w:p>
        </w:tc>
        <w:tc>
          <w:tcPr>
            <w:tcW w:w="500" w:type="dxa"/>
            <w:vAlign w:val="bottom"/>
          </w:tcPr>
          <w:p>
            <w:pPr>
              <w:ind w:left="120"/>
              <w:spacing w:after="0"/>
              <w:rPr>
                <w:sz w:val="20"/>
                <w:szCs w:val="20"/>
                <w:color w:val="auto"/>
              </w:rPr>
            </w:pPr>
            <w:r>
              <w:rPr>
                <w:rFonts w:ascii="Arial" w:cs="Arial" w:eastAsia="Arial" w:hAnsi="Arial"/>
                <w:sz w:val="13"/>
                <w:szCs w:val="13"/>
                <w:color w:val="auto"/>
              </w:rPr>
              <w:t>2023</w:t>
            </w:r>
          </w:p>
        </w:tc>
        <w:tc>
          <w:tcPr>
            <w:tcW w:w="660" w:type="dxa"/>
            <w:vAlign w:val="bottom"/>
          </w:tcPr>
          <w:p>
            <w:pPr>
              <w:jc w:val="center"/>
              <w:spacing w:after="0"/>
              <w:rPr>
                <w:sz w:val="20"/>
                <w:szCs w:val="20"/>
                <w:color w:val="auto"/>
              </w:rPr>
            </w:pPr>
            <w:r>
              <w:rPr>
                <w:rFonts w:ascii="Arial" w:cs="Arial" w:eastAsia="Arial" w:hAnsi="Arial"/>
                <w:sz w:val="13"/>
                <w:szCs w:val="13"/>
                <w:color w:val="auto"/>
              </w:rPr>
              <w:t>900,000</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rPr>
              <w:t>2,160,522</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rPr>
              <w:t>1,015,200</w:t>
            </w:r>
          </w:p>
        </w:tc>
        <w:tc>
          <w:tcPr>
            <w:tcW w:w="1020" w:type="dxa"/>
            <w:vAlign w:val="bottom"/>
          </w:tcPr>
          <w:p>
            <w:pPr>
              <w:ind w:left="520"/>
              <w:spacing w:after="0"/>
              <w:rPr>
                <w:sz w:val="20"/>
                <w:szCs w:val="20"/>
                <w:color w:val="auto"/>
              </w:rPr>
            </w:pPr>
            <w:r>
              <w:rPr>
                <w:rFonts w:ascii="Arial" w:cs="Arial" w:eastAsia="Arial" w:hAnsi="Arial"/>
                <w:sz w:val="13"/>
                <w:szCs w:val="13"/>
                <w:color w:val="auto"/>
              </w:rPr>
              <w:t>—</w:t>
            </w:r>
          </w:p>
        </w:tc>
        <w:tc>
          <w:tcPr>
            <w:tcW w:w="1300" w:type="dxa"/>
            <w:vAlign w:val="bottom"/>
          </w:tcPr>
          <w:p>
            <w:pPr>
              <w:jc w:val="center"/>
              <w:spacing w:after="0"/>
              <w:rPr>
                <w:sz w:val="20"/>
                <w:szCs w:val="20"/>
                <w:color w:val="auto"/>
              </w:rPr>
            </w:pPr>
            <w:r>
              <w:rPr>
                <w:rFonts w:ascii="Arial" w:cs="Arial" w:eastAsia="Arial" w:hAnsi="Arial"/>
                <w:sz w:val="13"/>
                <w:szCs w:val="13"/>
                <w:color w:val="auto"/>
              </w:rPr>
              <w:t>87,702</w:t>
            </w:r>
          </w:p>
        </w:tc>
        <w:tc>
          <w:tcPr>
            <w:tcW w:w="720" w:type="dxa"/>
            <w:vAlign w:val="bottom"/>
          </w:tcPr>
          <w:p>
            <w:pPr>
              <w:jc w:val="center"/>
              <w:spacing w:after="0"/>
              <w:rPr>
                <w:sz w:val="20"/>
                <w:szCs w:val="20"/>
                <w:color w:val="auto"/>
              </w:rPr>
            </w:pPr>
            <w:r>
              <w:rPr>
                <w:rFonts w:ascii="Arial" w:cs="Arial" w:eastAsia="Arial" w:hAnsi="Arial"/>
                <w:sz w:val="13"/>
                <w:szCs w:val="13"/>
                <w:color w:val="auto"/>
              </w:rPr>
              <w:t>4,163,424</w:t>
            </w: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r>
    </w:tbl>
    <w:p>
      <w:pPr>
        <w:spacing w:after="0" w:line="96" w:lineRule="exact"/>
        <w:rPr>
          <w:sz w:val="20"/>
          <w:szCs w:val="20"/>
          <w:color w:val="auto"/>
        </w:rPr>
      </w:pPr>
    </w:p>
    <w:p>
      <w:pPr>
        <w:ind w:left="860" w:right="300" w:hanging="296"/>
        <w:spacing w:after="0" w:line="238" w:lineRule="auto"/>
        <w:tabs>
          <w:tab w:leader="none" w:pos="8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2025, 2024, and 2023 actual base salary earnings. Mr. Layden was hired as President and Chief Executive Officer in 2025. Ms. Browning was not a named executive officer in 2024 and 2023 and Ms. Soares was not a named executive officer in 2023.</w:t>
      </w:r>
    </w:p>
    <w:p>
      <w:pPr>
        <w:spacing w:after="0" w:line="48" w:lineRule="exact"/>
        <w:rPr>
          <w:rFonts w:ascii="Arial" w:cs="Arial" w:eastAsia="Arial" w:hAnsi="Arial"/>
          <w:sz w:val="12"/>
          <w:szCs w:val="12"/>
          <w:color w:val="auto"/>
        </w:rPr>
      </w:pPr>
    </w:p>
    <w:p>
      <w:pPr>
        <w:ind w:left="860" w:right="40" w:hanging="296"/>
        <w:spacing w:after="0" w:line="265" w:lineRule="auto"/>
        <w:tabs>
          <w:tab w:leader="none" w:pos="860" w:val="left"/>
        </w:tabs>
        <w:numPr>
          <w:ilvl w:val="0"/>
          <w:numId w:val="84"/>
        </w:numPr>
        <w:rPr>
          <w:rFonts w:ascii="Arial" w:cs="Arial" w:eastAsia="Arial" w:hAnsi="Arial"/>
          <w:sz w:val="10"/>
          <w:szCs w:val="10"/>
          <w:color w:val="auto"/>
        </w:rPr>
      </w:pPr>
      <w:r>
        <w:rPr>
          <w:rFonts w:ascii="Arial" w:cs="Arial" w:eastAsia="Arial" w:hAnsi="Arial"/>
          <w:sz w:val="10"/>
          <w:szCs w:val="10"/>
          <w:color w:val="auto"/>
        </w:rPr>
        <w:t>The grant date fair values reported for 2025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11, 2025 is $13.44. The MV for Performance Shares granted to all named officers on February 11, 2025 is $12.59.</w:t>
      </w:r>
    </w:p>
    <w:p>
      <w:pPr>
        <w:spacing w:after="0" w:line="1" w:lineRule="exact"/>
        <w:rPr>
          <w:rFonts w:ascii="Arial" w:cs="Arial" w:eastAsia="Arial" w:hAnsi="Arial"/>
          <w:sz w:val="10"/>
          <w:szCs w:val="10"/>
          <w:color w:val="auto"/>
        </w:rPr>
      </w:pPr>
    </w:p>
    <w:p>
      <w:pPr>
        <w:ind w:left="860"/>
        <w:spacing w:after="0"/>
        <w:rPr>
          <w:rFonts w:ascii="Arial" w:cs="Arial" w:eastAsia="Arial" w:hAnsi="Arial"/>
          <w:sz w:val="10"/>
          <w:szCs w:val="10"/>
          <w:color w:val="auto"/>
        </w:rPr>
      </w:pPr>
      <w:r>
        <w:rPr>
          <w:rFonts w:ascii="Arial" w:cs="Arial" w:eastAsia="Arial" w:hAnsi="Arial"/>
          <w:sz w:val="12"/>
          <w:szCs w:val="12"/>
          <w:color w:val="auto"/>
        </w:rPr>
        <w:t>The MV for the Restricted Stock granted to Ms. Browning on August 15, 2025, is $14.03. The MV for the Restricted Stock granted to Mr. Layden on September 15, 2025, is $13.78</w:t>
      </w:r>
    </w:p>
    <w:p>
      <w:pPr>
        <w:spacing w:after="0" w:line="50" w:lineRule="exact"/>
        <w:rPr>
          <w:rFonts w:ascii="Arial" w:cs="Arial" w:eastAsia="Arial" w:hAnsi="Arial"/>
          <w:sz w:val="10"/>
          <w:szCs w:val="10"/>
          <w:color w:val="auto"/>
        </w:rPr>
      </w:pPr>
    </w:p>
    <w:p>
      <w:pPr>
        <w:ind w:left="860" w:right="40" w:hanging="296"/>
        <w:spacing w:after="0" w:line="238" w:lineRule="auto"/>
        <w:tabs>
          <w:tab w:leader="none" w:pos="8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maximum number of shares and award value for Performance Share awards for the 2025-2027 performance period is 200% of target shares granted. The table below shows the maximum number of shares and value for Performance Share awards based on achievement of financial measures using the values of $12.59 for shares granted February 11, 2025.</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140" w:type="dxa"/>
            <w:vAlign w:val="bottom"/>
          </w:tcPr>
          <w:p>
            <w:pPr>
              <w:jc w:val="right"/>
              <w:ind w:right="494"/>
              <w:spacing w:after="0"/>
              <w:rPr>
                <w:sz w:val="20"/>
                <w:szCs w:val="20"/>
                <w:color w:val="auto"/>
              </w:rPr>
            </w:pPr>
            <w:r>
              <w:rPr>
                <w:rFonts w:ascii="Arial" w:cs="Arial" w:eastAsia="Arial" w:hAnsi="Arial"/>
                <w:sz w:val="13"/>
                <w:szCs w:val="13"/>
                <w:b w:val="1"/>
                <w:bCs w:val="1"/>
                <w:color w:val="00AE4F"/>
              </w:rPr>
              <w:t>Maximum Number of</w:t>
            </w:r>
          </w:p>
        </w:tc>
        <w:tc>
          <w:tcPr>
            <w:tcW w:w="1920" w:type="dxa"/>
            <w:vAlign w:val="bottom"/>
            <w:gridSpan w:val="3"/>
          </w:tcPr>
          <w:p>
            <w:pPr>
              <w:ind w:left="640"/>
              <w:spacing w:after="0"/>
              <w:rPr>
                <w:sz w:val="20"/>
                <w:szCs w:val="20"/>
                <w:color w:val="auto"/>
              </w:rPr>
            </w:pPr>
            <w:r>
              <w:rPr>
                <w:rFonts w:ascii="Arial" w:cs="Arial" w:eastAsia="Arial" w:hAnsi="Arial"/>
                <w:sz w:val="13"/>
                <w:szCs w:val="13"/>
                <w:b w:val="1"/>
                <w:bCs w:val="1"/>
                <w:color w:val="00AE4F"/>
                <w:w w:val="99"/>
              </w:rPr>
              <w:t>Maximum Value of </w:t>
            </w:r>
          </w:p>
        </w:tc>
        <w:tc>
          <w:tcPr>
            <w:tcW w:w="320" w:type="dxa"/>
            <w:vAlign w:val="bottom"/>
          </w:tcPr>
          <w:p>
            <w:pPr>
              <w:ind w:left="20"/>
              <w:spacing w:after="0"/>
              <w:rPr>
                <w:sz w:val="20"/>
                <w:szCs w:val="20"/>
                <w:color w:val="auto"/>
              </w:rPr>
            </w:pPr>
            <w:r>
              <w:rPr>
                <w:rFonts w:ascii="Arial" w:cs="Arial" w:eastAsia="Arial" w:hAnsi="Arial"/>
                <w:sz w:val="13"/>
                <w:szCs w:val="13"/>
                <w:b w:val="1"/>
                <w:bCs w:val="1"/>
                <w:color w:val="00AE4F"/>
              </w:rPr>
              <w:t> </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00AE4F"/>
              </w:rPr>
              <w:t>Name</w:t>
            </w:r>
          </w:p>
        </w:tc>
        <w:tc>
          <w:tcPr>
            <w:tcW w:w="4140" w:type="dxa"/>
            <w:vAlign w:val="bottom"/>
          </w:tcPr>
          <w:p>
            <w:pPr>
              <w:jc w:val="right"/>
              <w:ind w:right="514"/>
              <w:spacing w:after="0"/>
              <w:rPr>
                <w:sz w:val="20"/>
                <w:szCs w:val="20"/>
                <w:color w:val="auto"/>
              </w:rPr>
            </w:pPr>
            <w:r>
              <w:rPr>
                <w:rFonts w:ascii="Arial" w:cs="Arial" w:eastAsia="Arial" w:hAnsi="Arial"/>
                <w:sz w:val="13"/>
                <w:szCs w:val="13"/>
                <w:b w:val="1"/>
                <w:bCs w:val="1"/>
                <w:color w:val="00AE4F"/>
              </w:rPr>
              <w:t>Performance Shares</w:t>
            </w:r>
          </w:p>
        </w:tc>
        <w:tc>
          <w:tcPr>
            <w:tcW w:w="1920" w:type="dxa"/>
            <w:vAlign w:val="bottom"/>
            <w:gridSpan w:val="3"/>
          </w:tcPr>
          <w:p>
            <w:pPr>
              <w:ind w:left="580"/>
              <w:spacing w:after="0"/>
              <w:rPr>
                <w:sz w:val="20"/>
                <w:szCs w:val="20"/>
                <w:color w:val="auto"/>
              </w:rPr>
            </w:pPr>
            <w:r>
              <w:rPr>
                <w:rFonts w:ascii="Arial" w:cs="Arial" w:eastAsia="Arial" w:hAnsi="Arial"/>
                <w:sz w:val="13"/>
                <w:szCs w:val="13"/>
                <w:b w:val="1"/>
                <w:bCs w:val="1"/>
                <w:color w:val="00AE4F"/>
                <w:w w:val="94"/>
              </w:rPr>
              <w:t>Performance Shares </w:t>
            </w:r>
          </w:p>
        </w:tc>
        <w:tc>
          <w:tcPr>
            <w:tcW w:w="320" w:type="dxa"/>
            <w:vAlign w:val="bottom"/>
          </w:tcPr>
          <w:p>
            <w:pPr>
              <w:ind w:left="80"/>
              <w:spacing w:after="0"/>
              <w:rPr>
                <w:sz w:val="20"/>
                <w:szCs w:val="20"/>
                <w:color w:val="auto"/>
              </w:rPr>
            </w:pPr>
            <w:r>
              <w:rPr>
                <w:rFonts w:ascii="Arial" w:cs="Arial" w:eastAsia="Arial" w:hAnsi="Arial"/>
                <w:sz w:val="13"/>
                <w:szCs w:val="13"/>
                <w:b w:val="1"/>
                <w:bCs w:val="1"/>
                <w:color w:val="00AE4F"/>
              </w:rPr>
              <w:t> </w:t>
            </w:r>
          </w:p>
        </w:tc>
        <w:tc>
          <w:tcPr>
            <w:tcW w:w="0" w:type="dxa"/>
            <w:vAlign w:val="bottom"/>
          </w:tcPr>
          <w:p>
            <w:pPr>
              <w:spacing w:after="0"/>
              <w:rPr>
                <w:sz w:val="1"/>
                <w:szCs w:val="1"/>
                <w:color w:val="auto"/>
              </w:rPr>
            </w:pPr>
          </w:p>
        </w:tc>
      </w:tr>
      <w:tr>
        <w:trPr>
          <w:trHeight w:val="39"/>
        </w:trPr>
        <w:tc>
          <w:tcPr>
            <w:tcW w:w="60" w:type="dxa"/>
            <w:vAlign w:val="bottom"/>
            <w:tcBorders>
              <w:bottom w:val="single" w:sz="8" w:color="33302B"/>
            </w:tcBorders>
          </w:tcPr>
          <w:p>
            <w:pPr>
              <w:spacing w:after="0"/>
              <w:rPr>
                <w:sz w:val="3"/>
                <w:szCs w:val="3"/>
                <w:color w:val="auto"/>
              </w:rPr>
            </w:pPr>
          </w:p>
        </w:tc>
        <w:tc>
          <w:tcPr>
            <w:tcW w:w="1120" w:type="dxa"/>
            <w:vAlign w:val="bottom"/>
            <w:tcBorders>
              <w:bottom w:val="single" w:sz="8" w:color="33302B"/>
            </w:tcBorders>
          </w:tcPr>
          <w:p>
            <w:pPr>
              <w:spacing w:after="0"/>
              <w:rPr>
                <w:sz w:val="3"/>
                <w:szCs w:val="3"/>
                <w:color w:val="auto"/>
              </w:rPr>
            </w:pPr>
          </w:p>
        </w:tc>
        <w:tc>
          <w:tcPr>
            <w:tcW w:w="2580" w:type="dxa"/>
            <w:vAlign w:val="bottom"/>
            <w:tcBorders>
              <w:bottom w:val="single" w:sz="8" w:color="33302B"/>
            </w:tcBorders>
          </w:tcPr>
          <w:p>
            <w:pPr>
              <w:spacing w:after="0"/>
              <w:rPr>
                <w:sz w:val="3"/>
                <w:szCs w:val="3"/>
                <w:color w:val="auto"/>
              </w:rPr>
            </w:pPr>
          </w:p>
        </w:tc>
        <w:tc>
          <w:tcPr>
            <w:tcW w:w="4140" w:type="dxa"/>
            <w:vAlign w:val="bottom"/>
            <w:tcBorders>
              <w:bottom w:val="single" w:sz="8" w:color="33302B"/>
            </w:tcBorders>
          </w:tcPr>
          <w:p>
            <w:pPr>
              <w:spacing w:after="0"/>
              <w:rPr>
                <w:sz w:val="3"/>
                <w:szCs w:val="3"/>
                <w:color w:val="auto"/>
              </w:rPr>
            </w:pPr>
          </w:p>
        </w:tc>
        <w:tc>
          <w:tcPr>
            <w:tcW w:w="860" w:type="dxa"/>
            <w:vAlign w:val="bottom"/>
            <w:tcBorders>
              <w:bottom w:val="single" w:sz="8" w:color="33302B"/>
            </w:tcBorders>
          </w:tcPr>
          <w:p>
            <w:pPr>
              <w:spacing w:after="0"/>
              <w:rPr>
                <w:sz w:val="3"/>
                <w:szCs w:val="3"/>
                <w:color w:val="auto"/>
              </w:rPr>
            </w:pPr>
          </w:p>
        </w:tc>
        <w:tc>
          <w:tcPr>
            <w:tcW w:w="900" w:type="dxa"/>
            <w:vAlign w:val="bottom"/>
            <w:tcBorders>
              <w:bottom w:val="single" w:sz="8" w:color="33302B"/>
            </w:tcBorders>
          </w:tcPr>
          <w:p>
            <w:pPr>
              <w:spacing w:after="0"/>
              <w:rPr>
                <w:sz w:val="3"/>
                <w:szCs w:val="3"/>
                <w:color w:val="auto"/>
              </w:rPr>
            </w:pPr>
          </w:p>
        </w:tc>
        <w:tc>
          <w:tcPr>
            <w:tcW w:w="160" w:type="dxa"/>
            <w:vAlign w:val="bottom"/>
            <w:tcBorders>
              <w:bottom w:val="single" w:sz="8" w:color="33302B"/>
            </w:tcBorders>
          </w:tcPr>
          <w:p>
            <w:pPr>
              <w:spacing w:after="0"/>
              <w:rPr>
                <w:sz w:val="3"/>
                <w:szCs w:val="3"/>
                <w:color w:val="auto"/>
              </w:rPr>
            </w:pPr>
          </w:p>
        </w:tc>
        <w:tc>
          <w:tcPr>
            <w:tcW w:w="320" w:type="dxa"/>
            <w:vAlign w:val="bottom"/>
            <w:tcBorders>
              <w:bottom w:val="single" w:sz="8" w:color="33302B"/>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87,056</w:t>
            </w:r>
          </w:p>
        </w:tc>
        <w:tc>
          <w:tcPr>
            <w:tcW w:w="86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color w:val="auto"/>
              </w:rPr>
              <w:t>1,096,035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58,036</w:t>
            </w:r>
          </w:p>
        </w:tc>
        <w:tc>
          <w:tcPr>
            <w:tcW w:w="86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color w:val="auto"/>
              </w:rPr>
              <w:t>730,673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28,192</w:t>
            </w:r>
          </w:p>
        </w:tc>
        <w:tc>
          <w:tcPr>
            <w:tcW w:w="86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color w:val="auto"/>
              </w:rPr>
              <w:t>354,937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27,456</w:t>
            </w:r>
          </w:p>
        </w:tc>
        <w:tc>
          <w:tcPr>
            <w:tcW w:w="86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color w:val="auto"/>
              </w:rPr>
              <w:t>345,671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Former Executive</w:t>
            </w:r>
          </w:p>
        </w:tc>
        <w:tc>
          <w:tcPr>
            <w:tcW w:w="25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Peter W. Quigley</w:t>
            </w:r>
          </w:p>
        </w:tc>
        <w:tc>
          <w:tcPr>
            <w:tcW w:w="4140" w:type="dxa"/>
            <w:vAlign w:val="bottom"/>
          </w:tcPr>
          <w:p>
            <w:pPr>
              <w:jc w:val="right"/>
              <w:ind w:right="754"/>
              <w:spacing w:after="0"/>
              <w:rPr>
                <w:sz w:val="20"/>
                <w:szCs w:val="20"/>
                <w:color w:val="auto"/>
              </w:rPr>
            </w:pPr>
            <w:r>
              <w:rPr>
                <w:rFonts w:ascii="Arial" w:cs="Arial" w:eastAsia="Arial" w:hAnsi="Arial"/>
                <w:sz w:val="13"/>
                <w:szCs w:val="13"/>
                <w:color w:val="auto"/>
              </w:rPr>
              <w:t>272,044</w:t>
            </w:r>
          </w:p>
        </w:tc>
        <w:tc>
          <w:tcPr>
            <w:tcW w:w="860" w:type="dxa"/>
            <w:vAlign w:val="bottom"/>
          </w:tcPr>
          <w:p>
            <w:pPr>
              <w:spacing w:after="0"/>
              <w:rPr>
                <w:sz w:val="24"/>
                <w:szCs w:val="24"/>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color w:val="auto"/>
              </w:rPr>
              <w:t>3,425,034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258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60" w:type="dxa"/>
            <w:vAlign w:val="bottom"/>
            <w:vMerge w:val="restart"/>
          </w:tcPr>
          <w:p>
            <w:pPr>
              <w:ind w:left="660"/>
              <w:spacing w:after="0"/>
              <w:rPr>
                <w:sz w:val="20"/>
                <w:szCs w:val="20"/>
                <w:color w:val="auto"/>
              </w:rPr>
            </w:pPr>
            <w:r>
              <w:rPr>
                <w:rFonts w:ascii="Arial" w:cs="Arial" w:eastAsia="Arial" w:hAnsi="Arial"/>
                <w:sz w:val="20"/>
                <w:szCs w:val="20"/>
                <w:color w:val="auto"/>
                <w:w w:val="89"/>
              </w:rPr>
              <w:t> </w:t>
            </w:r>
          </w:p>
        </w:tc>
        <w:tc>
          <w:tcPr>
            <w:tcW w:w="900" w:type="dxa"/>
            <w:vAlign w:val="bottom"/>
            <w:vMerge w:val="restart"/>
          </w:tcPr>
          <w:p>
            <w:pPr>
              <w:jc w:val="right"/>
              <w:ind w:right="69"/>
              <w:spacing w:after="0"/>
              <w:rPr>
                <w:sz w:val="20"/>
                <w:szCs w:val="20"/>
                <w:color w:val="auto"/>
              </w:rPr>
            </w:pPr>
            <w:r>
              <w:rPr>
                <w:rFonts w:ascii="Arial" w:cs="Arial" w:eastAsia="Arial" w:hAnsi="Arial"/>
                <w:sz w:val="20"/>
                <w:szCs w:val="20"/>
                <w:color w:val="auto"/>
              </w:rPr>
              <w:t xml:space="preserve">  </w:t>
            </w:r>
          </w:p>
        </w:tc>
        <w:tc>
          <w:tcPr>
            <w:tcW w:w="16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Borders>
              <w:left w:val="single" w:sz="8" w:color="auto"/>
            </w:tcBorders>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733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2" w:lineRule="exact"/>
        <w:rPr>
          <w:sz w:val="20"/>
          <w:szCs w:val="20"/>
          <w:color w:val="auto"/>
        </w:rPr>
      </w:pPr>
    </w:p>
    <w:p>
      <w:pPr>
        <w:ind w:left="860" w:right="100" w:hanging="296"/>
        <w:spacing w:after="0" w:line="231" w:lineRule="auto"/>
        <w:tabs>
          <w:tab w:leader="none" w:pos="8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Amounts for named executive officers include company matching contributions to the Management Retirement Plan (“MRP”) and Medicare tax gross-ups on those MRP contributions. (See table below.) The total value of perquisites provided to each named executive officer (other than Mr. Quigley) in 2025 was less than $10,000 and, in accordance with reporting regulations, was not required to be included in this table. Mr. Layden did not receive performance shares due to his hire date.</w:t>
      </w: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80" w:type="dxa"/>
            <w:vAlign w:val="bottom"/>
          </w:tcPr>
          <w:p>
            <w:pPr>
              <w:jc w:val="center"/>
              <w:ind w:left="1014"/>
              <w:spacing w:after="0"/>
              <w:rPr>
                <w:sz w:val="20"/>
                <w:szCs w:val="20"/>
                <w:color w:val="auto"/>
              </w:rPr>
            </w:pPr>
            <w:r>
              <w:rPr>
                <w:rFonts w:ascii="Arial" w:cs="Arial" w:eastAsia="Arial" w:hAnsi="Arial"/>
                <w:sz w:val="13"/>
                <w:szCs w:val="13"/>
                <w:b w:val="1"/>
                <w:bCs w:val="1"/>
                <w:color w:val="00AE4F"/>
              </w:rPr>
              <w:t>Company</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AE4F"/>
              </w:rPr>
              <w:t>MRP</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AE4F"/>
                <w:w w:val="98"/>
              </w:rPr>
              <w:t>Transition</w:t>
            </w:r>
          </w:p>
        </w:tc>
        <w:tc>
          <w:tcPr>
            <w:tcW w:w="1380" w:type="dxa"/>
            <w:vAlign w:val="bottom"/>
          </w:tcPr>
          <w:p>
            <w:pPr>
              <w:jc w:val="center"/>
              <w:ind w:left="274"/>
              <w:spacing w:after="0"/>
              <w:rPr>
                <w:sz w:val="20"/>
                <w:szCs w:val="20"/>
                <w:color w:val="auto"/>
              </w:rPr>
            </w:pPr>
            <w:r>
              <w:rPr>
                <w:rFonts w:ascii="Arial" w:cs="Arial" w:eastAsia="Arial" w:hAnsi="Arial"/>
                <w:sz w:val="13"/>
                <w:szCs w:val="13"/>
                <w:b w:val="1"/>
                <w:bCs w:val="1"/>
                <w:color w:val="00AE4F"/>
              </w:rPr>
              <w:t>Total All</w:t>
            </w:r>
          </w:p>
        </w:tc>
      </w:tr>
      <w:tr>
        <w:trPr>
          <w:trHeight w:val="149"/>
        </w:trPr>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80" w:type="dxa"/>
            <w:vAlign w:val="bottom"/>
          </w:tcPr>
          <w:p>
            <w:pPr>
              <w:jc w:val="center"/>
              <w:ind w:left="1014"/>
              <w:spacing w:after="0"/>
              <w:rPr>
                <w:sz w:val="20"/>
                <w:szCs w:val="20"/>
                <w:color w:val="auto"/>
              </w:rPr>
            </w:pPr>
            <w:r>
              <w:rPr>
                <w:rFonts w:ascii="Arial" w:cs="Arial" w:eastAsia="Arial" w:hAnsi="Arial"/>
                <w:sz w:val="13"/>
                <w:szCs w:val="13"/>
                <w:b w:val="1"/>
                <w:bCs w:val="1"/>
                <w:color w:val="00AE4F"/>
              </w:rPr>
              <w:t>Matching MRP</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AE4F"/>
              </w:rPr>
              <w:t>Medicare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AE4F"/>
              </w:rPr>
              <w:t>Advisory</w:t>
            </w:r>
          </w:p>
        </w:tc>
        <w:tc>
          <w:tcPr>
            <w:tcW w:w="1380" w:type="dxa"/>
            <w:vAlign w:val="bottom"/>
          </w:tcPr>
          <w:p>
            <w:pPr>
              <w:jc w:val="center"/>
              <w:ind w:left="274"/>
              <w:spacing w:after="0"/>
              <w:rPr>
                <w:sz w:val="20"/>
                <w:szCs w:val="20"/>
                <w:color w:val="auto"/>
              </w:rPr>
            </w:pPr>
            <w:r>
              <w:rPr>
                <w:rFonts w:ascii="Arial" w:cs="Arial" w:eastAsia="Arial" w:hAnsi="Arial"/>
                <w:sz w:val="13"/>
                <w:szCs w:val="13"/>
                <w:b w:val="1"/>
                <w:bCs w:val="1"/>
                <w:color w:val="00AE4F"/>
              </w:rPr>
              <w:t>Other</w:t>
            </w:r>
          </w:p>
        </w:tc>
      </w:tr>
      <w:tr>
        <w:trPr>
          <w:trHeight w:val="180"/>
        </w:trPr>
        <w:tc>
          <w:tcPr>
            <w:tcW w:w="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00AE4F"/>
              </w:rPr>
              <w:t>Name</w:t>
            </w:r>
          </w:p>
        </w:tc>
        <w:tc>
          <w:tcPr>
            <w:tcW w:w="2680" w:type="dxa"/>
            <w:vAlign w:val="bottom"/>
            <w:tcBorders>
              <w:bottom w:val="single" w:sz="8" w:color="auto"/>
            </w:tcBorders>
          </w:tcPr>
          <w:p>
            <w:pPr>
              <w:jc w:val="center"/>
              <w:ind w:left="994"/>
              <w:spacing w:after="0"/>
              <w:rPr>
                <w:sz w:val="20"/>
                <w:szCs w:val="20"/>
                <w:color w:val="auto"/>
              </w:rPr>
            </w:pPr>
            <w:r>
              <w:rPr>
                <w:rFonts w:ascii="Arial" w:cs="Arial" w:eastAsia="Arial" w:hAnsi="Arial"/>
                <w:sz w:val="13"/>
                <w:szCs w:val="13"/>
                <w:b w:val="1"/>
                <w:bCs w:val="1"/>
                <w:color w:val="00AE4F"/>
              </w:rPr>
              <w:t>Contributions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Gross-ups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Services</w:t>
            </w:r>
          </w:p>
        </w:tc>
        <w:tc>
          <w:tcPr>
            <w:tcW w:w="1380" w:type="dxa"/>
            <w:vAlign w:val="bottom"/>
            <w:tcBorders>
              <w:bottom w:val="single" w:sz="8" w:color="auto"/>
            </w:tcBorders>
          </w:tcPr>
          <w:p>
            <w:pPr>
              <w:jc w:val="center"/>
              <w:ind w:left="274"/>
              <w:spacing w:after="0"/>
              <w:rPr>
                <w:sz w:val="20"/>
                <w:szCs w:val="20"/>
                <w:color w:val="auto"/>
              </w:rPr>
            </w:pPr>
            <w:r>
              <w:rPr>
                <w:rFonts w:ascii="Arial" w:cs="Arial" w:eastAsia="Arial" w:hAnsi="Arial"/>
                <w:sz w:val="13"/>
                <w:szCs w:val="13"/>
                <w:b w:val="1"/>
                <w:bCs w:val="1"/>
                <w:color w:val="00AE4F"/>
              </w:rPr>
              <w:t>Compensation</w:t>
            </w:r>
          </w:p>
        </w:tc>
      </w:tr>
      <w:tr>
        <w:trPr>
          <w:trHeight w:val="215"/>
        </w:trPr>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2680" w:type="dxa"/>
            <w:vAlign w:val="bottom"/>
          </w:tcPr>
          <w:p>
            <w:pPr>
              <w:jc w:val="right"/>
              <w:ind w:right="534"/>
              <w:spacing w:after="0"/>
              <w:rPr>
                <w:sz w:val="20"/>
                <w:szCs w:val="20"/>
                <w:color w:val="auto"/>
              </w:rPr>
            </w:pPr>
            <w:r>
              <w:rPr>
                <w:rFonts w:ascii="Arial" w:cs="Arial" w:eastAsia="Arial" w:hAnsi="Arial"/>
                <w:sz w:val="13"/>
                <w:szCs w:val="13"/>
                <w:color w:val="auto"/>
              </w:rPr>
              <w:t>— </w:t>
            </w:r>
          </w:p>
        </w:tc>
        <w:tc>
          <w:tcPr>
            <w:tcW w:w="1440" w:type="dxa"/>
            <w:vAlign w:val="bottom"/>
          </w:tcPr>
          <w:p>
            <w:pPr>
              <w:jc w:val="right"/>
              <w:ind w:right="534"/>
              <w:spacing w:after="0"/>
              <w:rPr>
                <w:sz w:val="20"/>
                <w:szCs w:val="20"/>
                <w:color w:val="auto"/>
              </w:rPr>
            </w:pPr>
            <w:r>
              <w:rPr>
                <w:rFonts w:ascii="Arial" w:cs="Arial" w:eastAsia="Arial" w:hAnsi="Arial"/>
                <w:sz w:val="13"/>
                <w:szCs w:val="13"/>
                <w:color w:val="auto"/>
              </w:rPr>
              <w:t>— </w:t>
            </w:r>
          </w:p>
        </w:tc>
        <w:tc>
          <w:tcPr>
            <w:tcW w:w="1440" w:type="dxa"/>
            <w:vAlign w:val="bottom"/>
          </w:tcPr>
          <w:p>
            <w:pPr>
              <w:ind w:left="760"/>
              <w:spacing w:after="0"/>
              <w:rPr>
                <w:sz w:val="20"/>
                <w:szCs w:val="20"/>
                <w:color w:val="auto"/>
              </w:rPr>
            </w:pPr>
            <w:r>
              <w:rPr>
                <w:rFonts w:ascii="Arial" w:cs="Arial" w:eastAsia="Arial" w:hAnsi="Arial"/>
                <w:sz w:val="13"/>
                <w:szCs w:val="13"/>
                <w:color w:val="auto"/>
              </w:rPr>
              <w:t>— </w:t>
            </w:r>
          </w:p>
        </w:tc>
        <w:tc>
          <w:tcPr>
            <w:tcW w:w="1380" w:type="dxa"/>
            <w:vAlign w:val="bottom"/>
          </w:tcPr>
          <w:p>
            <w:pPr>
              <w:jc w:val="right"/>
              <w:ind w:right="234"/>
              <w:spacing w:after="0"/>
              <w:rPr>
                <w:sz w:val="20"/>
                <w:szCs w:val="20"/>
                <w:color w:val="auto"/>
              </w:rPr>
            </w:pPr>
            <w:r>
              <w:rPr>
                <w:rFonts w:ascii="Arial" w:cs="Arial" w:eastAsia="Arial" w:hAnsi="Arial"/>
                <w:sz w:val="13"/>
                <w:szCs w:val="13"/>
                <w:color w:val="auto"/>
              </w:rPr>
              <w:t>— </w:t>
            </w:r>
          </w:p>
        </w:tc>
      </w:tr>
      <w:tr>
        <w:trPr>
          <w:trHeight w:val="39"/>
        </w:trPr>
        <w:tc>
          <w:tcPr>
            <w:tcW w:w="6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72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2680" w:type="dxa"/>
            <w:vAlign w:val="bottom"/>
          </w:tcPr>
          <w:p>
            <w:pPr>
              <w:jc w:val="right"/>
              <w:ind w:right="514"/>
              <w:spacing w:after="0"/>
              <w:rPr>
                <w:sz w:val="20"/>
                <w:szCs w:val="20"/>
                <w:color w:val="auto"/>
              </w:rPr>
            </w:pPr>
            <w:r>
              <w:rPr>
                <w:rFonts w:ascii="Arial" w:cs="Arial" w:eastAsia="Arial" w:hAnsi="Arial"/>
                <w:sz w:val="13"/>
                <w:szCs w:val="13"/>
                <w:color w:val="auto"/>
              </w:rPr>
              <w:t>32,500</w:t>
            </w:r>
          </w:p>
        </w:tc>
        <w:tc>
          <w:tcPr>
            <w:tcW w:w="1440" w:type="dxa"/>
            <w:vAlign w:val="bottom"/>
          </w:tcPr>
          <w:p>
            <w:pPr>
              <w:jc w:val="right"/>
              <w:ind w:right="534"/>
              <w:spacing w:after="0"/>
              <w:rPr>
                <w:sz w:val="20"/>
                <w:szCs w:val="20"/>
                <w:color w:val="auto"/>
              </w:rPr>
            </w:pPr>
            <w:r>
              <w:rPr>
                <w:rFonts w:ascii="Arial" w:cs="Arial" w:eastAsia="Arial" w:hAnsi="Arial"/>
                <w:sz w:val="13"/>
                <w:szCs w:val="13"/>
                <w:color w:val="auto"/>
              </w:rPr>
              <w:t>— </w:t>
            </w:r>
          </w:p>
        </w:tc>
        <w:tc>
          <w:tcPr>
            <w:tcW w:w="1440" w:type="dxa"/>
            <w:vAlign w:val="bottom"/>
          </w:tcPr>
          <w:p>
            <w:pPr>
              <w:ind w:left="760"/>
              <w:spacing w:after="0"/>
              <w:rPr>
                <w:sz w:val="20"/>
                <w:szCs w:val="20"/>
                <w:color w:val="auto"/>
              </w:rPr>
            </w:pPr>
            <w:r>
              <w:rPr>
                <w:rFonts w:ascii="Arial" w:cs="Arial" w:eastAsia="Arial" w:hAnsi="Arial"/>
                <w:sz w:val="13"/>
                <w:szCs w:val="13"/>
                <w:color w:val="auto"/>
              </w:rPr>
              <w:t>— </w:t>
            </w:r>
          </w:p>
        </w:tc>
        <w:tc>
          <w:tcPr>
            <w:tcW w:w="1380" w:type="dxa"/>
            <w:vAlign w:val="bottom"/>
          </w:tcPr>
          <w:p>
            <w:pPr>
              <w:jc w:val="right"/>
              <w:ind w:right="194"/>
              <w:spacing w:after="0"/>
              <w:rPr>
                <w:sz w:val="20"/>
                <w:szCs w:val="20"/>
                <w:color w:val="auto"/>
              </w:rPr>
            </w:pPr>
            <w:r>
              <w:rPr>
                <w:rFonts w:ascii="Arial" w:cs="Arial" w:eastAsia="Arial" w:hAnsi="Arial"/>
                <w:sz w:val="13"/>
                <w:szCs w:val="13"/>
                <w:color w:val="auto"/>
              </w:rPr>
              <w:t>32,500</w:t>
            </w:r>
          </w:p>
        </w:tc>
      </w:tr>
      <w:tr>
        <w:trPr>
          <w:trHeight w:val="39"/>
        </w:trPr>
        <w:tc>
          <w:tcPr>
            <w:tcW w:w="6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72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2680" w:type="dxa"/>
            <w:vAlign w:val="bottom"/>
          </w:tcPr>
          <w:p>
            <w:pPr>
              <w:jc w:val="right"/>
              <w:ind w:right="514"/>
              <w:spacing w:after="0"/>
              <w:rPr>
                <w:sz w:val="20"/>
                <w:szCs w:val="20"/>
                <w:color w:val="auto"/>
              </w:rPr>
            </w:pPr>
            <w:r>
              <w:rPr>
                <w:rFonts w:ascii="Arial" w:cs="Arial" w:eastAsia="Arial" w:hAnsi="Arial"/>
                <w:sz w:val="13"/>
                <w:szCs w:val="13"/>
                <w:color w:val="auto"/>
              </w:rPr>
              <w:t>5,182</w:t>
            </w:r>
          </w:p>
        </w:tc>
        <w:tc>
          <w:tcPr>
            <w:tcW w:w="1440" w:type="dxa"/>
            <w:vAlign w:val="bottom"/>
          </w:tcPr>
          <w:p>
            <w:pPr>
              <w:jc w:val="right"/>
              <w:ind w:right="494"/>
              <w:spacing w:after="0"/>
              <w:rPr>
                <w:sz w:val="20"/>
                <w:szCs w:val="20"/>
                <w:color w:val="auto"/>
              </w:rPr>
            </w:pPr>
            <w:r>
              <w:rPr>
                <w:rFonts w:ascii="Arial" w:cs="Arial" w:eastAsia="Arial" w:hAnsi="Arial"/>
                <w:sz w:val="13"/>
                <w:szCs w:val="13"/>
                <w:color w:val="auto"/>
              </w:rPr>
              <w:t>581</w:t>
            </w:r>
          </w:p>
        </w:tc>
        <w:tc>
          <w:tcPr>
            <w:tcW w:w="1440" w:type="dxa"/>
            <w:vAlign w:val="bottom"/>
          </w:tcPr>
          <w:p>
            <w:pPr>
              <w:ind w:left="760"/>
              <w:spacing w:after="0"/>
              <w:rPr>
                <w:sz w:val="20"/>
                <w:szCs w:val="20"/>
                <w:color w:val="auto"/>
              </w:rPr>
            </w:pPr>
            <w:r>
              <w:rPr>
                <w:rFonts w:ascii="Arial" w:cs="Arial" w:eastAsia="Arial" w:hAnsi="Arial"/>
                <w:sz w:val="13"/>
                <w:szCs w:val="13"/>
                <w:color w:val="auto"/>
              </w:rPr>
              <w:t>— </w:t>
            </w:r>
          </w:p>
        </w:tc>
        <w:tc>
          <w:tcPr>
            <w:tcW w:w="1380" w:type="dxa"/>
            <w:vAlign w:val="bottom"/>
          </w:tcPr>
          <w:p>
            <w:pPr>
              <w:jc w:val="right"/>
              <w:ind w:right="194"/>
              <w:spacing w:after="0"/>
              <w:rPr>
                <w:sz w:val="20"/>
                <w:szCs w:val="20"/>
                <w:color w:val="auto"/>
              </w:rPr>
            </w:pPr>
            <w:r>
              <w:rPr>
                <w:rFonts w:ascii="Arial" w:cs="Arial" w:eastAsia="Arial" w:hAnsi="Arial"/>
                <w:sz w:val="13"/>
                <w:szCs w:val="13"/>
                <w:color w:val="auto"/>
              </w:rPr>
              <w:t>5,763</w:t>
            </w:r>
          </w:p>
        </w:tc>
      </w:tr>
      <w:tr>
        <w:trPr>
          <w:trHeight w:val="39"/>
        </w:trPr>
        <w:tc>
          <w:tcPr>
            <w:tcW w:w="6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72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2680" w:type="dxa"/>
            <w:vAlign w:val="bottom"/>
          </w:tcPr>
          <w:p>
            <w:pPr>
              <w:jc w:val="right"/>
              <w:ind w:right="514"/>
              <w:spacing w:after="0"/>
              <w:rPr>
                <w:sz w:val="20"/>
                <w:szCs w:val="20"/>
                <w:color w:val="auto"/>
              </w:rPr>
            </w:pPr>
            <w:r>
              <w:rPr>
                <w:rFonts w:ascii="Arial" w:cs="Arial" w:eastAsia="Arial" w:hAnsi="Arial"/>
                <w:sz w:val="13"/>
                <w:szCs w:val="13"/>
                <w:color w:val="auto"/>
              </w:rPr>
              <w:t>20,936</w:t>
            </w:r>
          </w:p>
        </w:tc>
        <w:tc>
          <w:tcPr>
            <w:tcW w:w="1440" w:type="dxa"/>
            <w:vAlign w:val="bottom"/>
          </w:tcPr>
          <w:p>
            <w:pPr>
              <w:jc w:val="right"/>
              <w:ind w:right="494"/>
              <w:spacing w:after="0"/>
              <w:rPr>
                <w:sz w:val="20"/>
                <w:szCs w:val="20"/>
                <w:color w:val="auto"/>
              </w:rPr>
            </w:pPr>
            <w:r>
              <w:rPr>
                <w:rFonts w:ascii="Arial" w:cs="Arial" w:eastAsia="Arial" w:hAnsi="Arial"/>
                <w:sz w:val="13"/>
                <w:szCs w:val="13"/>
                <w:color w:val="auto"/>
              </w:rPr>
              <w:t>349</w:t>
            </w:r>
          </w:p>
        </w:tc>
        <w:tc>
          <w:tcPr>
            <w:tcW w:w="1440" w:type="dxa"/>
            <w:vAlign w:val="bottom"/>
          </w:tcPr>
          <w:p>
            <w:pPr>
              <w:ind w:left="760"/>
              <w:spacing w:after="0"/>
              <w:rPr>
                <w:sz w:val="20"/>
                <w:szCs w:val="20"/>
                <w:color w:val="auto"/>
              </w:rPr>
            </w:pPr>
            <w:r>
              <w:rPr>
                <w:rFonts w:ascii="Arial" w:cs="Arial" w:eastAsia="Arial" w:hAnsi="Arial"/>
                <w:sz w:val="13"/>
                <w:szCs w:val="13"/>
                <w:color w:val="auto"/>
              </w:rPr>
              <w:t>— </w:t>
            </w:r>
          </w:p>
        </w:tc>
        <w:tc>
          <w:tcPr>
            <w:tcW w:w="1380" w:type="dxa"/>
            <w:vAlign w:val="bottom"/>
          </w:tcPr>
          <w:p>
            <w:pPr>
              <w:jc w:val="right"/>
              <w:ind w:right="194"/>
              <w:spacing w:after="0"/>
              <w:rPr>
                <w:sz w:val="20"/>
                <w:szCs w:val="20"/>
                <w:color w:val="auto"/>
              </w:rPr>
            </w:pPr>
            <w:r>
              <w:rPr>
                <w:rFonts w:ascii="Arial" w:cs="Arial" w:eastAsia="Arial" w:hAnsi="Arial"/>
                <w:sz w:val="13"/>
                <w:szCs w:val="13"/>
                <w:color w:val="auto"/>
              </w:rPr>
              <w:t>21,285</w:t>
            </w:r>
          </w:p>
        </w:tc>
      </w:tr>
      <w:tr>
        <w:trPr>
          <w:trHeight w:val="39"/>
        </w:trPr>
        <w:tc>
          <w:tcPr>
            <w:tcW w:w="6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72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2680" w:type="dxa"/>
            <w:vAlign w:val="bottom"/>
          </w:tcPr>
          <w:p>
            <w:pPr>
              <w:jc w:val="right"/>
              <w:ind w:right="514"/>
              <w:spacing w:after="0"/>
              <w:rPr>
                <w:sz w:val="20"/>
                <w:szCs w:val="20"/>
                <w:color w:val="auto"/>
              </w:rPr>
            </w:pPr>
            <w:r>
              <w:rPr>
                <w:rFonts w:ascii="Arial" w:cs="Arial" w:eastAsia="Arial" w:hAnsi="Arial"/>
                <w:sz w:val="13"/>
                <w:szCs w:val="13"/>
                <w:color w:val="auto"/>
              </w:rPr>
              <w:t>30,594</w:t>
            </w:r>
          </w:p>
        </w:tc>
        <w:tc>
          <w:tcPr>
            <w:tcW w:w="1440" w:type="dxa"/>
            <w:vAlign w:val="bottom"/>
          </w:tcPr>
          <w:p>
            <w:pPr>
              <w:jc w:val="right"/>
              <w:ind w:right="494"/>
              <w:spacing w:after="0"/>
              <w:rPr>
                <w:sz w:val="20"/>
                <w:szCs w:val="20"/>
                <w:color w:val="auto"/>
              </w:rPr>
            </w:pPr>
            <w:r>
              <w:rPr>
                <w:rFonts w:ascii="Arial" w:cs="Arial" w:eastAsia="Arial" w:hAnsi="Arial"/>
                <w:sz w:val="13"/>
                <w:szCs w:val="13"/>
                <w:color w:val="auto"/>
              </w:rPr>
              <w:t>351</w:t>
            </w:r>
          </w:p>
        </w:tc>
        <w:tc>
          <w:tcPr>
            <w:tcW w:w="1440" w:type="dxa"/>
            <w:vAlign w:val="bottom"/>
          </w:tcPr>
          <w:p>
            <w:pPr>
              <w:ind w:left="760"/>
              <w:spacing w:after="0"/>
              <w:rPr>
                <w:sz w:val="20"/>
                <w:szCs w:val="20"/>
                <w:color w:val="auto"/>
              </w:rPr>
            </w:pPr>
            <w:r>
              <w:rPr>
                <w:rFonts w:ascii="Arial" w:cs="Arial" w:eastAsia="Arial" w:hAnsi="Arial"/>
                <w:sz w:val="13"/>
                <w:szCs w:val="13"/>
                <w:color w:val="auto"/>
              </w:rPr>
              <w:t>— </w:t>
            </w:r>
          </w:p>
        </w:tc>
        <w:tc>
          <w:tcPr>
            <w:tcW w:w="1380" w:type="dxa"/>
            <w:vAlign w:val="bottom"/>
          </w:tcPr>
          <w:p>
            <w:pPr>
              <w:jc w:val="right"/>
              <w:ind w:right="194"/>
              <w:spacing w:after="0"/>
              <w:rPr>
                <w:sz w:val="20"/>
                <w:szCs w:val="20"/>
                <w:color w:val="auto"/>
              </w:rPr>
            </w:pPr>
            <w:r>
              <w:rPr>
                <w:rFonts w:ascii="Arial" w:cs="Arial" w:eastAsia="Arial" w:hAnsi="Arial"/>
                <w:sz w:val="13"/>
                <w:szCs w:val="13"/>
                <w:color w:val="auto"/>
              </w:rPr>
              <w:t>30,945</w:t>
            </w:r>
          </w:p>
        </w:tc>
      </w:tr>
      <w:tr>
        <w:trPr>
          <w:trHeight w:val="39"/>
        </w:trPr>
        <w:tc>
          <w:tcPr>
            <w:tcW w:w="6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72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r>
      <w:tr>
        <w:trPr>
          <w:trHeight w:val="178"/>
        </w:trPr>
        <w:tc>
          <w:tcPr>
            <w:tcW w:w="6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Former Executive</w:t>
            </w:r>
          </w:p>
        </w:tc>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88"/>
        </w:trPr>
        <w:tc>
          <w:tcPr>
            <w:tcW w:w="60" w:type="dxa"/>
            <w:vAlign w:val="bottom"/>
          </w:tcPr>
          <w:p>
            <w:pPr>
              <w:spacing w:after="0"/>
              <w:rPr>
                <w:sz w:val="24"/>
                <w:szCs w:val="24"/>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Peter W. Quigley</w:t>
            </w:r>
          </w:p>
        </w:tc>
        <w:tc>
          <w:tcPr>
            <w:tcW w:w="1720" w:type="dxa"/>
            <w:vAlign w:val="bottom"/>
          </w:tcPr>
          <w:p>
            <w:pPr>
              <w:spacing w:after="0"/>
              <w:rPr>
                <w:sz w:val="24"/>
                <w:szCs w:val="24"/>
                <w:color w:val="auto"/>
              </w:rPr>
            </w:pPr>
          </w:p>
        </w:tc>
        <w:tc>
          <w:tcPr>
            <w:tcW w:w="2680" w:type="dxa"/>
            <w:vAlign w:val="bottom"/>
          </w:tcPr>
          <w:p>
            <w:pPr>
              <w:jc w:val="right"/>
              <w:ind w:right="514"/>
              <w:spacing w:after="0"/>
              <w:rPr>
                <w:sz w:val="20"/>
                <w:szCs w:val="20"/>
                <w:color w:val="auto"/>
              </w:rPr>
            </w:pPr>
            <w:r>
              <w:rPr>
                <w:rFonts w:ascii="Arial" w:cs="Arial" w:eastAsia="Arial" w:hAnsi="Arial"/>
                <w:sz w:val="13"/>
                <w:szCs w:val="13"/>
                <w:color w:val="auto"/>
              </w:rPr>
              <w:t>77,957</w:t>
            </w:r>
          </w:p>
        </w:tc>
        <w:tc>
          <w:tcPr>
            <w:tcW w:w="1440" w:type="dxa"/>
            <w:vAlign w:val="bottom"/>
          </w:tcPr>
          <w:p>
            <w:pPr>
              <w:jc w:val="right"/>
              <w:ind w:right="494"/>
              <w:spacing w:after="0"/>
              <w:rPr>
                <w:sz w:val="20"/>
                <w:szCs w:val="20"/>
                <w:color w:val="auto"/>
              </w:rPr>
            </w:pPr>
            <w:r>
              <w:rPr>
                <w:rFonts w:ascii="Arial" w:cs="Arial" w:eastAsia="Arial" w:hAnsi="Arial"/>
                <w:sz w:val="13"/>
                <w:szCs w:val="13"/>
                <w:color w:val="auto"/>
              </w:rPr>
              <w:t>2,789</w:t>
            </w:r>
          </w:p>
        </w:tc>
        <w:tc>
          <w:tcPr>
            <w:tcW w:w="1440" w:type="dxa"/>
            <w:vAlign w:val="bottom"/>
          </w:tcPr>
          <w:p>
            <w:pPr>
              <w:ind w:left="560"/>
              <w:spacing w:after="0"/>
              <w:rPr>
                <w:sz w:val="20"/>
                <w:szCs w:val="20"/>
                <w:color w:val="auto"/>
              </w:rPr>
            </w:pPr>
            <w:r>
              <w:rPr>
                <w:rFonts w:ascii="Arial" w:cs="Arial" w:eastAsia="Arial" w:hAnsi="Arial"/>
                <w:sz w:val="13"/>
                <w:szCs w:val="13"/>
                <w:color w:val="auto"/>
              </w:rPr>
              <w:t>40,385</w:t>
            </w:r>
          </w:p>
        </w:tc>
        <w:tc>
          <w:tcPr>
            <w:tcW w:w="1380" w:type="dxa"/>
            <w:vAlign w:val="bottom"/>
          </w:tcPr>
          <w:p>
            <w:pPr>
              <w:jc w:val="right"/>
              <w:ind w:right="194"/>
              <w:spacing w:after="0"/>
              <w:rPr>
                <w:sz w:val="20"/>
                <w:szCs w:val="20"/>
                <w:color w:val="auto"/>
              </w:rPr>
            </w:pPr>
            <w:r>
              <w:rPr>
                <w:rFonts w:ascii="Arial" w:cs="Arial" w:eastAsia="Arial" w:hAnsi="Arial"/>
                <w:sz w:val="13"/>
                <w:szCs w:val="13"/>
                <w:color w:val="auto"/>
              </w:rPr>
              <w:t>121,131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24765</wp:posOffset>
            </wp:positionV>
            <wp:extent cx="622998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29985" cy="7620"/>
                    </a:xfrm>
                    <a:prstGeom prst="rect">
                      <a:avLst/>
                    </a:prstGeom>
                    <a:noFill/>
                  </pic:spPr>
                </pic:pic>
              </a:graphicData>
            </a:graphic>
          </wp:anchor>
        </w:drawing>
      </w:r>
    </w:p>
    <w:p>
      <w:pPr>
        <w:spacing w:after="0" w:line="90" w:lineRule="exact"/>
        <w:rPr>
          <w:sz w:val="20"/>
          <w:szCs w:val="20"/>
          <w:color w:val="auto"/>
        </w:rPr>
      </w:pPr>
    </w:p>
    <w:p>
      <w:pPr>
        <w:ind w:left="860" w:right="120" w:hanging="296"/>
        <w:spacing w:after="0" w:line="238" w:lineRule="auto"/>
        <w:tabs>
          <w:tab w:leader="none" w:pos="8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amount reported for Mr. Quigley includes his continued pay as a consultant in 2025 and any additional compensation presented in the Potential Payments Upon Termination or Change in Control 2025 section.</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Grants of Plan-Based Awards 2025</w:t>
      </w:r>
      <w:r>
        <w:rPr>
          <w:rFonts w:ascii="Arial" w:cs="Arial" w:eastAsia="Arial" w:hAnsi="Arial"/>
          <w:sz w:val="14"/>
          <w:szCs w:val="14"/>
          <w:b w:val="1"/>
          <w:bCs w:val="1"/>
          <w:color w:val="auto"/>
        </w:rPr>
        <w:t>(1)</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All Other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AE4F"/>
              </w:rPr>
              <w:t>Grant</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0" w:type="dxa"/>
            <w:vAlign w:val="bottom"/>
            <w:gridSpan w:val="3"/>
          </w:tcPr>
          <w:p>
            <w:pPr>
              <w:jc w:val="center"/>
              <w:spacing w:after="0"/>
              <w:rPr>
                <w:sz w:val="20"/>
                <w:szCs w:val="20"/>
                <w:color w:val="auto"/>
              </w:rPr>
            </w:pPr>
            <w:r>
              <w:rPr>
                <w:rFonts w:ascii="Arial" w:cs="Arial" w:eastAsia="Arial" w:hAnsi="Arial"/>
                <w:sz w:val="13"/>
                <w:szCs w:val="13"/>
                <w:b w:val="1"/>
                <w:bCs w:val="1"/>
                <w:color w:val="00AE4F"/>
              </w:rPr>
              <w:t>Estimated Future Payouts</w:t>
            </w: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00AE4F"/>
              </w:rPr>
              <w:t>Estimated Future Payouts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w w:val="99"/>
              </w:rPr>
              <w:t>Stock Awards: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AE4F"/>
              </w:rPr>
              <w:t>Date Fair</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00AE4F"/>
              </w:rPr>
              <w:t>Under Non-Equity Incentive</w:t>
            </w:r>
          </w:p>
        </w:tc>
        <w:tc>
          <w:tcPr>
            <w:tcW w:w="20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00AE4F"/>
              </w:rPr>
              <w:t>Under Equity Incentive Plan</w:t>
            </w: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Number of</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Value of</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0" w:type="dxa"/>
            <w:vAlign w:val="bottom"/>
            <w:gridSpan w:val="3"/>
          </w:tcPr>
          <w:p>
            <w:pPr>
              <w:jc w:val="center"/>
              <w:spacing w:after="0" w:line="154" w:lineRule="exact"/>
              <w:rPr>
                <w:sz w:val="20"/>
                <w:szCs w:val="20"/>
                <w:color w:val="auto"/>
              </w:rPr>
            </w:pPr>
            <w:r>
              <w:rPr>
                <w:rFonts w:ascii="Arial" w:cs="Arial" w:eastAsia="Arial" w:hAnsi="Arial"/>
                <w:sz w:val="12"/>
                <w:szCs w:val="12"/>
                <w:b w:val="1"/>
                <w:bCs w:val="1"/>
                <w:color w:val="00AE4F"/>
              </w:rPr>
              <w:t>Plan Awards</w:t>
            </w:r>
            <w:r>
              <w:rPr>
                <w:rFonts w:ascii="Arial" w:cs="Arial" w:eastAsia="Arial" w:hAnsi="Arial"/>
                <w:sz w:val="17"/>
                <w:szCs w:val="17"/>
                <w:b w:val="1"/>
                <w:bCs w:val="1"/>
                <w:color w:val="00AE4F"/>
                <w:vertAlign w:val="superscript"/>
              </w:rPr>
              <w:t>(3)</w:t>
            </w:r>
          </w:p>
        </w:tc>
        <w:tc>
          <w:tcPr>
            <w:tcW w:w="70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2"/>
                <w:szCs w:val="12"/>
                <w:b w:val="1"/>
                <w:bCs w:val="1"/>
                <w:color w:val="00AE4F"/>
              </w:rPr>
              <w:t>Awards</w:t>
            </w:r>
            <w:r>
              <w:rPr>
                <w:rFonts w:ascii="Arial" w:cs="Arial" w:eastAsia="Arial" w:hAnsi="Arial"/>
                <w:sz w:val="17"/>
                <w:szCs w:val="17"/>
                <w:b w:val="1"/>
                <w:bCs w:val="1"/>
                <w:color w:val="00AE4F"/>
                <w:vertAlign w:val="superscript"/>
              </w:rPr>
              <w:t>(4)</w:t>
            </w:r>
          </w:p>
        </w:tc>
        <w:tc>
          <w:tcPr>
            <w:tcW w:w="6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Shares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AE4F"/>
              </w:rPr>
              <w:t>Stock and</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00AE4F"/>
              </w:rPr>
              <w:t>Stock or</w:t>
            </w:r>
          </w:p>
        </w:tc>
        <w:tc>
          <w:tcPr>
            <w:tcW w:w="70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00AE4F"/>
              </w:rPr>
              <w:t>Option</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jc w:val="center"/>
              <w:ind w:left="574"/>
              <w:spacing w:after="0"/>
              <w:rPr>
                <w:sz w:val="20"/>
                <w:szCs w:val="20"/>
                <w:color w:val="auto"/>
              </w:rPr>
            </w:pPr>
            <w:r>
              <w:rPr>
                <w:rFonts w:ascii="Arial" w:cs="Arial" w:eastAsia="Arial" w:hAnsi="Arial"/>
                <w:sz w:val="13"/>
                <w:szCs w:val="13"/>
                <w:b w:val="1"/>
                <w:bCs w:val="1"/>
                <w:color w:val="00AE4F"/>
              </w:rPr>
              <w:t>Grant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00AE4F"/>
              </w:rPr>
              <w:t>Approval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AE4F"/>
              </w:rPr>
              <w:t>Threshold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AE4F"/>
              </w:rPr>
              <w:t>Target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AE4F"/>
                <w:w w:val="99"/>
              </w:rPr>
              <w:t>Maximum</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AE4F"/>
              </w:rPr>
              <w:t>Threshold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00AE4F"/>
              </w:rPr>
              <w:t>Target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AE4F"/>
                <w:w w:val="99"/>
              </w:rPr>
              <w:t>Maximum</w:t>
            </w:r>
          </w:p>
        </w:tc>
        <w:tc>
          <w:tcPr>
            <w:tcW w:w="1020" w:type="dxa"/>
            <w:vAlign w:val="bottom"/>
          </w:tcPr>
          <w:p>
            <w:pPr>
              <w:jc w:val="center"/>
              <w:spacing w:after="0" w:line="149" w:lineRule="exact"/>
              <w:rPr>
                <w:sz w:val="20"/>
                <w:szCs w:val="20"/>
                <w:color w:val="auto"/>
              </w:rPr>
            </w:pPr>
            <w:r>
              <w:rPr>
                <w:rFonts w:ascii="Arial" w:cs="Arial" w:eastAsia="Arial" w:hAnsi="Arial"/>
                <w:sz w:val="12"/>
                <w:szCs w:val="12"/>
                <w:b w:val="1"/>
                <w:bCs w:val="1"/>
                <w:color w:val="00AE4F"/>
              </w:rPr>
              <w:t>Units</w:t>
            </w:r>
            <w:r>
              <w:rPr>
                <w:rFonts w:ascii="Arial" w:cs="Arial" w:eastAsia="Arial" w:hAnsi="Arial"/>
                <w:sz w:val="17"/>
                <w:szCs w:val="17"/>
                <w:b w:val="1"/>
                <w:bCs w:val="1"/>
                <w:color w:val="00AE4F"/>
                <w:vertAlign w:val="superscript"/>
              </w:rPr>
              <w:t>(5)</w:t>
            </w:r>
          </w:p>
        </w:tc>
        <w:tc>
          <w:tcPr>
            <w:tcW w:w="700" w:type="dxa"/>
            <w:vAlign w:val="bottom"/>
          </w:tcPr>
          <w:p>
            <w:pPr>
              <w:jc w:val="center"/>
              <w:spacing w:after="0" w:line="149" w:lineRule="exact"/>
              <w:rPr>
                <w:sz w:val="20"/>
                <w:szCs w:val="20"/>
                <w:color w:val="auto"/>
              </w:rPr>
            </w:pPr>
            <w:r>
              <w:rPr>
                <w:rFonts w:ascii="Arial" w:cs="Arial" w:eastAsia="Arial" w:hAnsi="Arial"/>
                <w:sz w:val="12"/>
                <w:szCs w:val="12"/>
                <w:b w:val="1"/>
                <w:bCs w:val="1"/>
                <w:color w:val="00AE4F"/>
              </w:rPr>
              <w:t>Awards</w:t>
            </w:r>
            <w:r>
              <w:rPr>
                <w:rFonts w:ascii="Arial" w:cs="Arial" w:eastAsia="Arial" w:hAnsi="Arial"/>
                <w:sz w:val="17"/>
                <w:szCs w:val="17"/>
                <w:b w:val="1"/>
                <w:bCs w:val="1"/>
                <w:color w:val="00AE4F"/>
                <w:vertAlign w:val="superscript"/>
              </w:rPr>
              <w:t>(6)</w:t>
            </w:r>
          </w:p>
        </w:tc>
        <w:tc>
          <w:tcPr>
            <w:tcW w:w="0" w:type="dxa"/>
            <w:vAlign w:val="bottom"/>
          </w:tcPr>
          <w:p>
            <w:pPr>
              <w:spacing w:after="0"/>
              <w:rPr>
                <w:sz w:val="1"/>
                <w:szCs w:val="1"/>
                <w:color w:val="auto"/>
              </w:rPr>
            </w:pPr>
          </w:p>
        </w:tc>
      </w:tr>
      <w:tr>
        <w:trPr>
          <w:trHeight w:val="187"/>
        </w:trPr>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74"/>
              <w:spacing w:after="0" w:line="186" w:lineRule="exact"/>
              <w:rPr>
                <w:sz w:val="20"/>
                <w:szCs w:val="20"/>
                <w:color w:val="auto"/>
              </w:rPr>
            </w:pPr>
            <w:r>
              <w:rPr>
                <w:rFonts w:ascii="Arial" w:cs="Arial" w:eastAsia="Arial" w:hAnsi="Arial"/>
                <w:sz w:val="13"/>
                <w:szCs w:val="13"/>
                <w:b w:val="1"/>
                <w:bCs w:val="1"/>
                <w:color w:val="00AE4F"/>
                <w:w w:val="91"/>
              </w:rPr>
              <w:t>Date</w:t>
            </w:r>
            <w:r>
              <w:rPr>
                <w:rFonts w:ascii="Arial" w:cs="Arial" w:eastAsia="Arial" w:hAnsi="Arial"/>
                <w:sz w:val="19"/>
                <w:szCs w:val="19"/>
                <w:b w:val="1"/>
                <w:bCs w:val="1"/>
                <w:color w:val="00AE4F"/>
                <w:w w:val="91"/>
                <w:vertAlign w:val="superscript"/>
              </w:rPr>
              <w:t>(2)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00AE4F"/>
              </w:rPr>
              <w:t>($)</w:t>
            </w: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00AE4F"/>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00AE4F"/>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192,308</w:t>
            </w:r>
          </w:p>
        </w:tc>
        <w:tc>
          <w:tcPr>
            <w:tcW w:w="700" w:type="dxa"/>
            <w:vAlign w:val="bottom"/>
          </w:tcPr>
          <w:p>
            <w:pPr>
              <w:jc w:val="center"/>
              <w:spacing w:after="0"/>
              <w:rPr>
                <w:sz w:val="20"/>
                <w:szCs w:val="20"/>
                <w:color w:val="auto"/>
              </w:rPr>
            </w:pPr>
            <w:r>
              <w:rPr>
                <w:rFonts w:ascii="Arial" w:cs="Arial" w:eastAsia="Arial" w:hAnsi="Arial"/>
                <w:sz w:val="13"/>
                <w:szCs w:val="13"/>
                <w:color w:val="auto"/>
              </w:rPr>
              <w:t>384,615</w:t>
            </w:r>
          </w:p>
        </w:tc>
        <w:tc>
          <w:tcPr>
            <w:tcW w:w="720" w:type="dxa"/>
            <w:vAlign w:val="bottom"/>
          </w:tcPr>
          <w:p>
            <w:pPr>
              <w:jc w:val="center"/>
              <w:spacing w:after="0"/>
              <w:rPr>
                <w:sz w:val="20"/>
                <w:szCs w:val="20"/>
                <w:color w:val="auto"/>
              </w:rPr>
            </w:pPr>
            <w:r>
              <w:rPr>
                <w:rFonts w:ascii="Arial" w:cs="Arial" w:eastAsia="Arial" w:hAnsi="Arial"/>
                <w:sz w:val="13"/>
                <w:szCs w:val="13"/>
                <w:color w:val="auto"/>
              </w:rPr>
              <w:t>769,231</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rPr>
              <w:t>9/15/2025</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center"/>
              <w:ind w:left="14"/>
              <w:spacing w:after="0"/>
              <w:rPr>
                <w:sz w:val="20"/>
                <w:szCs w:val="20"/>
                <w:color w:val="auto"/>
              </w:rPr>
            </w:pPr>
            <w:r>
              <w:rPr>
                <w:rFonts w:ascii="Arial" w:cs="Arial" w:eastAsia="Arial" w:hAnsi="Arial"/>
                <w:sz w:val="13"/>
                <w:szCs w:val="13"/>
                <w:color w:val="auto"/>
                <w:w w:val="97"/>
              </w:rPr>
              <w:t>290,276</w:t>
            </w:r>
          </w:p>
        </w:tc>
        <w:tc>
          <w:tcPr>
            <w:tcW w:w="700" w:type="dxa"/>
            <w:vAlign w:val="bottom"/>
          </w:tcPr>
          <w:p>
            <w:pPr>
              <w:jc w:val="center"/>
              <w:ind w:left="14"/>
              <w:spacing w:after="0"/>
              <w:rPr>
                <w:sz w:val="20"/>
                <w:szCs w:val="20"/>
                <w:color w:val="auto"/>
              </w:rPr>
            </w:pPr>
            <w:r>
              <w:rPr>
                <w:rFonts w:ascii="Arial" w:cs="Arial" w:eastAsia="Arial" w:hAnsi="Arial"/>
                <w:sz w:val="13"/>
                <w:szCs w:val="13"/>
                <w:color w:val="auto"/>
              </w:rPr>
              <w:t>4,000,003</w:t>
            </w:r>
          </w:p>
        </w:tc>
        <w:tc>
          <w:tcPr>
            <w:tcW w:w="0" w:type="dxa"/>
            <w:vAlign w:val="bottom"/>
          </w:tcPr>
          <w:p>
            <w:pPr>
              <w:spacing w:after="0"/>
              <w:rPr>
                <w:sz w:val="1"/>
                <w:szCs w:val="1"/>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276,250</w:t>
            </w:r>
          </w:p>
        </w:tc>
        <w:tc>
          <w:tcPr>
            <w:tcW w:w="700" w:type="dxa"/>
            <w:vAlign w:val="bottom"/>
          </w:tcPr>
          <w:p>
            <w:pPr>
              <w:jc w:val="center"/>
              <w:spacing w:after="0"/>
              <w:rPr>
                <w:sz w:val="20"/>
                <w:szCs w:val="20"/>
                <w:color w:val="auto"/>
              </w:rPr>
            </w:pPr>
            <w:r>
              <w:rPr>
                <w:rFonts w:ascii="Arial" w:cs="Arial" w:eastAsia="Arial" w:hAnsi="Arial"/>
                <w:sz w:val="13"/>
                <w:szCs w:val="13"/>
                <w:color w:val="auto"/>
              </w:rPr>
              <w:t>552,500</w:t>
            </w:r>
          </w:p>
        </w:tc>
        <w:tc>
          <w:tcPr>
            <w:tcW w:w="720" w:type="dxa"/>
            <w:vAlign w:val="bottom"/>
          </w:tcPr>
          <w:p>
            <w:pPr>
              <w:jc w:val="center"/>
              <w:spacing w:after="0"/>
              <w:rPr>
                <w:sz w:val="20"/>
                <w:szCs w:val="20"/>
                <w:color w:val="auto"/>
              </w:rPr>
            </w:pPr>
            <w:r>
              <w:rPr>
                <w:rFonts w:ascii="Arial" w:cs="Arial" w:eastAsia="Arial" w:hAnsi="Arial"/>
                <w:sz w:val="13"/>
                <w:szCs w:val="13"/>
                <w:color w:val="auto"/>
              </w:rPr>
              <w:t>1,105,000</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21,764</w:t>
            </w:r>
          </w:p>
        </w:tc>
        <w:tc>
          <w:tcPr>
            <w:tcW w:w="660" w:type="dxa"/>
            <w:vAlign w:val="bottom"/>
          </w:tcPr>
          <w:p>
            <w:pPr>
              <w:jc w:val="center"/>
              <w:spacing w:after="0"/>
              <w:rPr>
                <w:sz w:val="20"/>
                <w:szCs w:val="20"/>
                <w:color w:val="auto"/>
              </w:rPr>
            </w:pPr>
            <w:r>
              <w:rPr>
                <w:rFonts w:ascii="Arial" w:cs="Arial" w:eastAsia="Arial" w:hAnsi="Arial"/>
                <w:sz w:val="13"/>
                <w:szCs w:val="13"/>
                <w:color w:val="auto"/>
              </w:rPr>
              <w:t>43,528</w:t>
            </w:r>
          </w:p>
        </w:tc>
        <w:tc>
          <w:tcPr>
            <w:tcW w:w="680" w:type="dxa"/>
            <w:vAlign w:val="bottom"/>
          </w:tcPr>
          <w:p>
            <w:pPr>
              <w:jc w:val="center"/>
              <w:spacing w:after="0"/>
              <w:rPr>
                <w:sz w:val="20"/>
                <w:szCs w:val="20"/>
                <w:color w:val="auto"/>
              </w:rPr>
            </w:pPr>
            <w:r>
              <w:rPr>
                <w:rFonts w:ascii="Arial" w:cs="Arial" w:eastAsia="Arial" w:hAnsi="Arial"/>
                <w:sz w:val="13"/>
                <w:szCs w:val="13"/>
                <w:color w:val="auto"/>
              </w:rPr>
              <w:t>87,056</w:t>
            </w:r>
          </w:p>
        </w:tc>
        <w:tc>
          <w:tcPr>
            <w:tcW w:w="10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548,018</w:t>
            </w:r>
          </w:p>
        </w:tc>
        <w:tc>
          <w:tcPr>
            <w:tcW w:w="0" w:type="dxa"/>
            <w:vAlign w:val="bottom"/>
          </w:tcPr>
          <w:p>
            <w:pPr>
              <w:spacing w:after="0"/>
              <w:rPr>
                <w:sz w:val="1"/>
                <w:szCs w:val="1"/>
                <w:color w:val="auto"/>
              </w:rPr>
            </w:pPr>
          </w:p>
        </w:tc>
      </w:tr>
      <w:tr>
        <w:trPr>
          <w:trHeight w:val="277"/>
        </w:trPr>
        <w:tc>
          <w:tcPr>
            <w:tcW w:w="60" w:type="dxa"/>
            <w:vAlign w:val="bottom"/>
            <w:tcBorders>
              <w:bottom w:val="single" w:sz="8" w:color="7F7F7F"/>
            </w:tcBorders>
          </w:tcPr>
          <w:p>
            <w:pPr>
              <w:spacing w:after="0"/>
              <w:rPr>
                <w:sz w:val="24"/>
                <w:szCs w:val="24"/>
                <w:color w:val="auto"/>
              </w:rPr>
            </w:pPr>
          </w:p>
        </w:tc>
        <w:tc>
          <w:tcPr>
            <w:tcW w:w="120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360" w:type="dxa"/>
            <w:vAlign w:val="bottom"/>
            <w:tcBorders>
              <w:bottom w:val="single" w:sz="8" w:color="7F7F7F"/>
            </w:tcBorders>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700" w:type="dxa"/>
            <w:vAlign w:val="bottom"/>
            <w:tcBorders>
              <w:bottom w:val="single" w:sz="8" w:color="7F7F7F"/>
            </w:tcBorders>
          </w:tcPr>
          <w:p>
            <w:pPr>
              <w:spacing w:after="0"/>
              <w:rPr>
                <w:sz w:val="24"/>
                <w:szCs w:val="24"/>
                <w:color w:val="auto"/>
              </w:rPr>
            </w:pPr>
          </w:p>
        </w:tc>
        <w:tc>
          <w:tcPr>
            <w:tcW w:w="720" w:type="dxa"/>
            <w:vAlign w:val="bottom"/>
            <w:tcBorders>
              <w:bottom w:val="single" w:sz="8" w:color="7F7F7F"/>
            </w:tcBorders>
          </w:tcPr>
          <w:p>
            <w:pPr>
              <w:spacing w:after="0"/>
              <w:rPr>
                <w:sz w:val="24"/>
                <w:szCs w:val="24"/>
                <w:color w:val="auto"/>
              </w:rPr>
            </w:pPr>
          </w:p>
        </w:tc>
        <w:tc>
          <w:tcPr>
            <w:tcW w:w="700" w:type="dxa"/>
            <w:vAlign w:val="bottom"/>
            <w:tcBorders>
              <w:bottom w:val="single" w:sz="8" w:color="7F7F7F"/>
            </w:tcBorders>
          </w:tcPr>
          <w:p>
            <w:pPr>
              <w:spacing w:after="0"/>
              <w:rPr>
                <w:sz w:val="24"/>
                <w:szCs w:val="24"/>
                <w:color w:val="auto"/>
              </w:rPr>
            </w:pPr>
          </w:p>
        </w:tc>
        <w:tc>
          <w:tcPr>
            <w:tcW w:w="660" w:type="dxa"/>
            <w:vAlign w:val="bottom"/>
            <w:tcBorders>
              <w:bottom w:val="single" w:sz="8" w:color="7F7F7F"/>
            </w:tcBorders>
          </w:tcPr>
          <w:p>
            <w:pPr>
              <w:spacing w:after="0"/>
              <w:rPr>
                <w:sz w:val="24"/>
                <w:szCs w:val="24"/>
                <w:color w:val="auto"/>
              </w:rPr>
            </w:pPr>
          </w:p>
        </w:tc>
        <w:tc>
          <w:tcPr>
            <w:tcW w:w="680" w:type="dxa"/>
            <w:vAlign w:val="bottom"/>
            <w:tcBorders>
              <w:bottom w:val="single" w:sz="8" w:color="7F7F7F"/>
            </w:tcBorders>
          </w:tcPr>
          <w:p>
            <w:pPr>
              <w:spacing w:after="0"/>
              <w:rPr>
                <w:sz w:val="24"/>
                <w:szCs w:val="24"/>
                <w:color w:val="auto"/>
              </w:rPr>
            </w:pPr>
          </w:p>
        </w:tc>
        <w:tc>
          <w:tcPr>
            <w:tcW w:w="1020" w:type="dxa"/>
            <w:vAlign w:val="bottom"/>
            <w:tcBorders>
              <w:bottom w:val="single" w:sz="8" w:color="7F7F7F"/>
            </w:tcBorders>
          </w:tcPr>
          <w:p>
            <w:pPr>
              <w:jc w:val="center"/>
              <w:ind w:left="14"/>
              <w:spacing w:after="0"/>
              <w:rPr>
                <w:sz w:val="20"/>
                <w:szCs w:val="20"/>
                <w:color w:val="auto"/>
              </w:rPr>
            </w:pPr>
            <w:r>
              <w:rPr>
                <w:rFonts w:ascii="Arial" w:cs="Arial" w:eastAsia="Arial" w:hAnsi="Arial"/>
                <w:sz w:val="13"/>
                <w:szCs w:val="13"/>
                <w:color w:val="auto"/>
              </w:rPr>
              <w:t>29,018</w:t>
            </w:r>
          </w:p>
        </w:tc>
        <w:tc>
          <w:tcPr>
            <w:tcW w:w="70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390,002</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138,561</w:t>
            </w:r>
          </w:p>
        </w:tc>
        <w:tc>
          <w:tcPr>
            <w:tcW w:w="700" w:type="dxa"/>
            <w:vAlign w:val="bottom"/>
          </w:tcPr>
          <w:p>
            <w:pPr>
              <w:jc w:val="center"/>
              <w:spacing w:after="0"/>
              <w:rPr>
                <w:sz w:val="20"/>
                <w:szCs w:val="20"/>
                <w:color w:val="auto"/>
              </w:rPr>
            </w:pPr>
            <w:r>
              <w:rPr>
                <w:rFonts w:ascii="Arial" w:cs="Arial" w:eastAsia="Arial" w:hAnsi="Arial"/>
                <w:sz w:val="13"/>
                <w:szCs w:val="13"/>
                <w:color w:val="auto"/>
              </w:rPr>
              <w:t>277,122</w:t>
            </w:r>
          </w:p>
        </w:tc>
        <w:tc>
          <w:tcPr>
            <w:tcW w:w="720" w:type="dxa"/>
            <w:vAlign w:val="bottom"/>
          </w:tcPr>
          <w:p>
            <w:pPr>
              <w:jc w:val="center"/>
              <w:spacing w:after="0"/>
              <w:rPr>
                <w:sz w:val="20"/>
                <w:szCs w:val="20"/>
                <w:color w:val="auto"/>
              </w:rPr>
            </w:pPr>
            <w:r>
              <w:rPr>
                <w:rFonts w:ascii="Arial" w:cs="Arial" w:eastAsia="Arial" w:hAnsi="Arial"/>
                <w:sz w:val="13"/>
                <w:szCs w:val="13"/>
                <w:color w:val="auto"/>
              </w:rPr>
              <w:t>554,243</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7,048</w:t>
            </w:r>
          </w:p>
        </w:tc>
        <w:tc>
          <w:tcPr>
            <w:tcW w:w="660" w:type="dxa"/>
            <w:vAlign w:val="bottom"/>
          </w:tcPr>
          <w:p>
            <w:pPr>
              <w:jc w:val="center"/>
              <w:spacing w:after="0"/>
              <w:rPr>
                <w:sz w:val="20"/>
                <w:szCs w:val="20"/>
                <w:color w:val="auto"/>
              </w:rPr>
            </w:pPr>
            <w:r>
              <w:rPr>
                <w:rFonts w:ascii="Arial" w:cs="Arial" w:eastAsia="Arial" w:hAnsi="Arial"/>
                <w:sz w:val="13"/>
                <w:szCs w:val="13"/>
                <w:color w:val="auto"/>
              </w:rPr>
              <w:t>14,096</w:t>
            </w:r>
          </w:p>
        </w:tc>
        <w:tc>
          <w:tcPr>
            <w:tcW w:w="680" w:type="dxa"/>
            <w:vAlign w:val="bottom"/>
          </w:tcPr>
          <w:p>
            <w:pPr>
              <w:jc w:val="center"/>
              <w:spacing w:after="0"/>
              <w:rPr>
                <w:sz w:val="20"/>
                <w:szCs w:val="20"/>
                <w:color w:val="auto"/>
              </w:rPr>
            </w:pPr>
            <w:r>
              <w:rPr>
                <w:rFonts w:ascii="Arial" w:cs="Arial" w:eastAsia="Arial" w:hAnsi="Arial"/>
                <w:sz w:val="13"/>
                <w:szCs w:val="13"/>
                <w:color w:val="auto"/>
              </w:rPr>
              <w:t>28,192</w:t>
            </w:r>
          </w:p>
        </w:tc>
        <w:tc>
          <w:tcPr>
            <w:tcW w:w="10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177,469</w:t>
            </w: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center"/>
              <w:ind w:left="14"/>
              <w:spacing w:after="0"/>
              <w:rPr>
                <w:sz w:val="20"/>
                <w:szCs w:val="20"/>
                <w:color w:val="auto"/>
              </w:rPr>
            </w:pPr>
            <w:r>
              <w:rPr>
                <w:rFonts w:ascii="Arial" w:cs="Arial" w:eastAsia="Arial" w:hAnsi="Arial"/>
                <w:sz w:val="13"/>
                <w:szCs w:val="13"/>
                <w:color w:val="auto"/>
              </w:rPr>
              <w:t>9,397</w:t>
            </w:r>
          </w:p>
        </w:tc>
        <w:tc>
          <w:tcPr>
            <w:tcW w:w="700" w:type="dxa"/>
            <w:vAlign w:val="bottom"/>
          </w:tcPr>
          <w:p>
            <w:pPr>
              <w:jc w:val="center"/>
              <w:spacing w:after="0"/>
              <w:rPr>
                <w:sz w:val="20"/>
                <w:szCs w:val="20"/>
                <w:color w:val="auto"/>
              </w:rPr>
            </w:pPr>
            <w:r>
              <w:rPr>
                <w:rFonts w:ascii="Arial" w:cs="Arial" w:eastAsia="Arial" w:hAnsi="Arial"/>
                <w:sz w:val="13"/>
                <w:szCs w:val="13"/>
                <w:color w:val="auto"/>
              </w:rPr>
              <w:t>126,296</w:t>
            </w:r>
          </w:p>
        </w:tc>
        <w:tc>
          <w:tcPr>
            <w:tcW w:w="0" w:type="dxa"/>
            <w:vAlign w:val="bottom"/>
          </w:tcPr>
          <w:p>
            <w:pPr>
              <w:spacing w:after="0"/>
              <w:rPr>
                <w:sz w:val="1"/>
                <w:szCs w:val="1"/>
                <w:color w:val="auto"/>
              </w:rPr>
            </w:pPr>
          </w:p>
        </w:tc>
      </w:tr>
      <w:tr>
        <w:trPr>
          <w:trHeight w:val="177"/>
        </w:trPr>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614"/>
              <w:spacing w:after="0"/>
              <w:rPr>
                <w:sz w:val="20"/>
                <w:szCs w:val="20"/>
                <w:color w:val="auto"/>
              </w:rPr>
            </w:pPr>
            <w:r>
              <w:rPr>
                <w:rFonts w:ascii="Arial" w:cs="Arial" w:eastAsia="Arial" w:hAnsi="Arial"/>
                <w:sz w:val="13"/>
                <w:szCs w:val="13"/>
                <w:color w:val="auto"/>
              </w:rPr>
              <w:t>8/15/2025</w:t>
            </w: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color w:val="auto"/>
              </w:rPr>
              <w:t>35,638</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500,001</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194,315</w:t>
            </w:r>
          </w:p>
        </w:tc>
        <w:tc>
          <w:tcPr>
            <w:tcW w:w="700" w:type="dxa"/>
            <w:vAlign w:val="bottom"/>
          </w:tcPr>
          <w:p>
            <w:pPr>
              <w:jc w:val="center"/>
              <w:spacing w:after="0"/>
              <w:rPr>
                <w:sz w:val="20"/>
                <w:szCs w:val="20"/>
                <w:color w:val="auto"/>
              </w:rPr>
            </w:pPr>
            <w:r>
              <w:rPr>
                <w:rFonts w:ascii="Arial" w:cs="Arial" w:eastAsia="Arial" w:hAnsi="Arial"/>
                <w:sz w:val="13"/>
                <w:szCs w:val="13"/>
                <w:color w:val="auto"/>
              </w:rPr>
              <w:t>388,630</w:t>
            </w:r>
          </w:p>
        </w:tc>
        <w:tc>
          <w:tcPr>
            <w:tcW w:w="720" w:type="dxa"/>
            <w:vAlign w:val="bottom"/>
          </w:tcPr>
          <w:p>
            <w:pPr>
              <w:jc w:val="center"/>
              <w:spacing w:after="0"/>
              <w:rPr>
                <w:sz w:val="20"/>
                <w:szCs w:val="20"/>
                <w:color w:val="auto"/>
              </w:rPr>
            </w:pPr>
            <w:r>
              <w:rPr>
                <w:rFonts w:ascii="Arial" w:cs="Arial" w:eastAsia="Arial" w:hAnsi="Arial"/>
                <w:sz w:val="13"/>
                <w:szCs w:val="13"/>
                <w:color w:val="auto"/>
              </w:rPr>
              <w:t>777,260</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14,509</w:t>
            </w:r>
          </w:p>
        </w:tc>
        <w:tc>
          <w:tcPr>
            <w:tcW w:w="660" w:type="dxa"/>
            <w:vAlign w:val="bottom"/>
          </w:tcPr>
          <w:p>
            <w:pPr>
              <w:jc w:val="center"/>
              <w:spacing w:after="0"/>
              <w:rPr>
                <w:sz w:val="20"/>
                <w:szCs w:val="20"/>
                <w:color w:val="auto"/>
              </w:rPr>
            </w:pPr>
            <w:r>
              <w:rPr>
                <w:rFonts w:ascii="Arial" w:cs="Arial" w:eastAsia="Arial" w:hAnsi="Arial"/>
                <w:sz w:val="13"/>
                <w:szCs w:val="13"/>
                <w:color w:val="auto"/>
              </w:rPr>
              <w:t>29,018</w:t>
            </w:r>
          </w:p>
        </w:tc>
        <w:tc>
          <w:tcPr>
            <w:tcW w:w="680" w:type="dxa"/>
            <w:vAlign w:val="bottom"/>
          </w:tcPr>
          <w:p>
            <w:pPr>
              <w:jc w:val="center"/>
              <w:spacing w:after="0"/>
              <w:rPr>
                <w:sz w:val="20"/>
                <w:szCs w:val="20"/>
                <w:color w:val="auto"/>
              </w:rPr>
            </w:pPr>
            <w:r>
              <w:rPr>
                <w:rFonts w:ascii="Arial" w:cs="Arial" w:eastAsia="Arial" w:hAnsi="Arial"/>
                <w:sz w:val="13"/>
                <w:szCs w:val="13"/>
                <w:color w:val="auto"/>
              </w:rPr>
              <w:t>58,036</w:t>
            </w:r>
          </w:p>
        </w:tc>
        <w:tc>
          <w:tcPr>
            <w:tcW w:w="10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365,337</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color w:val="auto"/>
              </w:rPr>
              <w:t>19,345</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259,997</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125,617</w:t>
            </w:r>
          </w:p>
        </w:tc>
        <w:tc>
          <w:tcPr>
            <w:tcW w:w="700" w:type="dxa"/>
            <w:vAlign w:val="bottom"/>
          </w:tcPr>
          <w:p>
            <w:pPr>
              <w:jc w:val="center"/>
              <w:spacing w:after="0"/>
              <w:rPr>
                <w:sz w:val="20"/>
                <w:szCs w:val="20"/>
                <w:color w:val="auto"/>
              </w:rPr>
            </w:pPr>
            <w:r>
              <w:rPr>
                <w:rFonts w:ascii="Arial" w:cs="Arial" w:eastAsia="Arial" w:hAnsi="Arial"/>
                <w:sz w:val="13"/>
                <w:szCs w:val="13"/>
                <w:color w:val="auto"/>
              </w:rPr>
              <w:t>251,234</w:t>
            </w:r>
          </w:p>
        </w:tc>
        <w:tc>
          <w:tcPr>
            <w:tcW w:w="720" w:type="dxa"/>
            <w:vAlign w:val="bottom"/>
          </w:tcPr>
          <w:p>
            <w:pPr>
              <w:jc w:val="center"/>
              <w:spacing w:after="0"/>
              <w:rPr>
                <w:sz w:val="20"/>
                <w:szCs w:val="20"/>
                <w:color w:val="auto"/>
              </w:rPr>
            </w:pPr>
            <w:r>
              <w:rPr>
                <w:rFonts w:ascii="Arial" w:cs="Arial" w:eastAsia="Arial" w:hAnsi="Arial"/>
                <w:sz w:val="13"/>
                <w:szCs w:val="13"/>
                <w:color w:val="auto"/>
              </w:rPr>
              <w:t>502,468</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6,864</w:t>
            </w:r>
          </w:p>
        </w:tc>
        <w:tc>
          <w:tcPr>
            <w:tcW w:w="660" w:type="dxa"/>
            <w:vAlign w:val="bottom"/>
          </w:tcPr>
          <w:p>
            <w:pPr>
              <w:jc w:val="center"/>
              <w:spacing w:after="0"/>
              <w:rPr>
                <w:sz w:val="20"/>
                <w:szCs w:val="20"/>
                <w:color w:val="auto"/>
              </w:rPr>
            </w:pPr>
            <w:r>
              <w:rPr>
                <w:rFonts w:ascii="Arial" w:cs="Arial" w:eastAsia="Arial" w:hAnsi="Arial"/>
                <w:sz w:val="13"/>
                <w:szCs w:val="13"/>
                <w:color w:val="auto"/>
              </w:rPr>
              <w:t>13,728</w:t>
            </w:r>
          </w:p>
        </w:tc>
        <w:tc>
          <w:tcPr>
            <w:tcW w:w="680" w:type="dxa"/>
            <w:vAlign w:val="bottom"/>
          </w:tcPr>
          <w:p>
            <w:pPr>
              <w:jc w:val="center"/>
              <w:spacing w:after="0"/>
              <w:rPr>
                <w:sz w:val="20"/>
                <w:szCs w:val="20"/>
                <w:color w:val="auto"/>
              </w:rPr>
            </w:pPr>
            <w:r>
              <w:rPr>
                <w:rFonts w:ascii="Arial" w:cs="Arial" w:eastAsia="Arial" w:hAnsi="Arial"/>
                <w:sz w:val="13"/>
                <w:szCs w:val="13"/>
                <w:color w:val="auto"/>
              </w:rPr>
              <w:t>27,456</w:t>
            </w:r>
          </w:p>
        </w:tc>
        <w:tc>
          <w:tcPr>
            <w:tcW w:w="10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172,836</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center"/>
              <w:ind w:left="14"/>
              <w:spacing w:after="0"/>
              <w:rPr>
                <w:sz w:val="20"/>
                <w:szCs w:val="20"/>
                <w:color w:val="auto"/>
              </w:rPr>
            </w:pPr>
            <w:r>
              <w:rPr>
                <w:rFonts w:ascii="Arial" w:cs="Arial" w:eastAsia="Arial" w:hAnsi="Arial"/>
                <w:sz w:val="13"/>
                <w:szCs w:val="13"/>
                <w:color w:val="auto"/>
              </w:rPr>
              <w:t>9,152</w:t>
            </w:r>
          </w:p>
        </w:tc>
        <w:tc>
          <w:tcPr>
            <w:tcW w:w="700" w:type="dxa"/>
            <w:vAlign w:val="bottom"/>
          </w:tcPr>
          <w:p>
            <w:pPr>
              <w:jc w:val="center"/>
              <w:spacing w:after="0"/>
              <w:rPr>
                <w:sz w:val="20"/>
                <w:szCs w:val="20"/>
                <w:color w:val="auto"/>
              </w:rPr>
            </w:pPr>
            <w:r>
              <w:rPr>
                <w:rFonts w:ascii="Arial" w:cs="Arial" w:eastAsia="Arial" w:hAnsi="Arial"/>
                <w:sz w:val="13"/>
                <w:szCs w:val="13"/>
                <w:color w:val="auto"/>
              </w:rPr>
              <w:t>123,003</w:t>
            </w:r>
          </w:p>
        </w:tc>
        <w:tc>
          <w:tcPr>
            <w:tcW w:w="0" w:type="dxa"/>
            <w:vAlign w:val="bottom"/>
          </w:tcPr>
          <w:p>
            <w:pPr>
              <w:spacing w:after="0"/>
              <w:rPr>
                <w:sz w:val="1"/>
                <w:szCs w:val="1"/>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Former Executives</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Peter W. Quigley</w:t>
            </w: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STIP</w:t>
            </w:r>
          </w:p>
        </w:tc>
        <w:tc>
          <w:tcPr>
            <w:tcW w:w="6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530,481</w:t>
            </w:r>
          </w:p>
        </w:tc>
        <w:tc>
          <w:tcPr>
            <w:tcW w:w="700" w:type="dxa"/>
            <w:vAlign w:val="bottom"/>
          </w:tcPr>
          <w:p>
            <w:pPr>
              <w:jc w:val="center"/>
              <w:spacing w:after="0"/>
              <w:rPr>
                <w:sz w:val="20"/>
                <w:szCs w:val="20"/>
                <w:color w:val="auto"/>
              </w:rPr>
            </w:pPr>
            <w:r>
              <w:rPr>
                <w:rFonts w:ascii="Arial" w:cs="Arial" w:eastAsia="Arial" w:hAnsi="Arial"/>
                <w:sz w:val="13"/>
                <w:szCs w:val="13"/>
                <w:color w:val="auto"/>
              </w:rPr>
              <w:t>1,060,962</w:t>
            </w:r>
          </w:p>
        </w:tc>
        <w:tc>
          <w:tcPr>
            <w:tcW w:w="720" w:type="dxa"/>
            <w:vAlign w:val="bottom"/>
          </w:tcPr>
          <w:p>
            <w:pPr>
              <w:jc w:val="center"/>
              <w:spacing w:after="0"/>
              <w:rPr>
                <w:sz w:val="20"/>
                <w:szCs w:val="20"/>
                <w:color w:val="auto"/>
              </w:rPr>
            </w:pPr>
            <w:r>
              <w:rPr>
                <w:rFonts w:ascii="Arial" w:cs="Arial" w:eastAsia="Arial" w:hAnsi="Arial"/>
                <w:sz w:val="13"/>
                <w:szCs w:val="13"/>
                <w:color w:val="auto"/>
              </w:rPr>
              <w:t>2,121,923</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68,011</w:t>
            </w:r>
          </w:p>
        </w:tc>
        <w:tc>
          <w:tcPr>
            <w:tcW w:w="660" w:type="dxa"/>
            <w:vAlign w:val="bottom"/>
          </w:tcPr>
          <w:p>
            <w:pPr>
              <w:jc w:val="center"/>
              <w:spacing w:after="0"/>
              <w:rPr>
                <w:sz w:val="20"/>
                <w:szCs w:val="20"/>
                <w:color w:val="auto"/>
              </w:rPr>
            </w:pPr>
            <w:r>
              <w:rPr>
                <w:rFonts w:ascii="Arial" w:cs="Arial" w:eastAsia="Arial" w:hAnsi="Arial"/>
                <w:sz w:val="13"/>
                <w:szCs w:val="13"/>
                <w:color w:val="auto"/>
              </w:rPr>
              <w:t>136,022</w:t>
            </w:r>
          </w:p>
        </w:tc>
        <w:tc>
          <w:tcPr>
            <w:tcW w:w="680" w:type="dxa"/>
            <w:vAlign w:val="bottom"/>
          </w:tcPr>
          <w:p>
            <w:pPr>
              <w:jc w:val="center"/>
              <w:spacing w:after="0"/>
              <w:rPr>
                <w:sz w:val="20"/>
                <w:szCs w:val="20"/>
                <w:color w:val="auto"/>
              </w:rPr>
            </w:pPr>
            <w:r>
              <w:rPr>
                <w:rFonts w:ascii="Arial" w:cs="Arial" w:eastAsia="Arial" w:hAnsi="Arial"/>
                <w:sz w:val="13"/>
                <w:szCs w:val="13"/>
                <w:color w:val="auto"/>
              </w:rPr>
              <w:t>272,044</w:t>
            </w:r>
          </w:p>
        </w:tc>
        <w:tc>
          <w:tcPr>
            <w:tcW w:w="1020" w:type="dxa"/>
            <w:vAlign w:val="bottom"/>
          </w:tcPr>
          <w:p>
            <w:pPr>
              <w:spacing w:after="0"/>
              <w:rPr>
                <w:sz w:val="15"/>
                <w:szCs w:val="15"/>
                <w:color w:val="auto"/>
              </w:rPr>
            </w:pPr>
          </w:p>
        </w:tc>
        <w:tc>
          <w:tcPr>
            <w:tcW w:w="700" w:type="dxa"/>
            <w:vAlign w:val="bottom"/>
          </w:tcPr>
          <w:p>
            <w:pPr>
              <w:jc w:val="center"/>
              <w:ind w:left="14"/>
              <w:spacing w:after="0"/>
              <w:rPr>
                <w:sz w:val="20"/>
                <w:szCs w:val="20"/>
                <w:color w:val="auto"/>
              </w:rPr>
            </w:pPr>
            <w:r>
              <w:rPr>
                <w:rFonts w:ascii="Arial" w:cs="Arial" w:eastAsia="Arial" w:hAnsi="Arial"/>
                <w:sz w:val="13"/>
                <w:szCs w:val="13"/>
                <w:color w:val="auto"/>
              </w:rPr>
              <w:t>1,712,517</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left="614"/>
              <w:spacing w:after="0"/>
              <w:rPr>
                <w:sz w:val="20"/>
                <w:szCs w:val="20"/>
                <w:color w:val="auto"/>
              </w:rPr>
            </w:pPr>
            <w:r>
              <w:rPr>
                <w:rFonts w:ascii="Arial" w:cs="Arial" w:eastAsia="Arial" w:hAnsi="Arial"/>
                <w:sz w:val="13"/>
                <w:szCs w:val="13"/>
                <w:color w:val="auto"/>
                <w:w w:val="96"/>
              </w:rPr>
              <w:t>2/11/2025</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center"/>
              <w:ind w:left="14"/>
              <w:spacing w:after="0"/>
              <w:rPr>
                <w:sz w:val="20"/>
                <w:szCs w:val="20"/>
                <w:color w:val="auto"/>
              </w:rPr>
            </w:pPr>
            <w:r>
              <w:rPr>
                <w:rFonts w:ascii="Arial" w:cs="Arial" w:eastAsia="Arial" w:hAnsi="Arial"/>
                <w:sz w:val="13"/>
                <w:szCs w:val="13"/>
                <w:color w:val="auto"/>
              </w:rPr>
              <w:t>45,340</w:t>
            </w:r>
          </w:p>
        </w:tc>
        <w:tc>
          <w:tcPr>
            <w:tcW w:w="700" w:type="dxa"/>
            <w:vAlign w:val="bottom"/>
          </w:tcPr>
          <w:p>
            <w:pPr>
              <w:jc w:val="center"/>
              <w:spacing w:after="0"/>
              <w:rPr>
                <w:sz w:val="20"/>
                <w:szCs w:val="20"/>
                <w:color w:val="auto"/>
              </w:rPr>
            </w:pPr>
            <w:r>
              <w:rPr>
                <w:rFonts w:ascii="Arial" w:cs="Arial" w:eastAsia="Arial" w:hAnsi="Arial"/>
                <w:sz w:val="13"/>
                <w:szCs w:val="13"/>
                <w:color w:val="auto"/>
              </w:rPr>
              <w:t>609,370</w:t>
            </w:r>
          </w:p>
        </w:tc>
        <w:tc>
          <w:tcPr>
            <w:tcW w:w="0" w:type="dxa"/>
            <w:vAlign w:val="bottom"/>
          </w:tcPr>
          <w:p>
            <w:pPr>
              <w:spacing w:after="0"/>
              <w:rPr>
                <w:sz w:val="1"/>
                <w:szCs w:val="1"/>
                <w:color w:val="auto"/>
              </w:rPr>
            </w:pPr>
          </w:p>
        </w:tc>
      </w:tr>
      <w:tr>
        <w:trPr>
          <w:trHeight w:val="45"/>
        </w:trPr>
        <w:tc>
          <w:tcPr>
            <w:tcW w:w="6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60" w:hanging="296"/>
        <w:spacing w:after="0"/>
        <w:tabs>
          <w:tab w:leader="none" w:pos="8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Company has not granted stock options since 2004, including 2025. Accordingly, this column has been eliminated from the table.</w:t>
      </w:r>
    </w:p>
    <w:p>
      <w:pPr>
        <w:spacing w:after="0" w:line="60" w:lineRule="exact"/>
        <w:rPr>
          <w:rFonts w:ascii="Arial" w:cs="Arial" w:eastAsia="Arial" w:hAnsi="Arial"/>
          <w:sz w:val="12"/>
          <w:szCs w:val="12"/>
          <w:color w:val="auto"/>
        </w:rPr>
      </w:pPr>
    </w:p>
    <w:p>
      <w:pPr>
        <w:ind w:left="860" w:right="380" w:hanging="296"/>
        <w:spacing w:after="0" w:line="238" w:lineRule="auto"/>
        <w:tabs>
          <w:tab w:leader="none" w:pos="8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Long-term incentive grants to named executive officers, consisting of Restricted Stock Awards/Units and Performance Shares, were approved by the Committee at its February 11, 2025, meeting for all named executive officers and consent in lieu of a meeting for Mr. Layden and Ms. Browning.</w:t>
      </w:r>
    </w:p>
    <w:p>
      <w:pPr>
        <w:spacing w:after="0" w:line="48" w:lineRule="exact"/>
        <w:rPr>
          <w:rFonts w:ascii="Arial" w:cs="Arial" w:eastAsia="Arial" w:hAnsi="Arial"/>
          <w:sz w:val="12"/>
          <w:szCs w:val="12"/>
          <w:color w:val="auto"/>
        </w:rPr>
      </w:pPr>
    </w:p>
    <w:p>
      <w:pPr>
        <w:ind w:left="860" w:right="140" w:hanging="296"/>
        <w:spacing w:after="0" w:line="231" w:lineRule="auto"/>
        <w:tabs>
          <w:tab w:leader="none" w:pos="8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Shown are the Threshold, Target, and Maximum payouts for which each executive was eligible under our STIP with respect to fiscal 2025 performance. Amounts earned with respect to these awards are included in the Summary Compensation Table as Non-Equity Incentive Plan compensation. Further details regarding actual 2025 STIP awards appear in the Compensation Discussion &amp; Analysis.</w:t>
      </w:r>
    </w:p>
    <w:p>
      <w:pPr>
        <w:spacing w:after="0" w:line="48" w:lineRule="exact"/>
        <w:rPr>
          <w:rFonts w:ascii="Arial" w:cs="Arial" w:eastAsia="Arial" w:hAnsi="Arial"/>
          <w:sz w:val="12"/>
          <w:szCs w:val="12"/>
          <w:color w:val="auto"/>
        </w:rPr>
      </w:pPr>
    </w:p>
    <w:p>
      <w:pPr>
        <w:ind w:left="860" w:right="280" w:hanging="296"/>
        <w:spacing w:after="0" w:line="231" w:lineRule="auto"/>
        <w:tabs>
          <w:tab w:leader="none" w:pos="8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Performance Shares granted in 2025 are earned based upon achievement of two financial measures. These two measures are equally weighted. Achievement of a threshold level of performance on either measure results in 50% of the target shares for that measure being earned. Achievement of the target level of performance on either measure results in 100% of the target shares for that measure being earned. Achievement of the maximum level</w:t>
      </w:r>
    </w:p>
    <w:p>
      <w:pPr>
        <w:ind w:left="620"/>
        <w:spacing w:after="0" w:line="227" w:lineRule="auto"/>
        <w:tabs>
          <w:tab w:leader="none" w:pos="1180" w:val="left"/>
        </w:tabs>
        <w:rPr>
          <w:sz w:val="20"/>
          <w:szCs w:val="20"/>
          <w:color w:val="auto"/>
        </w:rPr>
      </w:pPr>
      <w:r>
        <w:rPr>
          <w:rFonts w:ascii="Arial" w:cs="Arial" w:eastAsia="Arial" w:hAnsi="Arial"/>
          <w:sz w:val="40"/>
          <w:szCs w:val="40"/>
          <w:color w:val="auto"/>
          <w:vertAlign w:val="superscript"/>
        </w:rPr>
        <w:t>64 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-195580</wp:posOffset>
            </wp:positionV>
            <wp:extent cx="7620" cy="212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48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2" w:lineRule="exact"/>
        <w:rPr>
          <w:sz w:val="20"/>
          <w:szCs w:val="20"/>
          <w:color w:val="auto"/>
        </w:rPr>
      </w:pPr>
    </w:p>
    <w:p>
      <w:pPr>
        <w:ind w:left="860" w:right="300"/>
        <w:spacing w:after="0" w:line="238" w:lineRule="auto"/>
        <w:rPr>
          <w:sz w:val="20"/>
          <w:szCs w:val="20"/>
          <w:color w:val="auto"/>
        </w:rPr>
      </w:pPr>
      <w:r>
        <w:rPr>
          <w:rFonts w:ascii="Arial" w:cs="Arial" w:eastAsia="Arial" w:hAnsi="Arial"/>
          <w:sz w:val="12"/>
          <w:szCs w:val="12"/>
          <w:color w:val="auto"/>
        </w:rPr>
        <w:t>performance on either measure results in 200% of the target shares for that measure being earned by the named executive officer. Achievement between these levels for each measure is interpolated on a straight-line basis.</w:t>
      </w:r>
    </w:p>
    <w:p>
      <w:pPr>
        <w:spacing w:after="0" w:line="49" w:lineRule="exact"/>
        <w:rPr>
          <w:sz w:val="20"/>
          <w:szCs w:val="20"/>
          <w:color w:val="auto"/>
        </w:rPr>
      </w:pPr>
    </w:p>
    <w:p>
      <w:pPr>
        <w:ind w:left="860" w:right="140" w:hanging="296"/>
        <w:spacing w:after="0" w:line="231" w:lineRule="auto"/>
        <w:tabs>
          <w:tab w:leader="none" w:pos="8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Restricted Stock Awards/Units granted on February 11, 2025 vest ratably on each of the first three anniversaries of the date of grant (33.3% per year). Restricted Stock Awards granted to Ms. Browning on August 15, 2025 will vest ratably on each of the first two anniversaries of the dates of grant (50% per year). Restricted Stock Award granted to Mr. Layden on September 15, 2025 will vest on the anniversary date of the grant over three years as follows: 15% in 2026, 35% in 2027, and 50% in 2028.</w:t>
      </w:r>
    </w:p>
    <w:p>
      <w:pPr>
        <w:spacing w:after="0" w:line="48" w:lineRule="exact"/>
        <w:rPr>
          <w:rFonts w:ascii="Arial" w:cs="Arial" w:eastAsia="Arial" w:hAnsi="Arial"/>
          <w:sz w:val="12"/>
          <w:szCs w:val="12"/>
          <w:color w:val="auto"/>
        </w:rPr>
      </w:pPr>
    </w:p>
    <w:p>
      <w:pPr>
        <w:ind w:left="860" w:right="40" w:hanging="296"/>
        <w:spacing w:after="0" w:line="265" w:lineRule="auto"/>
        <w:tabs>
          <w:tab w:leader="none" w:pos="860" w:val="left"/>
        </w:tabs>
        <w:numPr>
          <w:ilvl w:val="0"/>
          <w:numId w:val="88"/>
        </w:numPr>
        <w:rPr>
          <w:rFonts w:ascii="Arial" w:cs="Arial" w:eastAsia="Arial" w:hAnsi="Arial"/>
          <w:sz w:val="10"/>
          <w:szCs w:val="10"/>
          <w:color w:val="auto"/>
        </w:rPr>
      </w:pPr>
      <w:r>
        <w:rPr>
          <w:rFonts w:ascii="Arial" w:cs="Arial" w:eastAsia="Arial" w:hAnsi="Arial"/>
          <w:sz w:val="10"/>
          <w:szCs w:val="10"/>
          <w:color w:val="auto"/>
        </w:rPr>
        <w:t>The grant date fair values reported for 2025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11, 2025 is $13.44. The MV for Performance Shares granted to all named officers on February 11, 2025, is $12.59.</w:t>
      </w:r>
    </w:p>
    <w:p>
      <w:pPr>
        <w:spacing w:after="0" w:line="1" w:lineRule="exact"/>
        <w:rPr>
          <w:rFonts w:ascii="Arial" w:cs="Arial" w:eastAsia="Arial" w:hAnsi="Arial"/>
          <w:sz w:val="10"/>
          <w:szCs w:val="10"/>
          <w:color w:val="auto"/>
        </w:rPr>
      </w:pPr>
    </w:p>
    <w:p>
      <w:pPr>
        <w:ind w:left="860"/>
        <w:spacing w:after="0"/>
        <w:rPr>
          <w:rFonts w:ascii="Arial" w:cs="Arial" w:eastAsia="Arial" w:hAnsi="Arial"/>
          <w:sz w:val="10"/>
          <w:szCs w:val="10"/>
          <w:color w:val="auto"/>
        </w:rPr>
      </w:pPr>
      <w:r>
        <w:rPr>
          <w:rFonts w:ascii="Arial" w:cs="Arial" w:eastAsia="Arial" w:hAnsi="Arial"/>
          <w:sz w:val="12"/>
          <w:szCs w:val="12"/>
          <w:color w:val="auto"/>
        </w:rPr>
        <w:t>The MV for the Restricted Stock granted to Ms. Browning on August 15, 2025, is $14.03. The MV for the Restricted Stock granted to Mr. Layden on September 15, 2025, is $13.78.</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Outstanding Equity Awards at Fiscal Year End 2025</w:t>
      </w:r>
      <w:r>
        <w:rPr>
          <w:rFonts w:ascii="Arial" w:cs="Arial" w:eastAsia="Arial" w:hAnsi="Arial"/>
          <w:sz w:val="14"/>
          <w:szCs w:val="14"/>
          <w:b w:val="1"/>
          <w:bCs w:val="1"/>
          <w:color w:val="auto"/>
        </w:rPr>
        <w:t>(1)</w:t>
      </w:r>
    </w:p>
    <w:p>
      <w:pPr>
        <w:spacing w:after="0" w:line="346"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b w:val="1"/>
                <w:bCs w:val="1"/>
                <w:color w:val="00AE4F"/>
              </w:rPr>
              <w:t>Stock Awards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9"/>
        </w:trPr>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34"/>
        </w:trPr>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114"/>
              <w:spacing w:after="0" w:line="134" w:lineRule="exact"/>
              <w:rPr>
                <w:sz w:val="20"/>
                <w:szCs w:val="20"/>
                <w:color w:val="auto"/>
              </w:rPr>
            </w:pPr>
            <w:r>
              <w:rPr>
                <w:rFonts w:ascii="Arial" w:cs="Arial" w:eastAsia="Arial" w:hAnsi="Arial"/>
                <w:sz w:val="13"/>
                <w:szCs w:val="13"/>
                <w:b w:val="1"/>
                <w:bCs w:val="1"/>
                <w:color w:val="00AE4F"/>
              </w:rPr>
              <w:t>Number of</w:t>
            </w:r>
          </w:p>
        </w:tc>
        <w:tc>
          <w:tcPr>
            <w:tcW w:w="134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00AE4F"/>
              </w:rPr>
              <w:t>Market Value of</w:t>
            </w:r>
          </w:p>
        </w:tc>
        <w:tc>
          <w:tcPr>
            <w:tcW w:w="200" w:type="dxa"/>
            <w:vAlign w:val="bottom"/>
          </w:tcPr>
          <w:p>
            <w:pPr>
              <w:spacing w:after="0"/>
              <w:rPr>
                <w:sz w:val="11"/>
                <w:szCs w:val="11"/>
                <w:color w:val="auto"/>
              </w:rPr>
            </w:pPr>
          </w:p>
        </w:tc>
        <w:tc>
          <w:tcPr>
            <w:tcW w:w="1840" w:type="dxa"/>
            <w:vAlign w:val="bottom"/>
            <w:gridSpan w:val="2"/>
          </w:tcPr>
          <w:p>
            <w:pPr>
              <w:jc w:val="center"/>
              <w:ind w:right="114"/>
              <w:spacing w:after="0" w:line="134" w:lineRule="exact"/>
              <w:rPr>
                <w:sz w:val="20"/>
                <w:szCs w:val="20"/>
                <w:color w:val="auto"/>
              </w:rPr>
            </w:pPr>
            <w:r>
              <w:rPr>
                <w:rFonts w:ascii="Arial" w:cs="Arial" w:eastAsia="Arial" w:hAnsi="Arial"/>
                <w:sz w:val="13"/>
                <w:szCs w:val="13"/>
                <w:b w:val="1"/>
                <w:bCs w:val="1"/>
                <w:color w:val="00AE4F"/>
              </w:rPr>
              <w:t>Equity Incentive Plan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ind w:right="114"/>
              <w:spacing w:after="0" w:line="134" w:lineRule="exact"/>
              <w:rPr>
                <w:sz w:val="20"/>
                <w:szCs w:val="20"/>
                <w:color w:val="auto"/>
              </w:rPr>
            </w:pPr>
            <w:r>
              <w:rPr>
                <w:rFonts w:ascii="Arial" w:cs="Arial" w:eastAsia="Arial" w:hAnsi="Arial"/>
                <w:sz w:val="13"/>
                <w:szCs w:val="13"/>
                <w:b w:val="1"/>
                <w:bCs w:val="1"/>
                <w:color w:val="00AE4F"/>
              </w:rPr>
              <w:t>Equity Incentive Plan</w:t>
            </w:r>
          </w:p>
        </w:tc>
      </w:tr>
      <w:tr>
        <w:trPr>
          <w:trHeight w:val="149"/>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00AE4F"/>
              </w:rPr>
              <w:t>Shares or Units</w:t>
            </w:r>
          </w:p>
        </w:tc>
        <w:tc>
          <w:tcPr>
            <w:tcW w:w="1340" w:type="dxa"/>
            <w:vAlign w:val="bottom"/>
            <w:gridSpan w:val="3"/>
          </w:tcPr>
          <w:p>
            <w:pPr>
              <w:jc w:val="center"/>
              <w:spacing w:after="0"/>
              <w:rPr>
                <w:sz w:val="20"/>
                <w:szCs w:val="20"/>
                <w:color w:val="auto"/>
              </w:rPr>
            </w:pPr>
            <w:r>
              <w:rPr>
                <w:rFonts w:ascii="Arial" w:cs="Arial" w:eastAsia="Arial" w:hAnsi="Arial"/>
                <w:sz w:val="13"/>
                <w:szCs w:val="13"/>
                <w:b w:val="1"/>
                <w:bCs w:val="1"/>
                <w:color w:val="00AE4F"/>
              </w:rPr>
              <w:t>Shares or 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ind w:right="274"/>
              <w:spacing w:after="0"/>
              <w:rPr>
                <w:sz w:val="20"/>
                <w:szCs w:val="20"/>
                <w:color w:val="auto"/>
              </w:rPr>
            </w:pPr>
            <w:r>
              <w:rPr>
                <w:rFonts w:ascii="Arial" w:cs="Arial" w:eastAsia="Arial" w:hAnsi="Arial"/>
                <w:sz w:val="13"/>
                <w:szCs w:val="13"/>
                <w:b w:val="1"/>
                <w:bCs w:val="1"/>
                <w:color w:val="00AE4F"/>
              </w:rPr>
              <w:t>Awards: Number of</w:t>
            </w:r>
          </w:p>
        </w:tc>
        <w:tc>
          <w:tcPr>
            <w:tcW w:w="200" w:type="dxa"/>
            <w:vAlign w:val="bottom"/>
          </w:tcPr>
          <w:p>
            <w:pPr>
              <w:spacing w:after="0"/>
              <w:rPr>
                <w:sz w:val="12"/>
                <w:szCs w:val="12"/>
                <w:color w:val="auto"/>
              </w:rPr>
            </w:pPr>
          </w:p>
        </w:tc>
        <w:tc>
          <w:tcPr>
            <w:tcW w:w="1680" w:type="dxa"/>
            <w:vAlign w:val="bottom"/>
            <w:gridSpan w:val="2"/>
          </w:tcPr>
          <w:p>
            <w:pPr>
              <w:jc w:val="center"/>
              <w:spacing w:after="0"/>
              <w:rPr>
                <w:sz w:val="20"/>
                <w:szCs w:val="20"/>
                <w:color w:val="auto"/>
              </w:rPr>
            </w:pPr>
            <w:r>
              <w:rPr>
                <w:rFonts w:ascii="Arial" w:cs="Arial" w:eastAsia="Arial" w:hAnsi="Arial"/>
                <w:sz w:val="13"/>
                <w:szCs w:val="13"/>
                <w:b w:val="1"/>
                <w:bCs w:val="1"/>
                <w:color w:val="00AE4F"/>
              </w:rPr>
              <w:t>Awards: Market or Payout</w:t>
            </w:r>
          </w:p>
        </w:tc>
      </w:tr>
      <w:tr>
        <w:trPr>
          <w:trHeight w:val="149"/>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134"/>
              <w:spacing w:after="0"/>
              <w:rPr>
                <w:sz w:val="20"/>
                <w:szCs w:val="20"/>
                <w:color w:val="auto"/>
              </w:rPr>
            </w:pPr>
            <w:r>
              <w:rPr>
                <w:rFonts w:ascii="Arial" w:cs="Arial" w:eastAsia="Arial" w:hAnsi="Arial"/>
                <w:sz w:val="13"/>
                <w:szCs w:val="13"/>
                <w:b w:val="1"/>
                <w:bCs w:val="1"/>
                <w:color w:val="00AE4F"/>
              </w:rPr>
              <w:t>of Stock That</w:t>
            </w:r>
          </w:p>
        </w:tc>
        <w:tc>
          <w:tcPr>
            <w:tcW w:w="200" w:type="dxa"/>
            <w:vAlign w:val="bottom"/>
          </w:tcPr>
          <w:p>
            <w:pPr>
              <w:spacing w:after="0"/>
              <w:rPr>
                <w:sz w:val="12"/>
                <w:szCs w:val="12"/>
                <w:color w:val="auto"/>
              </w:rPr>
            </w:pPr>
          </w:p>
        </w:tc>
        <w:tc>
          <w:tcPr>
            <w:tcW w:w="114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00AE4F"/>
              </w:rPr>
              <w:t>of Stock That</w:t>
            </w: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00AE4F"/>
              </w:rPr>
              <w:t>Unearned Shares, Units or</w:t>
            </w:r>
          </w:p>
        </w:tc>
        <w:tc>
          <w:tcPr>
            <w:tcW w:w="188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00AE4F"/>
              </w:rPr>
              <w:t>Value of Unearned Shares,</w:t>
            </w:r>
          </w:p>
        </w:tc>
      </w:tr>
      <w:tr>
        <w:trPr>
          <w:trHeight w:val="143"/>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294"/>
              <w:spacing w:after="0" w:line="144" w:lineRule="exact"/>
              <w:rPr>
                <w:sz w:val="20"/>
                <w:szCs w:val="20"/>
                <w:color w:val="auto"/>
              </w:rPr>
            </w:pPr>
            <w:r>
              <w:rPr>
                <w:rFonts w:ascii="Arial" w:cs="Arial" w:eastAsia="Arial" w:hAnsi="Arial"/>
                <w:sz w:val="13"/>
                <w:szCs w:val="13"/>
                <w:b w:val="1"/>
                <w:bCs w:val="1"/>
                <w:color w:val="00AE4F"/>
                <w:w w:val="99"/>
              </w:rPr>
              <w:t>Have Not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94"/>
              <w:spacing w:after="0" w:line="144" w:lineRule="exact"/>
              <w:rPr>
                <w:sz w:val="20"/>
                <w:szCs w:val="20"/>
                <w:color w:val="auto"/>
              </w:rPr>
            </w:pPr>
            <w:r>
              <w:rPr>
                <w:rFonts w:ascii="Arial" w:cs="Arial" w:eastAsia="Arial" w:hAnsi="Arial"/>
                <w:sz w:val="13"/>
                <w:szCs w:val="13"/>
                <w:b w:val="1"/>
                <w:bCs w:val="1"/>
                <w:color w:val="00AE4F"/>
              </w:rPr>
              <w:t>Have Not</w:t>
            </w:r>
          </w:p>
        </w:tc>
        <w:tc>
          <w:tcPr>
            <w:tcW w:w="200" w:type="dxa"/>
            <w:vAlign w:val="bottom"/>
          </w:tcPr>
          <w:p>
            <w:pPr>
              <w:spacing w:after="0"/>
              <w:rPr>
                <w:sz w:val="12"/>
                <w:szCs w:val="12"/>
                <w:color w:val="auto"/>
              </w:rPr>
            </w:pPr>
          </w:p>
        </w:tc>
        <w:tc>
          <w:tcPr>
            <w:tcW w:w="1840" w:type="dxa"/>
            <w:vAlign w:val="bottom"/>
            <w:gridSpan w:val="2"/>
          </w:tcPr>
          <w:p>
            <w:pPr>
              <w:jc w:val="center"/>
              <w:ind w:right="114"/>
              <w:spacing w:after="0" w:line="144" w:lineRule="exact"/>
              <w:rPr>
                <w:sz w:val="20"/>
                <w:szCs w:val="20"/>
                <w:color w:val="auto"/>
              </w:rPr>
            </w:pPr>
            <w:r>
              <w:rPr>
                <w:rFonts w:ascii="Arial" w:cs="Arial" w:eastAsia="Arial" w:hAnsi="Arial"/>
                <w:sz w:val="13"/>
                <w:szCs w:val="13"/>
                <w:b w:val="1"/>
                <w:bCs w:val="1"/>
                <w:color w:val="00AE4F"/>
              </w:rPr>
              <w:t>Other Rights That Have</w:t>
            </w:r>
          </w:p>
        </w:tc>
        <w:tc>
          <w:tcPr>
            <w:tcW w:w="200" w:type="dxa"/>
            <w:vAlign w:val="bottom"/>
          </w:tcPr>
          <w:p>
            <w:pPr>
              <w:spacing w:after="0"/>
              <w:rPr>
                <w:sz w:val="12"/>
                <w:szCs w:val="12"/>
                <w:color w:val="auto"/>
              </w:rPr>
            </w:pPr>
          </w:p>
        </w:tc>
        <w:tc>
          <w:tcPr>
            <w:tcW w:w="1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0AE4F"/>
              </w:rPr>
              <w:t>Units or Other Rights That</w:t>
            </w:r>
          </w:p>
        </w:tc>
      </w:tr>
      <w:tr>
        <w:trPr>
          <w:trHeight w:val="154"/>
        </w:trPr>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00AE4F"/>
                <w:w w:val="97"/>
              </w:rPr>
              <w:t>Grant</w:t>
            </w:r>
          </w:p>
        </w:tc>
        <w:tc>
          <w:tcPr>
            <w:tcW w:w="380" w:type="dxa"/>
            <w:vAlign w:val="bottom"/>
          </w:tcPr>
          <w:p>
            <w:pPr>
              <w:spacing w:after="0"/>
              <w:rPr>
                <w:sz w:val="13"/>
                <w:szCs w:val="13"/>
                <w:color w:val="auto"/>
              </w:rPr>
            </w:pPr>
          </w:p>
        </w:tc>
        <w:tc>
          <w:tcPr>
            <w:tcW w:w="1160" w:type="dxa"/>
            <w:vAlign w:val="bottom"/>
            <w:gridSpan w:val="2"/>
          </w:tcPr>
          <w:p>
            <w:pPr>
              <w:jc w:val="center"/>
              <w:ind w:right="134"/>
              <w:spacing w:after="0" w:line="154" w:lineRule="exact"/>
              <w:rPr>
                <w:sz w:val="20"/>
                <w:szCs w:val="20"/>
                <w:color w:val="auto"/>
              </w:rPr>
            </w:pPr>
            <w:r>
              <w:rPr>
                <w:rFonts w:ascii="Arial" w:cs="Arial" w:eastAsia="Arial" w:hAnsi="Arial"/>
                <w:sz w:val="12"/>
                <w:szCs w:val="12"/>
                <w:b w:val="1"/>
                <w:bCs w:val="1"/>
                <w:color w:val="00AE4F"/>
              </w:rPr>
              <w:t>Vested</w:t>
            </w:r>
            <w:r>
              <w:rPr>
                <w:rFonts w:ascii="Arial" w:cs="Arial" w:eastAsia="Arial" w:hAnsi="Arial"/>
                <w:sz w:val="17"/>
                <w:szCs w:val="17"/>
                <w:b w:val="1"/>
                <w:bCs w:val="1"/>
                <w:color w:val="00AE4F"/>
                <w:vertAlign w:val="superscript"/>
              </w:rPr>
              <w:t>(2)(3)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294"/>
              <w:spacing w:after="0" w:line="154" w:lineRule="exact"/>
              <w:rPr>
                <w:sz w:val="20"/>
                <w:szCs w:val="20"/>
                <w:color w:val="auto"/>
              </w:rPr>
            </w:pPr>
            <w:r>
              <w:rPr>
                <w:rFonts w:ascii="Arial" w:cs="Arial" w:eastAsia="Arial" w:hAnsi="Arial"/>
                <w:sz w:val="12"/>
                <w:szCs w:val="12"/>
                <w:b w:val="1"/>
                <w:bCs w:val="1"/>
                <w:color w:val="00AE4F"/>
              </w:rPr>
              <w:t>Vested</w:t>
            </w:r>
            <w:r>
              <w:rPr>
                <w:rFonts w:ascii="Arial" w:cs="Arial" w:eastAsia="Arial" w:hAnsi="Arial"/>
                <w:sz w:val="17"/>
                <w:szCs w:val="17"/>
                <w:b w:val="1"/>
                <w:bCs w:val="1"/>
                <w:color w:val="00AE4F"/>
                <w:vertAlign w:val="superscript"/>
              </w:rPr>
              <w:t>(4)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ind w:right="294"/>
              <w:spacing w:after="0" w:line="154" w:lineRule="exact"/>
              <w:rPr>
                <w:sz w:val="20"/>
                <w:szCs w:val="20"/>
                <w:color w:val="auto"/>
              </w:rPr>
            </w:pPr>
            <w:r>
              <w:rPr>
                <w:rFonts w:ascii="Arial" w:cs="Arial" w:eastAsia="Arial" w:hAnsi="Arial"/>
                <w:sz w:val="12"/>
                <w:szCs w:val="12"/>
                <w:b w:val="1"/>
                <w:bCs w:val="1"/>
                <w:color w:val="00AE4F"/>
              </w:rPr>
              <w:t>Not Vested</w:t>
            </w:r>
            <w:r>
              <w:rPr>
                <w:rFonts w:ascii="Arial" w:cs="Arial" w:eastAsia="Arial" w:hAnsi="Arial"/>
                <w:sz w:val="17"/>
                <w:szCs w:val="17"/>
                <w:b w:val="1"/>
                <w:bCs w:val="1"/>
                <w:color w:val="00AE4F"/>
                <w:vertAlign w:val="superscript"/>
              </w:rPr>
              <w:t>(5)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134"/>
              <w:spacing w:after="0" w:line="154" w:lineRule="exact"/>
              <w:rPr>
                <w:sz w:val="20"/>
                <w:szCs w:val="20"/>
                <w:color w:val="auto"/>
              </w:rPr>
            </w:pPr>
            <w:r>
              <w:rPr>
                <w:rFonts w:ascii="Arial" w:cs="Arial" w:eastAsia="Arial" w:hAnsi="Arial"/>
                <w:sz w:val="12"/>
                <w:szCs w:val="12"/>
                <w:b w:val="1"/>
                <w:bCs w:val="1"/>
                <w:color w:val="00AE4F"/>
              </w:rPr>
              <w:t>Have Not Vested</w:t>
            </w:r>
            <w:r>
              <w:rPr>
                <w:rFonts w:ascii="Arial" w:cs="Arial" w:eastAsia="Arial" w:hAnsi="Arial"/>
                <w:sz w:val="17"/>
                <w:szCs w:val="17"/>
                <w:b w:val="1"/>
                <w:bCs w:val="1"/>
                <w:color w:val="00AE4F"/>
                <w:vertAlign w:val="superscript"/>
              </w:rPr>
              <w:t>(4)</w:t>
            </w:r>
          </w:p>
        </w:tc>
      </w:tr>
      <w:tr>
        <w:trPr>
          <w:trHeight w:val="193"/>
        </w:trPr>
        <w:tc>
          <w:tcPr>
            <w:tcW w:w="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00AE4F"/>
              </w:rPr>
              <w:t>Name</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00AE4F"/>
                <w:w w:val="99"/>
              </w:rPr>
              <w:t>Year</w:t>
            </w:r>
          </w:p>
        </w:tc>
        <w:tc>
          <w:tcPr>
            <w:tcW w:w="154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3"/>
                <w:szCs w:val="13"/>
                <w:b w:val="1"/>
                <w:bCs w:val="1"/>
                <w:color w:val="00AE4F"/>
              </w:rPr>
              <w:t>(#)</w:t>
            </w: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00AE4F"/>
              </w:rPr>
              <w:t>($)</w:t>
            </w: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00AE4F"/>
              </w:rPr>
              <w:t>(#)</w:t>
            </w:r>
          </w:p>
        </w:tc>
        <w:tc>
          <w:tcPr>
            <w:tcW w:w="188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3"/>
                <w:szCs w:val="13"/>
                <w:b w:val="1"/>
                <w:bCs w:val="1"/>
                <w:color w:val="00AE4F"/>
              </w:rPr>
              <w:t>($)</w:t>
            </w:r>
          </w:p>
        </w:tc>
      </w:tr>
      <w:tr>
        <w:trPr>
          <w:trHeight w:val="215"/>
        </w:trPr>
        <w:tc>
          <w:tcPr>
            <w:tcW w:w="6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290,276</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2,499,276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2"/>
        </w:trPr>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gridSpan w:val="2"/>
          </w:tcPr>
          <w:p>
            <w:pPr>
              <w:spacing w:after="0"/>
              <w:rPr>
                <w:sz w:val="2"/>
                <w:szCs w:val="2"/>
                <w:color w:val="auto"/>
              </w:rPr>
            </w:pPr>
          </w:p>
        </w:tc>
        <w:tc>
          <w:tcPr>
            <w:tcW w:w="1540" w:type="dxa"/>
            <w:vAlign w:val="bottom"/>
            <w:tcBorders>
              <w:bottom w:val="single" w:sz="8" w:color="7F7F7F"/>
            </w:tcBorders>
            <w:gridSpan w:val="3"/>
          </w:tcPr>
          <w:p>
            <w:pPr>
              <w:spacing w:after="0"/>
              <w:rPr>
                <w:sz w:val="2"/>
                <w:szCs w:val="2"/>
                <w:color w:val="auto"/>
              </w:rPr>
            </w:pPr>
          </w:p>
        </w:tc>
        <w:tc>
          <w:tcPr>
            <w:tcW w:w="1340" w:type="dxa"/>
            <w:vAlign w:val="bottom"/>
            <w:tcBorders>
              <w:bottom w:val="single" w:sz="8" w:color="7F7F7F"/>
            </w:tcBorders>
            <w:gridSpan w:val="3"/>
          </w:tcPr>
          <w:p>
            <w:pPr>
              <w:spacing w:after="0"/>
              <w:rPr>
                <w:sz w:val="2"/>
                <w:szCs w:val="2"/>
                <w:color w:val="auto"/>
              </w:rPr>
            </w:pPr>
          </w:p>
        </w:tc>
        <w:tc>
          <w:tcPr>
            <w:tcW w:w="2040" w:type="dxa"/>
            <w:vAlign w:val="bottom"/>
            <w:tcBorders>
              <w:bottom w:val="single" w:sz="8" w:color="7F7F7F"/>
            </w:tcBorders>
            <w:gridSpan w:val="3"/>
          </w:tcPr>
          <w:p>
            <w:pPr>
              <w:spacing w:after="0"/>
              <w:rPr>
                <w:sz w:val="2"/>
                <w:szCs w:val="2"/>
                <w:color w:val="auto"/>
              </w:rPr>
            </w:pPr>
          </w:p>
        </w:tc>
        <w:tc>
          <w:tcPr>
            <w:tcW w:w="1880" w:type="dxa"/>
            <w:vAlign w:val="bottom"/>
            <w:tcBorders>
              <w:bottom w:val="single" w:sz="8" w:color="7F7F7F"/>
            </w:tcBorders>
            <w:gridSpan w:val="3"/>
          </w:tcPr>
          <w:p>
            <w:pPr>
              <w:spacing w:after="0"/>
              <w:rPr>
                <w:sz w:val="2"/>
                <w:szCs w:val="2"/>
                <w:color w:val="auto"/>
              </w:rPr>
            </w:pPr>
          </w:p>
        </w:tc>
      </w:tr>
      <w:tr>
        <w:trPr>
          <w:trHeight w:val="172"/>
        </w:trPr>
        <w:tc>
          <w:tcPr>
            <w:tcW w:w="6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36,799</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316,839</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rPr>
              <w:t>29,020</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249,862</w:t>
            </w: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86,122</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741,510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gridSpan w:val="2"/>
          </w:tcPr>
          <w:p>
            <w:pPr>
              <w:spacing w:after="0"/>
              <w:rPr>
                <w:sz w:val="2"/>
                <w:szCs w:val="2"/>
                <w:color w:val="auto"/>
              </w:rPr>
            </w:pPr>
          </w:p>
        </w:tc>
        <w:tc>
          <w:tcPr>
            <w:tcW w:w="1540" w:type="dxa"/>
            <w:vAlign w:val="bottom"/>
            <w:tcBorders>
              <w:bottom w:val="single" w:sz="8" w:color="7F7F7F"/>
            </w:tcBorders>
            <w:gridSpan w:val="3"/>
          </w:tcPr>
          <w:p>
            <w:pPr>
              <w:spacing w:after="0"/>
              <w:rPr>
                <w:sz w:val="2"/>
                <w:szCs w:val="2"/>
                <w:color w:val="auto"/>
              </w:rPr>
            </w:pPr>
          </w:p>
        </w:tc>
        <w:tc>
          <w:tcPr>
            <w:tcW w:w="1340" w:type="dxa"/>
            <w:vAlign w:val="bottom"/>
            <w:tcBorders>
              <w:bottom w:val="single" w:sz="8" w:color="7F7F7F"/>
            </w:tcBorders>
            <w:gridSpan w:val="3"/>
          </w:tcPr>
          <w:p>
            <w:pPr>
              <w:spacing w:after="0"/>
              <w:rPr>
                <w:sz w:val="2"/>
                <w:szCs w:val="2"/>
                <w:color w:val="auto"/>
              </w:rPr>
            </w:pPr>
          </w:p>
        </w:tc>
        <w:tc>
          <w:tcPr>
            <w:tcW w:w="2040" w:type="dxa"/>
            <w:vAlign w:val="bottom"/>
            <w:tcBorders>
              <w:bottom w:val="single" w:sz="8" w:color="7F7F7F"/>
            </w:tcBorders>
            <w:gridSpan w:val="3"/>
          </w:tcPr>
          <w:p>
            <w:pPr>
              <w:spacing w:after="0"/>
              <w:rPr>
                <w:sz w:val="2"/>
                <w:szCs w:val="2"/>
                <w:color w:val="auto"/>
              </w:rPr>
            </w:pPr>
          </w:p>
        </w:tc>
        <w:tc>
          <w:tcPr>
            <w:tcW w:w="1880" w:type="dxa"/>
            <w:vAlign w:val="bottom"/>
            <w:tcBorders>
              <w:bottom w:val="single" w:sz="8" w:color="7F7F7F"/>
            </w:tcBorders>
            <w:gridSpan w:val="3"/>
          </w:tcPr>
          <w:p>
            <w:pPr>
              <w:spacing w:after="0"/>
              <w:rPr>
                <w:sz w:val="2"/>
                <w:szCs w:val="2"/>
                <w:color w:val="auto"/>
              </w:rPr>
            </w:pPr>
          </w:p>
        </w:tc>
      </w:tr>
      <w:tr>
        <w:trPr>
          <w:trHeight w:val="172"/>
        </w:trPr>
        <w:tc>
          <w:tcPr>
            <w:tcW w:w="6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47,555</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409,449</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w w:val="98"/>
              </w:rPr>
              <w:t>9,398</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rPr>
              <w:t>80,917</w:t>
            </w: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17,438</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150,141</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w w:val="98"/>
              </w:rPr>
              <w:t>2,892</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rPr>
              <w:t>24,900</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w w:val="98"/>
              </w:rPr>
              <w:t>9,235</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79,513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1540" w:type="dxa"/>
            <w:vAlign w:val="bottom"/>
            <w:gridSpan w:val="3"/>
          </w:tcPr>
          <w:p>
            <w:pPr>
              <w:jc w:val="center"/>
              <w:ind w:left="174"/>
              <w:spacing w:after="0"/>
              <w:rPr>
                <w:sz w:val="20"/>
                <w:szCs w:val="20"/>
                <w:color w:val="auto"/>
              </w:rPr>
            </w:pPr>
            <w:r>
              <w:rPr>
                <w:rFonts w:ascii="Arial" w:cs="Arial" w:eastAsia="Arial" w:hAnsi="Arial"/>
                <w:sz w:val="13"/>
                <w:szCs w:val="13"/>
                <w:color w:val="auto"/>
              </w:rPr>
              <w:t>755</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6,501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gridSpan w:val="2"/>
          </w:tcPr>
          <w:p>
            <w:pPr>
              <w:spacing w:after="0"/>
              <w:rPr>
                <w:sz w:val="2"/>
                <w:szCs w:val="2"/>
                <w:color w:val="auto"/>
              </w:rPr>
            </w:pPr>
          </w:p>
        </w:tc>
        <w:tc>
          <w:tcPr>
            <w:tcW w:w="1540" w:type="dxa"/>
            <w:vAlign w:val="bottom"/>
            <w:tcBorders>
              <w:bottom w:val="single" w:sz="8" w:color="7F7F7F"/>
            </w:tcBorders>
            <w:gridSpan w:val="3"/>
          </w:tcPr>
          <w:p>
            <w:pPr>
              <w:spacing w:after="0"/>
              <w:rPr>
                <w:sz w:val="2"/>
                <w:szCs w:val="2"/>
                <w:color w:val="auto"/>
              </w:rPr>
            </w:pPr>
          </w:p>
        </w:tc>
        <w:tc>
          <w:tcPr>
            <w:tcW w:w="1340" w:type="dxa"/>
            <w:vAlign w:val="bottom"/>
            <w:tcBorders>
              <w:bottom w:val="single" w:sz="8" w:color="7F7F7F"/>
            </w:tcBorders>
            <w:gridSpan w:val="3"/>
          </w:tcPr>
          <w:p>
            <w:pPr>
              <w:spacing w:after="0"/>
              <w:rPr>
                <w:sz w:val="2"/>
                <w:szCs w:val="2"/>
                <w:color w:val="auto"/>
              </w:rPr>
            </w:pPr>
          </w:p>
        </w:tc>
        <w:tc>
          <w:tcPr>
            <w:tcW w:w="2040" w:type="dxa"/>
            <w:vAlign w:val="bottom"/>
            <w:tcBorders>
              <w:bottom w:val="single" w:sz="8" w:color="7F7F7F"/>
            </w:tcBorders>
            <w:gridSpan w:val="3"/>
          </w:tcPr>
          <w:p>
            <w:pPr>
              <w:spacing w:after="0"/>
              <w:rPr>
                <w:sz w:val="2"/>
                <w:szCs w:val="2"/>
                <w:color w:val="auto"/>
              </w:rPr>
            </w:pPr>
          </w:p>
        </w:tc>
        <w:tc>
          <w:tcPr>
            <w:tcW w:w="1880" w:type="dxa"/>
            <w:vAlign w:val="bottom"/>
            <w:tcBorders>
              <w:bottom w:val="single" w:sz="8" w:color="7F7F7F"/>
            </w:tcBorders>
            <w:gridSpan w:val="3"/>
          </w:tcPr>
          <w:p>
            <w:pPr>
              <w:spacing w:after="0"/>
              <w:rPr>
                <w:sz w:val="2"/>
                <w:szCs w:val="2"/>
                <w:color w:val="auto"/>
              </w:rPr>
            </w:pPr>
          </w:p>
        </w:tc>
      </w:tr>
      <w:tr>
        <w:trPr>
          <w:trHeight w:val="172"/>
        </w:trPr>
        <w:tc>
          <w:tcPr>
            <w:tcW w:w="6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24,533</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w w:val="97"/>
              </w:rPr>
              <w:t>211,229</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rPr>
              <w:t>19,346</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166,569</w:t>
            </w: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14,994</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129,098</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w w:val="98"/>
              </w:rPr>
              <w:t>5,708</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rPr>
              <w:t>49,146</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12,711</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109,442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w w:val="98"/>
              </w:rPr>
              <w:t>1,190</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10,246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gridSpan w:val="2"/>
          </w:tcPr>
          <w:p>
            <w:pPr>
              <w:spacing w:after="0"/>
              <w:rPr>
                <w:sz w:val="2"/>
                <w:szCs w:val="2"/>
                <w:color w:val="auto"/>
              </w:rPr>
            </w:pPr>
          </w:p>
        </w:tc>
        <w:tc>
          <w:tcPr>
            <w:tcW w:w="1540" w:type="dxa"/>
            <w:vAlign w:val="bottom"/>
            <w:tcBorders>
              <w:bottom w:val="single" w:sz="8" w:color="7F7F7F"/>
            </w:tcBorders>
            <w:gridSpan w:val="3"/>
          </w:tcPr>
          <w:p>
            <w:pPr>
              <w:spacing w:after="0"/>
              <w:rPr>
                <w:sz w:val="2"/>
                <w:szCs w:val="2"/>
                <w:color w:val="auto"/>
              </w:rPr>
            </w:pPr>
          </w:p>
        </w:tc>
        <w:tc>
          <w:tcPr>
            <w:tcW w:w="1340" w:type="dxa"/>
            <w:vAlign w:val="bottom"/>
            <w:tcBorders>
              <w:bottom w:val="single" w:sz="8" w:color="7F7F7F"/>
            </w:tcBorders>
            <w:gridSpan w:val="3"/>
          </w:tcPr>
          <w:p>
            <w:pPr>
              <w:spacing w:after="0"/>
              <w:rPr>
                <w:sz w:val="2"/>
                <w:szCs w:val="2"/>
                <w:color w:val="auto"/>
              </w:rPr>
            </w:pPr>
          </w:p>
        </w:tc>
        <w:tc>
          <w:tcPr>
            <w:tcW w:w="2040" w:type="dxa"/>
            <w:vAlign w:val="bottom"/>
            <w:tcBorders>
              <w:bottom w:val="single" w:sz="8" w:color="7F7F7F"/>
            </w:tcBorders>
            <w:gridSpan w:val="3"/>
          </w:tcPr>
          <w:p>
            <w:pPr>
              <w:spacing w:after="0"/>
              <w:rPr>
                <w:sz w:val="2"/>
                <w:szCs w:val="2"/>
                <w:color w:val="auto"/>
              </w:rPr>
            </w:pPr>
          </w:p>
        </w:tc>
        <w:tc>
          <w:tcPr>
            <w:tcW w:w="1880" w:type="dxa"/>
            <w:vAlign w:val="bottom"/>
            <w:tcBorders>
              <w:bottom w:val="single" w:sz="8" w:color="7F7F7F"/>
            </w:tcBorders>
            <w:gridSpan w:val="3"/>
          </w:tcPr>
          <w:p>
            <w:pPr>
              <w:spacing w:after="0"/>
              <w:rPr>
                <w:sz w:val="2"/>
                <w:szCs w:val="2"/>
                <w:color w:val="auto"/>
              </w:rPr>
            </w:pPr>
          </w:p>
        </w:tc>
      </w:tr>
      <w:tr>
        <w:trPr>
          <w:trHeight w:val="172"/>
        </w:trPr>
        <w:tc>
          <w:tcPr>
            <w:tcW w:w="6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11,606</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99,928</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w w:val="98"/>
              </w:rPr>
              <w:t>9,152</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rPr>
              <w:t>78,799</w:t>
            </w: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17,119</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147,395</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w w:val="98"/>
              </w:rPr>
              <w:t>2,774</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rPr>
              <w:t>23,884</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w w:val="98"/>
              </w:rPr>
              <w:t>8,429</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72,574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1540" w:type="dxa"/>
            <w:vAlign w:val="bottom"/>
            <w:gridSpan w:val="3"/>
          </w:tcPr>
          <w:p>
            <w:pPr>
              <w:jc w:val="center"/>
              <w:ind w:left="174"/>
              <w:spacing w:after="0"/>
              <w:rPr>
                <w:sz w:val="20"/>
                <w:szCs w:val="20"/>
                <w:color w:val="auto"/>
              </w:rPr>
            </w:pPr>
            <w:r>
              <w:rPr>
                <w:rFonts w:ascii="Arial" w:cs="Arial" w:eastAsia="Arial" w:hAnsi="Arial"/>
                <w:sz w:val="13"/>
                <w:szCs w:val="13"/>
                <w:color w:val="auto"/>
              </w:rPr>
              <w:t>715</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6,156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7F7F7F"/>
            </w:tcBorders>
          </w:tcPr>
          <w:p>
            <w:pPr>
              <w:spacing w:after="0"/>
              <w:rPr>
                <w:sz w:val="2"/>
                <w:szCs w:val="2"/>
                <w:color w:val="auto"/>
              </w:rPr>
            </w:pPr>
          </w:p>
        </w:tc>
        <w:tc>
          <w:tcPr>
            <w:tcW w:w="380" w:type="dxa"/>
            <w:vAlign w:val="bottom"/>
            <w:tcBorders>
              <w:bottom w:val="single" w:sz="8" w:color="7F7F7F"/>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bottom w:val="single" w:sz="8" w:color="7F7F7F"/>
            </w:tcBorders>
          </w:tcPr>
          <w:p>
            <w:pPr>
              <w:spacing w:after="0"/>
              <w:rPr>
                <w:sz w:val="2"/>
                <w:szCs w:val="2"/>
                <w:color w:val="auto"/>
              </w:rPr>
            </w:pPr>
          </w:p>
        </w:tc>
      </w:tr>
      <w:tr>
        <w:trPr>
          <w:trHeight w:val="129"/>
        </w:trPr>
        <w:tc>
          <w:tcPr>
            <w:tcW w:w="60" w:type="dxa"/>
            <w:vAlign w:val="bottom"/>
          </w:tcPr>
          <w:p>
            <w:pPr>
              <w:spacing w:after="0"/>
              <w:rPr>
                <w:sz w:val="11"/>
                <w:szCs w:val="11"/>
                <w:color w:val="auto"/>
              </w:rPr>
            </w:pPr>
          </w:p>
        </w:tc>
        <w:tc>
          <w:tcPr>
            <w:tcW w:w="1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i w:val="1"/>
                <w:iCs w:val="1"/>
                <w:color w:val="auto"/>
              </w:rPr>
              <w:t>Former Executive</w:t>
            </w: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76"/>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Peter W. Quigley</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69,658</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599,755</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rPr>
              <w:t>90,682</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780,772</w:t>
            </w:r>
          </w:p>
        </w:tc>
      </w:tr>
      <w:tr>
        <w:trPr>
          <w:trHeight w:val="254"/>
        </w:trPr>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61,988</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533,717</w:t>
            </w:r>
          </w:p>
        </w:tc>
        <w:tc>
          <w:tcPr>
            <w:tcW w:w="2040" w:type="dxa"/>
            <w:vAlign w:val="bottom"/>
            <w:gridSpan w:val="3"/>
          </w:tcPr>
          <w:p>
            <w:pPr>
              <w:jc w:val="center"/>
              <w:ind w:left="54"/>
              <w:spacing w:after="0"/>
              <w:rPr>
                <w:sz w:val="20"/>
                <w:szCs w:val="20"/>
                <w:color w:val="auto"/>
              </w:rPr>
            </w:pPr>
            <w:r>
              <w:rPr>
                <w:rFonts w:ascii="Arial" w:cs="Arial" w:eastAsia="Arial" w:hAnsi="Arial"/>
                <w:sz w:val="13"/>
                <w:szCs w:val="13"/>
                <w:color w:val="auto"/>
              </w:rPr>
              <w:t>27,034</w:t>
            </w:r>
          </w:p>
        </w:tc>
        <w:tc>
          <w:tcPr>
            <w:tcW w:w="1880" w:type="dxa"/>
            <w:vAlign w:val="bottom"/>
            <w:gridSpan w:val="3"/>
          </w:tcPr>
          <w:p>
            <w:pPr>
              <w:jc w:val="center"/>
              <w:ind w:left="194"/>
              <w:spacing w:after="0"/>
              <w:rPr>
                <w:sz w:val="20"/>
                <w:szCs w:val="20"/>
                <w:color w:val="auto"/>
              </w:rPr>
            </w:pPr>
            <w:r>
              <w:rPr>
                <w:rFonts w:ascii="Arial" w:cs="Arial" w:eastAsia="Arial" w:hAnsi="Arial"/>
                <w:sz w:val="13"/>
                <w:szCs w:val="13"/>
                <w:color w:val="auto"/>
                <w:w w:val="97"/>
              </w:rPr>
              <w:t>232,763</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2023</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rPr>
              <w:t>73,547</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633,240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2022</w:t>
            </w:r>
          </w:p>
        </w:tc>
        <w:tc>
          <w:tcPr>
            <w:tcW w:w="1540" w:type="dxa"/>
            <w:vAlign w:val="bottom"/>
            <w:gridSpan w:val="3"/>
          </w:tcPr>
          <w:p>
            <w:pPr>
              <w:jc w:val="center"/>
              <w:ind w:left="154"/>
              <w:spacing w:after="0"/>
              <w:rPr>
                <w:sz w:val="20"/>
                <w:szCs w:val="20"/>
                <w:color w:val="auto"/>
              </w:rPr>
            </w:pPr>
            <w:r>
              <w:rPr>
                <w:rFonts w:ascii="Arial" w:cs="Arial" w:eastAsia="Arial" w:hAnsi="Arial"/>
                <w:sz w:val="13"/>
                <w:szCs w:val="13"/>
                <w:color w:val="auto"/>
                <w:w w:val="98"/>
              </w:rPr>
              <w:t>5,307</w:t>
            </w: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rPr>
              <w:t>45,693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198"/>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25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25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17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Arial" w:cs="Arial" w:eastAsia="Arial" w:hAnsi="Arial"/>
                <w:sz w:val="13"/>
                <w:szCs w:val="13"/>
                <w:color w:val="auto"/>
              </w:rPr>
              <w:t>—</w:t>
            </w:r>
          </w:p>
        </w:tc>
      </w:tr>
      <w:tr>
        <w:trPr>
          <w:trHeight w:val="32"/>
        </w:trPr>
        <w:tc>
          <w:tcPr>
            <w:tcW w:w="6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480" w:type="dxa"/>
            <w:vAlign w:val="bottom"/>
            <w:tcBorders>
              <w:bottom w:val="single" w:sz="8" w:color="7F7F7F"/>
            </w:tcBorders>
          </w:tcPr>
          <w:p>
            <w:pPr>
              <w:spacing w:after="0"/>
              <w:rPr>
                <w:sz w:val="2"/>
                <w:szCs w:val="2"/>
                <w:color w:val="auto"/>
              </w:rPr>
            </w:pPr>
          </w:p>
        </w:tc>
        <w:tc>
          <w:tcPr>
            <w:tcW w:w="38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100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168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1520" w:type="dxa"/>
            <w:vAlign w:val="bottom"/>
            <w:tcBorders>
              <w:bottom w:val="single" w:sz="8" w:color="7F7F7F"/>
            </w:tcBorders>
          </w:tcPr>
          <w:p>
            <w:pPr>
              <w:spacing w:after="0"/>
              <w:rPr>
                <w:sz w:val="2"/>
                <w:szCs w:val="2"/>
                <w:color w:val="auto"/>
              </w:rPr>
            </w:pPr>
          </w:p>
        </w:tc>
      </w:tr>
    </w:tbl>
    <w:p>
      <w:pPr>
        <w:spacing w:after="0" w:line="96" w:lineRule="exact"/>
        <w:rPr>
          <w:sz w:val="20"/>
          <w:szCs w:val="20"/>
          <w:color w:val="auto"/>
        </w:rPr>
      </w:pPr>
    </w:p>
    <w:p>
      <w:pPr>
        <w:ind w:left="860" w:right="80" w:hanging="296"/>
        <w:spacing w:after="0" w:line="238" w:lineRule="auto"/>
        <w:tabs>
          <w:tab w:leader="none" w:pos="8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Company did not grant stock options during the 2025 fiscal year. All previously outstanding granted stock options for the named executive officers expired during the 2014 fiscal year. As a result, there are no outstanding options to report and, accordingly, these columns have been eliminated from the table.</w:t>
      </w:r>
    </w:p>
    <w:p>
      <w:pPr>
        <w:spacing w:after="0" w:line="100" w:lineRule="exact"/>
        <w:rPr>
          <w:rFonts w:ascii="Arial" w:cs="Arial" w:eastAsia="Arial" w:hAnsi="Arial"/>
          <w:sz w:val="12"/>
          <w:szCs w:val="12"/>
          <w:color w:val="auto"/>
        </w:rPr>
      </w:pPr>
    </w:p>
    <w:p>
      <w:pPr>
        <w:ind w:left="9360" w:hanging="244"/>
        <w:spacing w:after="0"/>
        <w:tabs>
          <w:tab w:leader="none" w:pos="9360" w:val="left"/>
        </w:tabs>
        <w:numPr>
          <w:ilvl w:val="1"/>
          <w:numId w:val="89"/>
        </w:numPr>
        <w:rPr>
          <w:rFonts w:ascii="Arial" w:cs="Arial" w:eastAsia="Arial" w:hAnsi="Arial"/>
          <w:sz w:val="19"/>
          <w:szCs w:val="19"/>
          <w:color w:val="auto"/>
        </w:rPr>
      </w:pPr>
      <w:r>
        <w:rPr>
          <w:rFonts w:ascii="Arial" w:cs="Arial" w:eastAsia="Arial" w:hAnsi="Arial"/>
          <w:sz w:val="1"/>
          <w:szCs w:val="1"/>
          <w:color w:val="auto"/>
        </w:rPr>
        <w:drawing>
          <wp:inline distT="0" distB="0" distL="0" distR="0">
            <wp:extent cx="377825" cy="17335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19"/>
          <w:szCs w:val="19"/>
          <w:color w:val="auto"/>
        </w:rPr>
        <w:t xml:space="preserve">     </w:t>
      </w:r>
      <w:r>
        <w:rPr>
          <w:rFonts w:ascii="Arial" w:cs="Arial" w:eastAsia="Arial" w:hAnsi="Arial"/>
          <w:sz w:val="38"/>
          <w:szCs w:val="38"/>
          <w:color w:val="auto"/>
          <w:vertAlign w:val="superscript"/>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-260350</wp:posOffset>
            </wp:positionV>
            <wp:extent cx="7620" cy="212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2" w:lineRule="exact"/>
        <w:rPr>
          <w:sz w:val="20"/>
          <w:szCs w:val="20"/>
          <w:color w:val="auto"/>
        </w:rPr>
      </w:pPr>
    </w:p>
    <w:p>
      <w:pPr>
        <w:ind w:left="860" w:right="100" w:hanging="296"/>
        <w:spacing w:after="0" w:line="269" w:lineRule="auto"/>
        <w:tabs>
          <w:tab w:leader="none" w:pos="860" w:val="left"/>
        </w:tabs>
        <w:numPr>
          <w:ilvl w:val="0"/>
          <w:numId w:val="90"/>
        </w:numPr>
        <w:rPr>
          <w:rFonts w:ascii="Arial" w:cs="Arial" w:eastAsia="Arial" w:hAnsi="Arial"/>
          <w:sz w:val="10"/>
          <w:szCs w:val="10"/>
          <w:color w:val="auto"/>
        </w:rPr>
      </w:pPr>
      <w:r>
        <w:rPr>
          <w:rFonts w:ascii="Arial" w:cs="Arial" w:eastAsia="Arial" w:hAnsi="Arial"/>
          <w:sz w:val="10"/>
          <w:szCs w:val="10"/>
          <w:color w:val="auto"/>
        </w:rPr>
        <w:t>All outstanding Restricted Stock Awards/Units granted before 2023 vest ratably over four years. Restricted Stock Awards/Units granted in 2023 and after vest ratably over three years, with the exception of Mr. Quigley’s and Ms. Soares October 15, 2024, awards which have a two-year cliff vest, Mr. Anderson’s October 15, 2024, award which has a two-year ratable vest,</w:t>
      </w:r>
    </w:p>
    <w:p>
      <w:pPr>
        <w:ind w:left="860" w:right="580"/>
        <w:spacing w:after="0" w:line="312" w:lineRule="auto"/>
        <w:rPr>
          <w:rFonts w:ascii="Arial" w:cs="Arial" w:eastAsia="Arial" w:hAnsi="Arial"/>
          <w:sz w:val="10"/>
          <w:szCs w:val="10"/>
          <w:color w:val="auto"/>
        </w:rPr>
      </w:pPr>
      <w:r>
        <w:rPr>
          <w:rFonts w:ascii="Arial" w:cs="Arial" w:eastAsia="Arial" w:hAnsi="Arial"/>
          <w:sz w:val="10"/>
          <w:szCs w:val="10"/>
          <w:color w:val="auto"/>
        </w:rPr>
        <w:t>Ms. Browning’s August 15, 2025 award which has a two-year ratable vest, and Mr. Layden’s September 15, 2025 award which vests 15% on the first anniversary, 35% on the second anniversary and 50% on the third anniversary. The number of outstanding shares has been determined as of December 28, 2025, the last day of the Company’s fiscal year 2025.</w:t>
      </w:r>
    </w:p>
    <w:p>
      <w:pPr>
        <w:spacing w:after="0" w:line="13" w:lineRule="exact"/>
        <w:rPr>
          <w:rFonts w:ascii="Arial" w:cs="Arial" w:eastAsia="Arial" w:hAnsi="Arial"/>
          <w:sz w:val="10"/>
          <w:szCs w:val="10"/>
          <w:color w:val="auto"/>
        </w:rPr>
      </w:pPr>
    </w:p>
    <w:p>
      <w:pPr>
        <w:ind w:left="860" w:right="100" w:hanging="296"/>
        <w:spacing w:after="0" w:line="227" w:lineRule="auto"/>
        <w:tabs>
          <w:tab w:leader="none" w:pos="8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Performance results for the first, second and third year of the 2023-2025 LTI are reflected in these totals, which is detailed above in the “2023-2025 Long-Term Incentive Performance Results” section. Performance results for the first and second year of the 2024-2026 LTI are reflected in these totals, which is detailed above in the “2024-2026 Long-Term Incentive Performance Results” section. Performance results for the first year of the 2025-2027 LTI are reflected in these totals, which is detailed above in the “2025-2027 Long-Term Incentive Performance Results” section.</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market value is determined based on the closing market price of our common shares on the last trading day of the 2025 fiscal year, December 26, 2025 ($8.61).</w:t>
      </w:r>
    </w:p>
    <w:p>
      <w:pPr>
        <w:spacing w:after="0" w:line="60" w:lineRule="exact"/>
        <w:rPr>
          <w:rFonts w:ascii="Arial" w:cs="Arial" w:eastAsia="Arial" w:hAnsi="Arial"/>
          <w:sz w:val="12"/>
          <w:szCs w:val="12"/>
          <w:color w:val="auto"/>
        </w:rPr>
      </w:pPr>
    </w:p>
    <w:p>
      <w:pPr>
        <w:ind w:left="860" w:right="200" w:hanging="296"/>
        <w:spacing w:after="0" w:line="231" w:lineRule="auto"/>
        <w:tabs>
          <w:tab w:leader="none" w:pos="8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Performance Shares granted in 2023, 2024, and 2025 are earned based upon achievement of selected financial measures over three one-year periods. If the minimum or threshold performance is not attained, the performance shares will be forfeited. The table includes the 2024 Performance Shares year three and the 2025 Performance Shares years two and three, at target.</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Option Exercises and Stock Vested 2025</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700" w:type="dxa"/>
            <w:vAlign w:val="bottom"/>
            <w:gridSpan w:val="2"/>
          </w:tcPr>
          <w:p>
            <w:pPr>
              <w:ind w:left="980"/>
              <w:spacing w:after="0"/>
              <w:rPr>
                <w:sz w:val="20"/>
                <w:szCs w:val="20"/>
                <w:color w:val="auto"/>
              </w:rPr>
            </w:pPr>
            <w:r>
              <w:rPr>
                <w:rFonts w:ascii="Arial" w:cs="Arial" w:eastAsia="Arial" w:hAnsi="Arial"/>
                <w:sz w:val="13"/>
                <w:szCs w:val="13"/>
                <w:b w:val="1"/>
                <w:bCs w:val="1"/>
                <w:color w:val="00AE4F"/>
              </w:rPr>
              <w:t>Option Awards</w:t>
            </w:r>
          </w:p>
        </w:tc>
        <w:tc>
          <w:tcPr>
            <w:tcW w:w="2740" w:type="dxa"/>
            <w:vAlign w:val="bottom"/>
            <w:gridSpan w:val="2"/>
          </w:tcPr>
          <w:p>
            <w:pPr>
              <w:ind w:left="1020"/>
              <w:spacing w:after="0"/>
              <w:rPr>
                <w:sz w:val="20"/>
                <w:szCs w:val="20"/>
                <w:color w:val="auto"/>
              </w:rPr>
            </w:pPr>
            <w:r>
              <w:rPr>
                <w:rFonts w:ascii="Arial" w:cs="Arial" w:eastAsia="Arial" w:hAnsi="Arial"/>
                <w:sz w:val="13"/>
                <w:szCs w:val="13"/>
                <w:b w:val="1"/>
                <w:bCs w:val="1"/>
                <w:color w:val="00AE4F"/>
              </w:rPr>
              <w:t>Stock Awards</w:t>
            </w:r>
          </w:p>
        </w:tc>
      </w:tr>
      <w:tr>
        <w:trPr>
          <w:trHeight w:val="39"/>
        </w:trPr>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460" w:type="dxa"/>
            <w:vAlign w:val="bottom"/>
            <w:tcBorders>
              <w:bottom w:val="single" w:sz="8" w:color="33302B"/>
            </w:tcBorders>
          </w:tcPr>
          <w:p>
            <w:pPr>
              <w:spacing w:after="0"/>
              <w:rPr>
                <w:sz w:val="3"/>
                <w:szCs w:val="3"/>
                <w:color w:val="auto"/>
              </w:rPr>
            </w:pPr>
          </w:p>
        </w:tc>
        <w:tc>
          <w:tcPr>
            <w:tcW w:w="1240" w:type="dxa"/>
            <w:vAlign w:val="bottom"/>
            <w:tcBorders>
              <w:bottom w:val="single" w:sz="8" w:color="33302B"/>
            </w:tcBorders>
          </w:tcPr>
          <w:p>
            <w:pPr>
              <w:spacing w:after="0"/>
              <w:rPr>
                <w:sz w:val="3"/>
                <w:szCs w:val="3"/>
                <w:color w:val="auto"/>
              </w:rPr>
            </w:pPr>
          </w:p>
        </w:tc>
        <w:tc>
          <w:tcPr>
            <w:tcW w:w="1420" w:type="dxa"/>
            <w:vAlign w:val="bottom"/>
            <w:tcBorders>
              <w:bottom w:val="single" w:sz="8" w:color="33302B"/>
            </w:tcBorders>
          </w:tcPr>
          <w:p>
            <w:pPr>
              <w:spacing w:after="0"/>
              <w:rPr>
                <w:sz w:val="3"/>
                <w:szCs w:val="3"/>
                <w:color w:val="auto"/>
              </w:rPr>
            </w:pPr>
          </w:p>
        </w:tc>
        <w:tc>
          <w:tcPr>
            <w:tcW w:w="1320" w:type="dxa"/>
            <w:vAlign w:val="bottom"/>
            <w:tcBorders>
              <w:bottom w:val="single" w:sz="8" w:color="33302B"/>
            </w:tcBorders>
          </w:tcPr>
          <w:p>
            <w:pPr>
              <w:spacing w:after="0"/>
              <w:rPr>
                <w:sz w:val="3"/>
                <w:szCs w:val="3"/>
                <w:color w:val="auto"/>
              </w:rPr>
            </w:pPr>
          </w:p>
        </w:tc>
      </w:tr>
      <w:tr>
        <w:trPr>
          <w:trHeight w:val="134"/>
        </w:trPr>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60" w:type="dxa"/>
            <w:vAlign w:val="bottom"/>
          </w:tcPr>
          <w:p>
            <w:pPr>
              <w:jc w:val="center"/>
              <w:ind w:left="174"/>
              <w:spacing w:after="0" w:line="134" w:lineRule="exact"/>
              <w:rPr>
                <w:sz w:val="20"/>
                <w:szCs w:val="20"/>
                <w:color w:val="auto"/>
              </w:rPr>
            </w:pPr>
            <w:r>
              <w:rPr>
                <w:rFonts w:ascii="Arial" w:cs="Arial" w:eastAsia="Arial" w:hAnsi="Arial"/>
                <w:sz w:val="13"/>
                <w:szCs w:val="13"/>
                <w:b w:val="1"/>
                <w:bCs w:val="1"/>
                <w:color w:val="00AE4F"/>
              </w:rPr>
              <w:t>Number of</w:t>
            </w:r>
          </w:p>
        </w:tc>
        <w:tc>
          <w:tcPr>
            <w:tcW w:w="1240" w:type="dxa"/>
            <w:vAlign w:val="bottom"/>
          </w:tcPr>
          <w:p>
            <w:pPr>
              <w:spacing w:after="0"/>
              <w:rPr>
                <w:sz w:val="11"/>
                <w:szCs w:val="11"/>
                <w:color w:val="auto"/>
              </w:rPr>
            </w:pPr>
          </w:p>
        </w:tc>
        <w:tc>
          <w:tcPr>
            <w:tcW w:w="1420" w:type="dxa"/>
            <w:vAlign w:val="bottom"/>
          </w:tcPr>
          <w:p>
            <w:pPr>
              <w:jc w:val="center"/>
              <w:ind w:right="14"/>
              <w:spacing w:after="0" w:line="134" w:lineRule="exact"/>
              <w:rPr>
                <w:sz w:val="20"/>
                <w:szCs w:val="20"/>
                <w:color w:val="auto"/>
              </w:rPr>
            </w:pPr>
            <w:r>
              <w:rPr>
                <w:rFonts w:ascii="Arial" w:cs="Arial" w:eastAsia="Arial" w:hAnsi="Arial"/>
                <w:sz w:val="13"/>
                <w:szCs w:val="13"/>
                <w:b w:val="1"/>
                <w:bCs w:val="1"/>
                <w:color w:val="00AE4F"/>
              </w:rPr>
              <w:t>Number of</w:t>
            </w:r>
          </w:p>
        </w:tc>
        <w:tc>
          <w:tcPr>
            <w:tcW w:w="132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jc w:val="center"/>
              <w:ind w:left="154"/>
              <w:spacing w:after="0"/>
              <w:rPr>
                <w:sz w:val="20"/>
                <w:szCs w:val="20"/>
                <w:color w:val="auto"/>
              </w:rPr>
            </w:pPr>
            <w:r>
              <w:rPr>
                <w:rFonts w:ascii="Arial" w:cs="Arial" w:eastAsia="Arial" w:hAnsi="Arial"/>
                <w:sz w:val="13"/>
                <w:szCs w:val="13"/>
                <w:b w:val="1"/>
                <w:bCs w:val="1"/>
                <w:color w:val="00AE4F"/>
              </w:rPr>
              <w:t>Shares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00AE4F"/>
                <w:w w:val="97"/>
              </w:rPr>
              <w:t>Value</w:t>
            </w:r>
          </w:p>
        </w:tc>
        <w:tc>
          <w:tcPr>
            <w:tcW w:w="1420" w:type="dxa"/>
            <w:vAlign w:val="bottom"/>
          </w:tcPr>
          <w:p>
            <w:pPr>
              <w:jc w:val="center"/>
              <w:ind w:right="34"/>
              <w:spacing w:after="0"/>
              <w:rPr>
                <w:sz w:val="20"/>
                <w:szCs w:val="20"/>
                <w:color w:val="auto"/>
              </w:rPr>
            </w:pPr>
            <w:r>
              <w:rPr>
                <w:rFonts w:ascii="Arial" w:cs="Arial" w:eastAsia="Arial" w:hAnsi="Arial"/>
                <w:sz w:val="13"/>
                <w:szCs w:val="13"/>
                <w:b w:val="1"/>
                <w:bCs w:val="1"/>
                <w:color w:val="00AE4F"/>
              </w:rPr>
              <w:t>Shares</w:t>
            </w:r>
          </w:p>
        </w:tc>
        <w:tc>
          <w:tcPr>
            <w:tcW w:w="1320" w:type="dxa"/>
            <w:vAlign w:val="bottom"/>
          </w:tcPr>
          <w:p>
            <w:pPr>
              <w:jc w:val="center"/>
              <w:ind w:left="95"/>
              <w:spacing w:after="0"/>
              <w:rPr>
                <w:sz w:val="20"/>
                <w:szCs w:val="20"/>
                <w:color w:val="auto"/>
              </w:rPr>
            </w:pPr>
            <w:r>
              <w:rPr>
                <w:rFonts w:ascii="Arial" w:cs="Arial" w:eastAsia="Arial" w:hAnsi="Arial"/>
                <w:sz w:val="13"/>
                <w:szCs w:val="13"/>
                <w:b w:val="1"/>
                <w:bCs w:val="1"/>
                <w:color w:val="00AE4F"/>
              </w:rPr>
              <w:t>Value</w:t>
            </w:r>
          </w:p>
        </w:tc>
      </w:tr>
      <w:tr>
        <w:trPr>
          <w:trHeight w:val="143"/>
        </w:trPr>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00AE4F"/>
              </w:rPr>
              <w:t>Acquired on</w:t>
            </w: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Realized on</w:t>
            </w:r>
          </w:p>
        </w:tc>
        <w:tc>
          <w:tcPr>
            <w:tcW w:w="14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00AE4F"/>
              </w:rPr>
              <w:t>Acquired on</w:t>
            </w:r>
          </w:p>
        </w:tc>
        <w:tc>
          <w:tcPr>
            <w:tcW w:w="1320" w:type="dxa"/>
            <w:vAlign w:val="bottom"/>
          </w:tcPr>
          <w:p>
            <w:pPr>
              <w:jc w:val="center"/>
              <w:ind w:left="95"/>
              <w:spacing w:after="0" w:line="144" w:lineRule="exact"/>
              <w:rPr>
                <w:sz w:val="20"/>
                <w:szCs w:val="20"/>
                <w:color w:val="auto"/>
              </w:rPr>
            </w:pPr>
            <w:r>
              <w:rPr>
                <w:rFonts w:ascii="Arial" w:cs="Arial" w:eastAsia="Arial" w:hAnsi="Arial"/>
                <w:sz w:val="13"/>
                <w:szCs w:val="13"/>
                <w:b w:val="1"/>
                <w:bCs w:val="1"/>
                <w:color w:val="00AE4F"/>
                <w:w w:val="99"/>
              </w:rPr>
              <w:t>Realized on</w:t>
            </w:r>
          </w:p>
        </w:tc>
      </w:tr>
      <w:tr>
        <w:trPr>
          <w:trHeight w:val="154"/>
        </w:trPr>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60" w:type="dxa"/>
            <w:vAlign w:val="bottom"/>
          </w:tcPr>
          <w:p>
            <w:pPr>
              <w:jc w:val="center"/>
              <w:ind w:left="154"/>
              <w:spacing w:after="0"/>
              <w:rPr>
                <w:sz w:val="20"/>
                <w:szCs w:val="20"/>
                <w:color w:val="auto"/>
              </w:rPr>
            </w:pPr>
            <w:r>
              <w:rPr>
                <w:rFonts w:ascii="Arial" w:cs="Arial" w:eastAsia="Arial" w:hAnsi="Arial"/>
                <w:sz w:val="13"/>
                <w:szCs w:val="13"/>
                <w:b w:val="1"/>
                <w:bCs w:val="1"/>
                <w:color w:val="00AE4F"/>
              </w:rPr>
              <w:t>Exercise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00AE4F"/>
              </w:rPr>
              <w:t>Exercise</w:t>
            </w:r>
          </w:p>
        </w:tc>
        <w:tc>
          <w:tcPr>
            <w:tcW w:w="1420" w:type="dxa"/>
            <w:vAlign w:val="bottom"/>
          </w:tcPr>
          <w:p>
            <w:pPr>
              <w:jc w:val="center"/>
              <w:ind w:right="14"/>
              <w:spacing w:after="0"/>
              <w:rPr>
                <w:sz w:val="20"/>
                <w:szCs w:val="20"/>
                <w:color w:val="auto"/>
              </w:rPr>
            </w:pPr>
            <w:r>
              <w:rPr>
                <w:rFonts w:ascii="Arial" w:cs="Arial" w:eastAsia="Arial" w:hAnsi="Arial"/>
                <w:sz w:val="13"/>
                <w:szCs w:val="13"/>
                <w:b w:val="1"/>
                <w:bCs w:val="1"/>
                <w:color w:val="00AE4F"/>
                <w:w w:val="97"/>
              </w:rPr>
              <w:t>Vesting</w:t>
            </w:r>
          </w:p>
        </w:tc>
        <w:tc>
          <w:tcPr>
            <w:tcW w:w="1320" w:type="dxa"/>
            <w:vAlign w:val="bottom"/>
          </w:tcPr>
          <w:p>
            <w:pPr>
              <w:jc w:val="center"/>
              <w:ind w:left="95"/>
              <w:spacing w:after="0" w:line="154" w:lineRule="exact"/>
              <w:rPr>
                <w:sz w:val="20"/>
                <w:szCs w:val="20"/>
                <w:color w:val="auto"/>
              </w:rPr>
            </w:pPr>
            <w:r>
              <w:rPr>
                <w:rFonts w:ascii="Arial" w:cs="Arial" w:eastAsia="Arial" w:hAnsi="Arial"/>
                <w:sz w:val="12"/>
                <w:szCs w:val="12"/>
                <w:b w:val="1"/>
                <w:bCs w:val="1"/>
                <w:color w:val="00AE4F"/>
              </w:rPr>
              <w:t>Vesting</w:t>
            </w:r>
            <w:r>
              <w:rPr>
                <w:rFonts w:ascii="Arial" w:cs="Arial" w:eastAsia="Arial" w:hAnsi="Arial"/>
                <w:sz w:val="17"/>
                <w:szCs w:val="17"/>
                <w:b w:val="1"/>
                <w:bCs w:val="1"/>
                <w:color w:val="00AE4F"/>
                <w:vertAlign w:val="superscript"/>
              </w:rPr>
              <w:t>(1)</w:t>
            </w:r>
          </w:p>
        </w:tc>
      </w:tr>
      <w:tr>
        <w:trPr>
          <w:trHeight w:val="192"/>
        </w:trPr>
        <w:tc>
          <w:tcPr>
            <w:tcW w:w="4700" w:type="dxa"/>
            <w:vAlign w:val="bottom"/>
            <w:gridSpan w:val="3"/>
          </w:tcPr>
          <w:p>
            <w:pPr>
              <w:spacing w:after="0"/>
              <w:rPr>
                <w:sz w:val="20"/>
                <w:szCs w:val="20"/>
                <w:color w:val="auto"/>
              </w:rPr>
            </w:pPr>
            <w:r>
              <w:rPr>
                <w:rFonts w:ascii="Arial" w:cs="Arial" w:eastAsia="Arial" w:hAnsi="Arial"/>
                <w:sz w:val="13"/>
                <w:szCs w:val="13"/>
                <w:b w:val="1"/>
                <w:bCs w:val="1"/>
                <w:color w:val="00AE4F"/>
              </w:rPr>
              <w:t>Name</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00AE4F"/>
              </w:rPr>
              <w:t>(#)</w:t>
            </w:r>
          </w:p>
        </w:tc>
        <w:tc>
          <w:tcPr>
            <w:tcW w:w="1240" w:type="dxa"/>
            <w:vAlign w:val="bottom"/>
          </w:tcPr>
          <w:p>
            <w:pPr>
              <w:ind w:left="520"/>
              <w:spacing w:after="0"/>
              <w:rPr>
                <w:sz w:val="20"/>
                <w:szCs w:val="20"/>
                <w:color w:val="auto"/>
              </w:rPr>
            </w:pPr>
            <w:r>
              <w:rPr>
                <w:rFonts w:ascii="Arial" w:cs="Arial" w:eastAsia="Arial" w:hAnsi="Arial"/>
                <w:sz w:val="13"/>
                <w:szCs w:val="13"/>
                <w:b w:val="1"/>
                <w:bCs w:val="1"/>
                <w:color w:val="00AE4F"/>
              </w:rPr>
              <w:t>($)</w:t>
            </w:r>
          </w:p>
        </w:tc>
        <w:tc>
          <w:tcPr>
            <w:tcW w:w="1420" w:type="dxa"/>
            <w:vAlign w:val="bottom"/>
          </w:tcPr>
          <w:p>
            <w:pPr>
              <w:jc w:val="center"/>
              <w:ind w:right="34"/>
              <w:spacing w:after="0"/>
              <w:rPr>
                <w:sz w:val="20"/>
                <w:szCs w:val="20"/>
                <w:color w:val="auto"/>
              </w:rPr>
            </w:pPr>
            <w:r>
              <w:rPr>
                <w:rFonts w:ascii="Arial" w:cs="Arial" w:eastAsia="Arial" w:hAnsi="Arial"/>
                <w:sz w:val="13"/>
                <w:szCs w:val="13"/>
                <w:b w:val="1"/>
                <w:bCs w:val="1"/>
                <w:color w:val="00AE4F"/>
              </w:rPr>
              <w:t>(#)</w:t>
            </w:r>
          </w:p>
        </w:tc>
        <w:tc>
          <w:tcPr>
            <w:tcW w:w="1320" w:type="dxa"/>
            <w:vAlign w:val="bottom"/>
          </w:tcPr>
          <w:p>
            <w:pPr>
              <w:jc w:val="center"/>
              <w:ind w:left="95"/>
              <w:spacing w:after="0"/>
              <w:rPr>
                <w:sz w:val="20"/>
                <w:szCs w:val="20"/>
                <w:color w:val="auto"/>
              </w:rPr>
            </w:pPr>
            <w:r>
              <w:rPr>
                <w:rFonts w:ascii="Arial" w:cs="Arial" w:eastAsia="Arial" w:hAnsi="Arial"/>
                <w:sz w:val="13"/>
                <w:szCs w:val="13"/>
                <w:b w:val="1"/>
                <w:bCs w:val="1"/>
                <w:color w:val="00AE4F"/>
              </w:rPr>
              <w:t>($)</w:t>
            </w:r>
          </w:p>
        </w:tc>
      </w:tr>
      <w:tr>
        <w:trPr>
          <w:trHeight w:val="39"/>
        </w:trPr>
        <w:tc>
          <w:tcPr>
            <w:tcW w:w="60" w:type="dxa"/>
            <w:vAlign w:val="bottom"/>
            <w:tcBorders>
              <w:bottom w:val="single" w:sz="8" w:color="33302B"/>
            </w:tcBorders>
          </w:tcPr>
          <w:p>
            <w:pPr>
              <w:spacing w:after="0"/>
              <w:rPr>
                <w:sz w:val="3"/>
                <w:szCs w:val="3"/>
                <w:color w:val="auto"/>
              </w:rPr>
            </w:pPr>
          </w:p>
        </w:tc>
        <w:tc>
          <w:tcPr>
            <w:tcW w:w="1040" w:type="dxa"/>
            <w:vAlign w:val="bottom"/>
            <w:tcBorders>
              <w:bottom w:val="single" w:sz="8" w:color="33302B"/>
            </w:tcBorders>
          </w:tcPr>
          <w:p>
            <w:pPr>
              <w:spacing w:after="0"/>
              <w:rPr>
                <w:sz w:val="3"/>
                <w:szCs w:val="3"/>
                <w:color w:val="auto"/>
              </w:rPr>
            </w:pPr>
          </w:p>
        </w:tc>
        <w:tc>
          <w:tcPr>
            <w:tcW w:w="3600" w:type="dxa"/>
            <w:vAlign w:val="bottom"/>
            <w:tcBorders>
              <w:bottom w:val="single" w:sz="8" w:color="33302B"/>
            </w:tcBorders>
          </w:tcPr>
          <w:p>
            <w:pPr>
              <w:spacing w:after="0"/>
              <w:rPr>
                <w:sz w:val="3"/>
                <w:szCs w:val="3"/>
                <w:color w:val="auto"/>
              </w:rPr>
            </w:pPr>
          </w:p>
        </w:tc>
        <w:tc>
          <w:tcPr>
            <w:tcW w:w="1460" w:type="dxa"/>
            <w:vAlign w:val="bottom"/>
            <w:tcBorders>
              <w:bottom w:val="single" w:sz="8" w:color="33302B"/>
            </w:tcBorders>
          </w:tcPr>
          <w:p>
            <w:pPr>
              <w:spacing w:after="0"/>
              <w:rPr>
                <w:sz w:val="3"/>
                <w:szCs w:val="3"/>
                <w:color w:val="auto"/>
              </w:rPr>
            </w:pPr>
          </w:p>
        </w:tc>
        <w:tc>
          <w:tcPr>
            <w:tcW w:w="1240" w:type="dxa"/>
            <w:vAlign w:val="bottom"/>
            <w:tcBorders>
              <w:bottom w:val="single" w:sz="8" w:color="33302B"/>
            </w:tcBorders>
          </w:tcPr>
          <w:p>
            <w:pPr>
              <w:spacing w:after="0"/>
              <w:rPr>
                <w:sz w:val="3"/>
                <w:szCs w:val="3"/>
                <w:color w:val="auto"/>
              </w:rPr>
            </w:pPr>
          </w:p>
        </w:tc>
        <w:tc>
          <w:tcPr>
            <w:tcW w:w="1420" w:type="dxa"/>
            <w:vAlign w:val="bottom"/>
            <w:tcBorders>
              <w:bottom w:val="single" w:sz="8" w:color="33302B"/>
            </w:tcBorders>
          </w:tcPr>
          <w:p>
            <w:pPr>
              <w:spacing w:after="0"/>
              <w:rPr>
                <w:sz w:val="3"/>
                <w:szCs w:val="3"/>
                <w:color w:val="auto"/>
              </w:rPr>
            </w:pPr>
          </w:p>
        </w:tc>
        <w:tc>
          <w:tcPr>
            <w:tcW w:w="1320" w:type="dxa"/>
            <w:vAlign w:val="bottom"/>
            <w:tcBorders>
              <w:bottom w:val="single" w:sz="8" w:color="33302B"/>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1460" w:type="dxa"/>
            <w:vAlign w:val="bottom"/>
          </w:tcPr>
          <w:p>
            <w:pPr>
              <w:ind w:left="760"/>
              <w:spacing w:after="0"/>
              <w:rPr>
                <w:sz w:val="20"/>
                <w:szCs w:val="20"/>
                <w:color w:val="auto"/>
              </w:rPr>
            </w:pPr>
            <w:r>
              <w:rPr>
                <w:rFonts w:ascii="Arial" w:cs="Arial" w:eastAsia="Arial" w:hAnsi="Arial"/>
                <w:sz w:val="13"/>
                <w:szCs w:val="13"/>
                <w:color w:val="auto"/>
              </w:rPr>
              <w:t>— </w:t>
            </w: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w w:val="91"/>
              </w:rPr>
              <w:t>—</w:t>
            </w: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1460" w:type="dxa"/>
            <w:vAlign w:val="bottom"/>
          </w:tcPr>
          <w:p>
            <w:pPr>
              <w:ind w:left="760"/>
              <w:spacing w:after="0"/>
              <w:rPr>
                <w:sz w:val="20"/>
                <w:szCs w:val="20"/>
                <w:color w:val="auto"/>
              </w:rPr>
            </w:pPr>
            <w:r>
              <w:rPr>
                <w:rFonts w:ascii="Arial" w:cs="Arial" w:eastAsia="Arial" w:hAnsi="Arial"/>
                <w:sz w:val="13"/>
                <w:szCs w:val="13"/>
                <w:color w:val="auto"/>
              </w:rPr>
              <w:t>— </w:t>
            </w: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86,122</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rPr>
              <w:t>1,067,913</w:t>
            </w: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1460" w:type="dxa"/>
            <w:vAlign w:val="bottom"/>
          </w:tcPr>
          <w:p>
            <w:pPr>
              <w:ind w:left="760"/>
              <w:spacing w:after="0"/>
              <w:rPr>
                <w:sz w:val="20"/>
                <w:szCs w:val="20"/>
                <w:color w:val="auto"/>
              </w:rPr>
            </w:pPr>
            <w:r>
              <w:rPr>
                <w:rFonts w:ascii="Arial" w:cs="Arial" w:eastAsia="Arial" w:hAnsi="Arial"/>
                <w:sz w:val="13"/>
                <w:szCs w:val="13"/>
                <w:color w:val="auto"/>
              </w:rPr>
              <w:t>— </w:t>
            </w: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13,035</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rPr>
              <w:t>177,929</w:t>
            </w: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1460" w:type="dxa"/>
            <w:vAlign w:val="bottom"/>
          </w:tcPr>
          <w:p>
            <w:pPr>
              <w:ind w:left="760"/>
              <w:spacing w:after="0"/>
              <w:rPr>
                <w:sz w:val="20"/>
                <w:szCs w:val="20"/>
                <w:color w:val="auto"/>
              </w:rPr>
            </w:pPr>
            <w:r>
              <w:rPr>
                <w:rFonts w:ascii="Arial" w:cs="Arial" w:eastAsia="Arial" w:hAnsi="Arial"/>
                <w:sz w:val="13"/>
                <w:szCs w:val="13"/>
                <w:color w:val="auto"/>
              </w:rPr>
              <w:t>— </w:t>
            </w: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20,809</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rPr>
              <w:t>284,741</w:t>
            </w: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r>
        <w:trPr>
          <w:trHeight w:val="214"/>
        </w:trPr>
        <w:tc>
          <w:tcPr>
            <w:tcW w:w="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146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12,271</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rPr>
              <w:t>167,552</w:t>
            </w: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r>
        <w:trPr>
          <w:trHeight w:val="178"/>
        </w:trPr>
        <w:tc>
          <w:tcPr>
            <w:tcW w:w="6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3"/>
                <w:szCs w:val="13"/>
                <w:i w:val="1"/>
                <w:iCs w:val="1"/>
                <w:color w:val="auto"/>
              </w:rPr>
              <w:t>Former Executive</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82"/>
        </w:trPr>
        <w:tc>
          <w:tcPr>
            <w:tcW w:w="60" w:type="dxa"/>
            <w:vAlign w:val="bottom"/>
          </w:tcPr>
          <w:p>
            <w:pPr>
              <w:spacing w:after="0"/>
              <w:rPr>
                <w:sz w:val="24"/>
                <w:szCs w:val="24"/>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Peter W. Quigley</w:t>
            </w:r>
          </w:p>
        </w:tc>
        <w:tc>
          <w:tcPr>
            <w:tcW w:w="36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3"/>
                <w:szCs w:val="13"/>
                <w:color w:val="auto"/>
              </w:rPr>
              <w:t>— </w:t>
            </w:r>
          </w:p>
        </w:tc>
        <w:tc>
          <w:tcPr>
            <w:tcW w:w="1240" w:type="dxa"/>
            <w:vAlign w:val="bottom"/>
          </w:tcPr>
          <w:p>
            <w:pPr>
              <w:ind w:left="520"/>
              <w:spacing w:after="0"/>
              <w:rPr>
                <w:sz w:val="20"/>
                <w:szCs w:val="20"/>
                <w:color w:val="auto"/>
              </w:rPr>
            </w:pPr>
            <w:r>
              <w:rPr>
                <w:rFonts w:ascii="Arial" w:cs="Arial" w:eastAsia="Arial" w:hAnsi="Arial"/>
                <w:sz w:val="13"/>
                <w:szCs w:val="13"/>
                <w:color w:val="auto"/>
              </w:rPr>
              <w:t>— </w:t>
            </w:r>
          </w:p>
        </w:tc>
        <w:tc>
          <w:tcPr>
            <w:tcW w:w="1420" w:type="dxa"/>
            <w:vAlign w:val="bottom"/>
          </w:tcPr>
          <w:p>
            <w:pPr>
              <w:jc w:val="center"/>
              <w:spacing w:after="0"/>
              <w:rPr>
                <w:sz w:val="20"/>
                <w:szCs w:val="20"/>
                <w:color w:val="auto"/>
              </w:rPr>
            </w:pPr>
            <w:r>
              <w:rPr>
                <w:rFonts w:ascii="Arial" w:cs="Arial" w:eastAsia="Arial" w:hAnsi="Arial"/>
                <w:sz w:val="13"/>
                <w:szCs w:val="13"/>
                <w:color w:val="auto"/>
              </w:rPr>
              <w:t>84,205</w:t>
            </w:r>
          </w:p>
        </w:tc>
        <w:tc>
          <w:tcPr>
            <w:tcW w:w="1320" w:type="dxa"/>
            <w:vAlign w:val="bottom"/>
          </w:tcPr>
          <w:p>
            <w:pPr>
              <w:jc w:val="center"/>
              <w:ind w:left="135"/>
              <w:spacing w:after="0"/>
              <w:rPr>
                <w:sz w:val="20"/>
                <w:szCs w:val="20"/>
                <w:color w:val="auto"/>
              </w:rPr>
            </w:pPr>
            <w:r>
              <w:rPr>
                <w:rFonts w:ascii="Arial" w:cs="Arial" w:eastAsia="Arial" w:hAnsi="Arial"/>
                <w:sz w:val="13"/>
                <w:szCs w:val="13"/>
                <w:color w:val="auto"/>
              </w:rPr>
              <w:t>1,148,906</w:t>
            </w:r>
          </w:p>
        </w:tc>
      </w:tr>
      <w:tr>
        <w:trPr>
          <w:trHeight w:val="45"/>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3600" w:type="dxa"/>
            <w:vAlign w:val="bottom"/>
            <w:tcBorders>
              <w:bottom w:val="single" w:sz="8" w:color="7F7F7F"/>
            </w:tcBorders>
          </w:tcPr>
          <w:p>
            <w:pPr>
              <w:spacing w:after="0"/>
              <w:rPr>
                <w:sz w:val="3"/>
                <w:szCs w:val="3"/>
                <w:color w:val="auto"/>
              </w:rPr>
            </w:pPr>
          </w:p>
        </w:tc>
        <w:tc>
          <w:tcPr>
            <w:tcW w:w="14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r>
    </w:tbl>
    <w:p>
      <w:pPr>
        <w:spacing w:after="0" w:line="96" w:lineRule="exact"/>
        <w:rPr>
          <w:sz w:val="20"/>
          <w:szCs w:val="20"/>
          <w:color w:val="auto"/>
        </w:rPr>
      </w:pPr>
    </w:p>
    <w:p>
      <w:pPr>
        <w:ind w:left="860" w:hanging="296"/>
        <w:spacing w:after="0"/>
        <w:tabs>
          <w:tab w:leader="none" w:pos="8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Value Realized on Vesting is calculated by multiplying the shares vested times the stock closing price on the day of vesting.</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Nonqualified Deferred Compensation 2025</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jc w:val="center"/>
              <w:ind w:left="794"/>
              <w:spacing w:after="0"/>
              <w:rPr>
                <w:sz w:val="20"/>
                <w:szCs w:val="20"/>
                <w:color w:val="auto"/>
              </w:rPr>
            </w:pPr>
            <w:r>
              <w:rPr>
                <w:rFonts w:ascii="Arial" w:cs="Arial" w:eastAsia="Arial" w:hAnsi="Arial"/>
                <w:sz w:val="13"/>
                <w:szCs w:val="13"/>
                <w:b w:val="1"/>
                <w:bCs w:val="1"/>
                <w:color w:val="00AE4F"/>
              </w:rPr>
              <w:t>Executive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AE4F"/>
              </w:rPr>
              <w:t>Registrant</w:t>
            </w: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tcPr>
          <w:p>
            <w:pPr>
              <w:jc w:val="center"/>
              <w:ind w:left="54"/>
              <w:spacing w:after="0"/>
              <w:rPr>
                <w:sz w:val="20"/>
                <w:szCs w:val="20"/>
                <w:color w:val="auto"/>
              </w:rPr>
            </w:pPr>
            <w:r>
              <w:rPr>
                <w:rFonts w:ascii="Arial" w:cs="Arial" w:eastAsia="Arial" w:hAnsi="Arial"/>
                <w:sz w:val="13"/>
                <w:szCs w:val="13"/>
                <w:b w:val="1"/>
                <w:bCs w:val="1"/>
                <w:color w:val="00AE4F"/>
              </w:rPr>
              <w:t>Aggregate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jc w:val="center"/>
              <w:ind w:left="794"/>
              <w:spacing w:after="0"/>
              <w:rPr>
                <w:sz w:val="20"/>
                <w:szCs w:val="20"/>
                <w:color w:val="auto"/>
              </w:rPr>
            </w:pPr>
            <w:r>
              <w:rPr>
                <w:rFonts w:ascii="Arial" w:cs="Arial" w:eastAsia="Arial" w:hAnsi="Arial"/>
                <w:sz w:val="13"/>
                <w:szCs w:val="13"/>
                <w:b w:val="1"/>
                <w:bCs w:val="1"/>
                <w:color w:val="00AE4F"/>
              </w:rPr>
              <w:t>Contributions in</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AE4F"/>
              </w:rPr>
              <w:t>Contributions in</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AE4F"/>
              </w:rPr>
              <w:t>Aggregate</w:t>
            </w:r>
          </w:p>
        </w:tc>
        <w:tc>
          <w:tcPr>
            <w:tcW w:w="1380" w:type="dxa"/>
            <w:vAlign w:val="bottom"/>
          </w:tcPr>
          <w:p>
            <w:pPr>
              <w:jc w:val="center"/>
              <w:ind w:right="15"/>
              <w:spacing w:after="0"/>
              <w:rPr>
                <w:sz w:val="20"/>
                <w:szCs w:val="20"/>
                <w:color w:val="auto"/>
              </w:rPr>
            </w:pPr>
            <w:r>
              <w:rPr>
                <w:rFonts w:ascii="Arial" w:cs="Arial" w:eastAsia="Arial" w:hAnsi="Arial"/>
                <w:sz w:val="13"/>
                <w:szCs w:val="13"/>
                <w:b w:val="1"/>
                <w:bCs w:val="1"/>
                <w:color w:val="00AE4F"/>
              </w:rPr>
              <w:t>Aggregate</w:t>
            </w:r>
          </w:p>
        </w:tc>
        <w:tc>
          <w:tcPr>
            <w:tcW w:w="1100" w:type="dxa"/>
            <w:vAlign w:val="bottom"/>
          </w:tcPr>
          <w:p>
            <w:pPr>
              <w:jc w:val="center"/>
              <w:ind w:left="54"/>
              <w:spacing w:after="0"/>
              <w:rPr>
                <w:sz w:val="20"/>
                <w:szCs w:val="20"/>
                <w:color w:val="auto"/>
              </w:rPr>
            </w:pPr>
            <w:r>
              <w:rPr>
                <w:rFonts w:ascii="Arial" w:cs="Arial" w:eastAsia="Arial" w:hAnsi="Arial"/>
                <w:sz w:val="13"/>
                <w:szCs w:val="13"/>
                <w:b w:val="1"/>
                <w:bCs w:val="1"/>
                <w:color w:val="00AE4F"/>
              </w:rPr>
              <w:t>Balance at</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jc w:val="center"/>
              <w:ind w:left="814"/>
              <w:spacing w:after="0" w:line="144" w:lineRule="exact"/>
              <w:rPr>
                <w:sz w:val="20"/>
                <w:szCs w:val="20"/>
                <w:color w:val="auto"/>
              </w:rPr>
            </w:pPr>
            <w:r>
              <w:rPr>
                <w:rFonts w:ascii="Arial" w:cs="Arial" w:eastAsia="Arial" w:hAnsi="Arial"/>
                <w:sz w:val="13"/>
                <w:szCs w:val="13"/>
                <w:b w:val="1"/>
                <w:bCs w:val="1"/>
                <w:color w:val="00AE4F"/>
              </w:rPr>
              <w:t>Last Fiscal</w:t>
            </w: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Last Fiscal</w:t>
            </w: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rPr>
              <w:t>Earnings in Last</w:t>
            </w:r>
          </w:p>
        </w:tc>
        <w:tc>
          <w:tcPr>
            <w:tcW w:w="1380" w:type="dxa"/>
            <w:vAlign w:val="bottom"/>
          </w:tcPr>
          <w:p>
            <w:pPr>
              <w:jc w:val="center"/>
              <w:ind w:right="15"/>
              <w:spacing w:after="0" w:line="144" w:lineRule="exact"/>
              <w:rPr>
                <w:sz w:val="20"/>
                <w:szCs w:val="20"/>
                <w:color w:val="auto"/>
              </w:rPr>
            </w:pPr>
            <w:r>
              <w:rPr>
                <w:rFonts w:ascii="Arial" w:cs="Arial" w:eastAsia="Arial" w:hAnsi="Arial"/>
                <w:sz w:val="13"/>
                <w:szCs w:val="13"/>
                <w:b w:val="1"/>
                <w:bCs w:val="1"/>
                <w:color w:val="00AE4F"/>
              </w:rPr>
              <w:t>Withdrawals/</w:t>
            </w:r>
          </w:p>
        </w:tc>
        <w:tc>
          <w:tcPr>
            <w:tcW w:w="110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00AE4F"/>
              </w:rPr>
              <w:t>Last Fiscal</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80" w:type="dxa"/>
            <w:vAlign w:val="bottom"/>
          </w:tcPr>
          <w:p>
            <w:pPr>
              <w:jc w:val="center"/>
              <w:ind w:left="814"/>
              <w:spacing w:after="0" w:line="154" w:lineRule="exact"/>
              <w:rPr>
                <w:sz w:val="20"/>
                <w:szCs w:val="20"/>
                <w:color w:val="auto"/>
              </w:rPr>
            </w:pPr>
            <w:r>
              <w:rPr>
                <w:rFonts w:ascii="Arial" w:cs="Arial" w:eastAsia="Arial" w:hAnsi="Arial"/>
                <w:sz w:val="12"/>
                <w:szCs w:val="12"/>
                <w:b w:val="1"/>
                <w:bCs w:val="1"/>
                <w:color w:val="00AE4F"/>
              </w:rPr>
              <w:t>Year</w:t>
            </w:r>
            <w:r>
              <w:rPr>
                <w:rFonts w:ascii="Arial" w:cs="Arial" w:eastAsia="Arial" w:hAnsi="Arial"/>
                <w:sz w:val="17"/>
                <w:szCs w:val="17"/>
                <w:b w:val="1"/>
                <w:bCs w:val="1"/>
                <w:color w:val="00AE4F"/>
                <w:vertAlign w:val="superscript"/>
              </w:rPr>
              <w:t>(1)</w:t>
            </w:r>
          </w:p>
        </w:tc>
        <w:tc>
          <w:tcPr>
            <w:tcW w:w="1420" w:type="dxa"/>
            <w:vAlign w:val="bottom"/>
          </w:tcPr>
          <w:p>
            <w:pPr>
              <w:jc w:val="center"/>
              <w:spacing w:after="0" w:line="154" w:lineRule="exact"/>
              <w:rPr>
                <w:sz w:val="20"/>
                <w:szCs w:val="20"/>
                <w:color w:val="auto"/>
              </w:rPr>
            </w:pPr>
            <w:r>
              <w:rPr>
                <w:rFonts w:ascii="Arial" w:cs="Arial" w:eastAsia="Arial" w:hAnsi="Arial"/>
                <w:sz w:val="12"/>
                <w:szCs w:val="12"/>
                <w:b w:val="1"/>
                <w:bCs w:val="1"/>
                <w:color w:val="00AE4F"/>
              </w:rPr>
              <w:t>Year</w:t>
            </w:r>
            <w:r>
              <w:rPr>
                <w:rFonts w:ascii="Arial" w:cs="Arial" w:eastAsia="Arial" w:hAnsi="Arial"/>
                <w:sz w:val="17"/>
                <w:szCs w:val="17"/>
                <w:b w:val="1"/>
                <w:bCs w:val="1"/>
                <w:color w:val="00AE4F"/>
                <w:vertAlign w:val="superscript"/>
              </w:rPr>
              <w:t>(2)</w:t>
            </w:r>
          </w:p>
        </w:tc>
        <w:tc>
          <w:tcPr>
            <w:tcW w:w="1420" w:type="dxa"/>
            <w:vAlign w:val="bottom"/>
          </w:tcPr>
          <w:p>
            <w:pPr>
              <w:jc w:val="center"/>
              <w:spacing w:after="0" w:line="154" w:lineRule="exact"/>
              <w:rPr>
                <w:sz w:val="20"/>
                <w:szCs w:val="20"/>
                <w:color w:val="auto"/>
              </w:rPr>
            </w:pPr>
            <w:r>
              <w:rPr>
                <w:rFonts w:ascii="Arial" w:cs="Arial" w:eastAsia="Arial" w:hAnsi="Arial"/>
                <w:sz w:val="12"/>
                <w:szCs w:val="12"/>
                <w:b w:val="1"/>
                <w:bCs w:val="1"/>
                <w:color w:val="00AE4F"/>
              </w:rPr>
              <w:t>Fiscal Year</w:t>
            </w:r>
            <w:r>
              <w:rPr>
                <w:rFonts w:ascii="Arial" w:cs="Arial" w:eastAsia="Arial" w:hAnsi="Arial"/>
                <w:sz w:val="17"/>
                <w:szCs w:val="17"/>
                <w:b w:val="1"/>
                <w:bCs w:val="1"/>
                <w:color w:val="00AE4F"/>
                <w:vertAlign w:val="superscript"/>
              </w:rPr>
              <w:t>(3)</w:t>
            </w:r>
          </w:p>
        </w:tc>
        <w:tc>
          <w:tcPr>
            <w:tcW w:w="1380" w:type="dxa"/>
            <w:vAlign w:val="bottom"/>
          </w:tcPr>
          <w:p>
            <w:pPr>
              <w:jc w:val="center"/>
              <w:ind w:right="15"/>
              <w:spacing w:after="0" w:line="154" w:lineRule="exact"/>
              <w:rPr>
                <w:sz w:val="20"/>
                <w:szCs w:val="20"/>
                <w:color w:val="auto"/>
              </w:rPr>
            </w:pPr>
            <w:r>
              <w:rPr>
                <w:rFonts w:ascii="Arial" w:cs="Arial" w:eastAsia="Arial" w:hAnsi="Arial"/>
                <w:sz w:val="12"/>
                <w:szCs w:val="12"/>
                <w:b w:val="1"/>
                <w:bCs w:val="1"/>
                <w:color w:val="00AE4F"/>
              </w:rPr>
              <w:t>Distributions</w:t>
            </w:r>
            <w:r>
              <w:rPr>
                <w:rFonts w:ascii="Arial" w:cs="Arial" w:eastAsia="Arial" w:hAnsi="Arial"/>
                <w:sz w:val="17"/>
                <w:szCs w:val="17"/>
                <w:b w:val="1"/>
                <w:bCs w:val="1"/>
                <w:color w:val="00AE4F"/>
                <w:vertAlign w:val="superscript"/>
              </w:rPr>
              <w:t>(4)</w:t>
            </w:r>
          </w:p>
        </w:tc>
        <w:tc>
          <w:tcPr>
            <w:tcW w:w="1100" w:type="dxa"/>
            <w:vAlign w:val="bottom"/>
          </w:tcPr>
          <w:p>
            <w:pPr>
              <w:jc w:val="center"/>
              <w:ind w:left="54"/>
              <w:spacing w:after="0" w:line="154" w:lineRule="exact"/>
              <w:rPr>
                <w:sz w:val="20"/>
                <w:szCs w:val="20"/>
                <w:color w:val="auto"/>
              </w:rPr>
            </w:pPr>
            <w:r>
              <w:rPr>
                <w:rFonts w:ascii="Arial" w:cs="Arial" w:eastAsia="Arial" w:hAnsi="Arial"/>
                <w:sz w:val="12"/>
                <w:szCs w:val="12"/>
                <w:b w:val="1"/>
                <w:bCs w:val="1"/>
                <w:color w:val="00AE4F"/>
              </w:rPr>
              <w:t>Year End</w:t>
            </w:r>
            <w:r>
              <w:rPr>
                <w:rFonts w:ascii="Arial" w:cs="Arial" w:eastAsia="Arial" w:hAnsi="Arial"/>
                <w:sz w:val="17"/>
                <w:szCs w:val="17"/>
                <w:b w:val="1"/>
                <w:bCs w:val="1"/>
                <w:color w:val="00AE4F"/>
                <w:vertAlign w:val="superscript"/>
              </w:rPr>
              <w:t>(5)</w:t>
            </w:r>
          </w:p>
        </w:tc>
        <w:tc>
          <w:tcPr>
            <w:tcW w:w="0" w:type="dxa"/>
            <w:vAlign w:val="bottom"/>
          </w:tcPr>
          <w:p>
            <w:pPr>
              <w:spacing w:after="0"/>
              <w:rPr>
                <w:sz w:val="1"/>
                <w:szCs w:val="1"/>
                <w:color w:val="auto"/>
              </w:rPr>
            </w:pPr>
          </w:p>
        </w:tc>
      </w:tr>
      <w:tr>
        <w:trPr>
          <w:trHeight w:val="180"/>
        </w:trPr>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00AE4F"/>
              </w:rPr>
              <w:t>Name</w:t>
            </w:r>
          </w:p>
        </w:tc>
        <w:tc>
          <w:tcPr>
            <w:tcW w:w="228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b w:val="1"/>
                <w:bCs w:val="1"/>
                <w:color w:val="00AE4F"/>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AE4F"/>
              </w:rPr>
              <w:t>($)</w:t>
            </w:r>
          </w:p>
        </w:tc>
        <w:tc>
          <w:tcPr>
            <w:tcW w:w="110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00AE4F"/>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Christopher D. Layden</w:t>
            </w:r>
          </w:p>
        </w:tc>
        <w:tc>
          <w:tcPr>
            <w:tcW w:w="2280" w:type="dxa"/>
            <w:vAlign w:val="bottom"/>
          </w:tcPr>
          <w:p>
            <w:pPr>
              <w:jc w:val="center"/>
              <w:ind w:left="854"/>
              <w:spacing w:after="0"/>
              <w:rPr>
                <w:sz w:val="20"/>
                <w:szCs w:val="20"/>
                <w:color w:val="auto"/>
              </w:rPr>
            </w:pPr>
            <w:r>
              <w:rPr>
                <w:rFonts w:ascii="Arial" w:cs="Arial" w:eastAsia="Arial" w:hAnsi="Arial"/>
                <w:sz w:val="13"/>
                <w:szCs w:val="13"/>
                <w:color w:val="auto"/>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380" w:type="dxa"/>
            <w:vAlign w:val="bottom"/>
          </w:tcPr>
          <w:p>
            <w:pPr>
              <w:ind w:left="64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lef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Troy R. Anderson</w:t>
            </w:r>
          </w:p>
        </w:tc>
        <w:tc>
          <w:tcPr>
            <w:tcW w:w="2280" w:type="dxa"/>
            <w:vAlign w:val="bottom"/>
          </w:tcPr>
          <w:p>
            <w:pPr>
              <w:jc w:val="center"/>
              <w:ind w:left="854"/>
              <w:spacing w:after="0"/>
              <w:rPr>
                <w:sz w:val="20"/>
                <w:szCs w:val="20"/>
                <w:color w:val="auto"/>
              </w:rPr>
            </w:pPr>
            <w:r>
              <w:rPr>
                <w:rFonts w:ascii="Arial" w:cs="Arial" w:eastAsia="Arial" w:hAnsi="Arial"/>
                <w:sz w:val="13"/>
                <w:szCs w:val="13"/>
                <w:color w:val="auto"/>
              </w:rPr>
              <w:t>65,000</w:t>
            </w:r>
          </w:p>
        </w:tc>
        <w:tc>
          <w:tcPr>
            <w:tcW w:w="1420" w:type="dxa"/>
            <w:vAlign w:val="bottom"/>
          </w:tcPr>
          <w:p>
            <w:pPr>
              <w:jc w:val="center"/>
              <w:spacing w:after="0"/>
              <w:rPr>
                <w:sz w:val="20"/>
                <w:szCs w:val="20"/>
                <w:color w:val="auto"/>
              </w:rPr>
            </w:pPr>
            <w:r>
              <w:rPr>
                <w:rFonts w:ascii="Arial" w:cs="Arial" w:eastAsia="Arial" w:hAnsi="Arial"/>
                <w:sz w:val="13"/>
                <w:szCs w:val="13"/>
                <w:color w:val="auto"/>
              </w:rPr>
              <w:t>32,500</w:t>
            </w:r>
          </w:p>
        </w:tc>
        <w:tc>
          <w:tcPr>
            <w:tcW w:w="1420" w:type="dxa"/>
            <w:vAlign w:val="bottom"/>
          </w:tcPr>
          <w:p>
            <w:pPr>
              <w:jc w:val="center"/>
              <w:spacing w:after="0"/>
              <w:rPr>
                <w:sz w:val="20"/>
                <w:szCs w:val="20"/>
                <w:color w:val="auto"/>
              </w:rPr>
            </w:pPr>
            <w:r>
              <w:rPr>
                <w:rFonts w:ascii="Arial" w:cs="Arial" w:eastAsia="Arial" w:hAnsi="Arial"/>
                <w:sz w:val="13"/>
                <w:szCs w:val="13"/>
                <w:color w:val="auto"/>
              </w:rPr>
              <w:t>12,280</w:t>
            </w:r>
          </w:p>
        </w:tc>
        <w:tc>
          <w:tcPr>
            <w:tcW w:w="1380" w:type="dxa"/>
            <w:vAlign w:val="bottom"/>
          </w:tcPr>
          <w:p>
            <w:pPr>
              <w:ind w:left="64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left="74"/>
              <w:spacing w:after="0"/>
              <w:rPr>
                <w:sz w:val="20"/>
                <w:szCs w:val="20"/>
                <w:color w:val="auto"/>
              </w:rPr>
            </w:pPr>
            <w:r>
              <w:rPr>
                <w:rFonts w:ascii="Arial" w:cs="Arial" w:eastAsia="Arial" w:hAnsi="Arial"/>
                <w:sz w:val="13"/>
                <w:szCs w:val="13"/>
                <w:color w:val="auto"/>
              </w:rPr>
              <w:t>120,749</w:t>
            </w: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Tammy L. Browning</w:t>
            </w:r>
          </w:p>
        </w:tc>
        <w:tc>
          <w:tcPr>
            <w:tcW w:w="2280" w:type="dxa"/>
            <w:vAlign w:val="bottom"/>
          </w:tcPr>
          <w:p>
            <w:pPr>
              <w:jc w:val="center"/>
              <w:ind w:left="854"/>
              <w:spacing w:after="0"/>
              <w:rPr>
                <w:sz w:val="20"/>
                <w:szCs w:val="20"/>
                <w:color w:val="auto"/>
              </w:rPr>
            </w:pPr>
            <w:r>
              <w:rPr>
                <w:rFonts w:ascii="Arial" w:cs="Arial" w:eastAsia="Arial" w:hAnsi="Arial"/>
                <w:sz w:val="13"/>
                <w:szCs w:val="13"/>
                <w:color w:val="auto"/>
              </w:rPr>
              <w:t>61,187</w:t>
            </w:r>
          </w:p>
        </w:tc>
        <w:tc>
          <w:tcPr>
            <w:tcW w:w="1420" w:type="dxa"/>
            <w:vAlign w:val="bottom"/>
          </w:tcPr>
          <w:p>
            <w:pPr>
              <w:jc w:val="center"/>
              <w:spacing w:after="0"/>
              <w:rPr>
                <w:sz w:val="20"/>
                <w:szCs w:val="20"/>
                <w:color w:val="auto"/>
              </w:rPr>
            </w:pPr>
            <w:r>
              <w:rPr>
                <w:rFonts w:ascii="Arial" w:cs="Arial" w:eastAsia="Arial" w:hAnsi="Arial"/>
                <w:sz w:val="13"/>
                <w:szCs w:val="13"/>
                <w:color w:val="auto"/>
              </w:rPr>
              <w:t>30,594</w:t>
            </w:r>
          </w:p>
        </w:tc>
        <w:tc>
          <w:tcPr>
            <w:tcW w:w="1420" w:type="dxa"/>
            <w:vAlign w:val="bottom"/>
          </w:tcPr>
          <w:p>
            <w:pPr>
              <w:jc w:val="center"/>
              <w:spacing w:after="0"/>
              <w:rPr>
                <w:sz w:val="20"/>
                <w:szCs w:val="20"/>
                <w:color w:val="auto"/>
              </w:rPr>
            </w:pPr>
            <w:r>
              <w:rPr>
                <w:rFonts w:ascii="Arial" w:cs="Arial" w:eastAsia="Arial" w:hAnsi="Arial"/>
                <w:sz w:val="13"/>
                <w:szCs w:val="13"/>
                <w:color w:val="auto"/>
              </w:rPr>
              <w:t>78,798</w:t>
            </w:r>
          </w:p>
        </w:tc>
        <w:tc>
          <w:tcPr>
            <w:tcW w:w="1380" w:type="dxa"/>
            <w:vAlign w:val="bottom"/>
          </w:tcPr>
          <w:p>
            <w:pPr>
              <w:ind w:left="64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left="74"/>
              <w:spacing w:after="0"/>
              <w:rPr>
                <w:sz w:val="20"/>
                <w:szCs w:val="20"/>
                <w:color w:val="auto"/>
              </w:rPr>
            </w:pPr>
            <w:r>
              <w:rPr>
                <w:rFonts w:ascii="Arial" w:cs="Arial" w:eastAsia="Arial" w:hAnsi="Arial"/>
                <w:sz w:val="13"/>
                <w:szCs w:val="13"/>
                <w:color w:val="auto"/>
              </w:rPr>
              <w:t>678,277</w:t>
            </w: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Vanessa P. Williams</w:t>
            </w:r>
          </w:p>
        </w:tc>
        <w:tc>
          <w:tcPr>
            <w:tcW w:w="2280" w:type="dxa"/>
            <w:vAlign w:val="bottom"/>
          </w:tcPr>
          <w:p>
            <w:pPr>
              <w:jc w:val="center"/>
              <w:ind w:left="854"/>
              <w:spacing w:after="0"/>
              <w:rPr>
                <w:sz w:val="20"/>
                <w:szCs w:val="20"/>
                <w:color w:val="auto"/>
              </w:rPr>
            </w:pPr>
            <w:r>
              <w:rPr>
                <w:rFonts w:ascii="Arial" w:cs="Arial" w:eastAsia="Arial" w:hAnsi="Arial"/>
                <w:sz w:val="13"/>
                <w:szCs w:val="13"/>
                <w:color w:val="auto"/>
              </w:rPr>
              <w:t>10,364</w:t>
            </w:r>
          </w:p>
        </w:tc>
        <w:tc>
          <w:tcPr>
            <w:tcW w:w="1420" w:type="dxa"/>
            <w:vAlign w:val="bottom"/>
          </w:tcPr>
          <w:p>
            <w:pPr>
              <w:jc w:val="center"/>
              <w:spacing w:after="0"/>
              <w:rPr>
                <w:sz w:val="20"/>
                <w:szCs w:val="20"/>
                <w:color w:val="auto"/>
              </w:rPr>
            </w:pPr>
            <w:r>
              <w:rPr>
                <w:rFonts w:ascii="Arial" w:cs="Arial" w:eastAsia="Arial" w:hAnsi="Arial"/>
                <w:sz w:val="13"/>
                <w:szCs w:val="13"/>
                <w:color w:val="auto"/>
              </w:rPr>
              <w:t>5,182</w:t>
            </w:r>
          </w:p>
        </w:tc>
        <w:tc>
          <w:tcPr>
            <w:tcW w:w="1420" w:type="dxa"/>
            <w:vAlign w:val="bottom"/>
          </w:tcPr>
          <w:p>
            <w:pPr>
              <w:jc w:val="center"/>
              <w:spacing w:after="0"/>
              <w:rPr>
                <w:sz w:val="20"/>
                <w:szCs w:val="20"/>
                <w:color w:val="auto"/>
              </w:rPr>
            </w:pPr>
            <w:r>
              <w:rPr>
                <w:rFonts w:ascii="Arial" w:cs="Arial" w:eastAsia="Arial" w:hAnsi="Arial"/>
                <w:sz w:val="13"/>
                <w:szCs w:val="13"/>
                <w:color w:val="auto"/>
              </w:rPr>
              <w:t>48,436</w:t>
            </w:r>
          </w:p>
        </w:tc>
        <w:tc>
          <w:tcPr>
            <w:tcW w:w="1380" w:type="dxa"/>
            <w:vAlign w:val="bottom"/>
          </w:tcPr>
          <w:p>
            <w:pPr>
              <w:ind w:left="64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left="74"/>
              <w:spacing w:after="0"/>
              <w:rPr>
                <w:sz w:val="20"/>
                <w:szCs w:val="20"/>
                <w:color w:val="auto"/>
              </w:rPr>
            </w:pPr>
            <w:r>
              <w:rPr>
                <w:rFonts w:ascii="Arial" w:cs="Arial" w:eastAsia="Arial" w:hAnsi="Arial"/>
                <w:sz w:val="13"/>
                <w:szCs w:val="13"/>
                <w:color w:val="auto"/>
              </w:rPr>
              <w:t>423,717</w:t>
            </w: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Nicola M. Soares</w:t>
            </w:r>
          </w:p>
        </w:tc>
        <w:tc>
          <w:tcPr>
            <w:tcW w:w="2280" w:type="dxa"/>
            <w:vAlign w:val="bottom"/>
          </w:tcPr>
          <w:p>
            <w:pPr>
              <w:jc w:val="center"/>
              <w:ind w:left="854"/>
              <w:spacing w:after="0"/>
              <w:rPr>
                <w:sz w:val="20"/>
                <w:szCs w:val="20"/>
                <w:color w:val="auto"/>
              </w:rPr>
            </w:pPr>
            <w:r>
              <w:rPr>
                <w:rFonts w:ascii="Arial" w:cs="Arial" w:eastAsia="Arial" w:hAnsi="Arial"/>
                <w:sz w:val="13"/>
                <w:szCs w:val="13"/>
                <w:color w:val="auto"/>
              </w:rPr>
              <w:t>41,872</w:t>
            </w:r>
          </w:p>
        </w:tc>
        <w:tc>
          <w:tcPr>
            <w:tcW w:w="1420" w:type="dxa"/>
            <w:vAlign w:val="bottom"/>
          </w:tcPr>
          <w:p>
            <w:pPr>
              <w:jc w:val="center"/>
              <w:spacing w:after="0"/>
              <w:rPr>
                <w:sz w:val="20"/>
                <w:szCs w:val="20"/>
                <w:color w:val="auto"/>
              </w:rPr>
            </w:pPr>
            <w:r>
              <w:rPr>
                <w:rFonts w:ascii="Arial" w:cs="Arial" w:eastAsia="Arial" w:hAnsi="Arial"/>
                <w:sz w:val="13"/>
                <w:szCs w:val="13"/>
                <w:color w:val="auto"/>
              </w:rPr>
              <w:t>20,936</w:t>
            </w:r>
          </w:p>
        </w:tc>
        <w:tc>
          <w:tcPr>
            <w:tcW w:w="1420" w:type="dxa"/>
            <w:vAlign w:val="bottom"/>
          </w:tcPr>
          <w:p>
            <w:pPr>
              <w:jc w:val="center"/>
              <w:spacing w:after="0"/>
              <w:rPr>
                <w:sz w:val="20"/>
                <w:szCs w:val="20"/>
                <w:color w:val="auto"/>
              </w:rPr>
            </w:pPr>
            <w:r>
              <w:rPr>
                <w:rFonts w:ascii="Arial" w:cs="Arial" w:eastAsia="Arial" w:hAnsi="Arial"/>
                <w:sz w:val="13"/>
                <w:szCs w:val="13"/>
                <w:color w:val="auto"/>
              </w:rPr>
              <w:t>154,373</w:t>
            </w:r>
          </w:p>
        </w:tc>
        <w:tc>
          <w:tcPr>
            <w:tcW w:w="1380" w:type="dxa"/>
            <w:vAlign w:val="bottom"/>
          </w:tcPr>
          <w:p>
            <w:pPr>
              <w:ind w:left="64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left="94"/>
              <w:spacing w:after="0"/>
              <w:rPr>
                <w:sz w:val="20"/>
                <w:szCs w:val="20"/>
                <w:color w:val="auto"/>
              </w:rPr>
            </w:pPr>
            <w:r>
              <w:rPr>
                <w:rFonts w:ascii="Arial" w:cs="Arial" w:eastAsia="Arial" w:hAnsi="Arial"/>
                <w:sz w:val="13"/>
                <w:szCs w:val="13"/>
                <w:color w:val="auto"/>
              </w:rPr>
              <w:t>1,149,280</w:t>
            </w:r>
          </w:p>
        </w:tc>
        <w:tc>
          <w:tcPr>
            <w:tcW w:w="0" w:type="dxa"/>
            <w:vAlign w:val="bottom"/>
          </w:tcPr>
          <w:p>
            <w:pPr>
              <w:spacing w:after="0"/>
              <w:rPr>
                <w:sz w:val="1"/>
                <w:szCs w:val="1"/>
                <w:color w:val="auto"/>
              </w:rPr>
            </w:pPr>
          </w:p>
        </w:tc>
      </w:tr>
      <w:tr>
        <w:trPr>
          <w:trHeight w:val="39"/>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i w:val="1"/>
                <w:iCs w:val="1"/>
                <w:color w:val="auto"/>
              </w:rPr>
              <w:t>Former Executive</w:t>
            </w:r>
          </w:p>
        </w:tc>
        <w:tc>
          <w:tcPr>
            <w:tcW w:w="2280" w:type="dxa"/>
            <w:vAlign w:val="bottom"/>
            <w:vMerge w:val="restart"/>
          </w:tcPr>
          <w:p>
            <w:pPr>
              <w:jc w:val="center"/>
              <w:ind w:left="854"/>
              <w:spacing w:after="0"/>
              <w:rPr>
                <w:sz w:val="20"/>
                <w:szCs w:val="20"/>
                <w:color w:val="auto"/>
              </w:rPr>
            </w:pPr>
            <w:r>
              <w:rPr>
                <w:rFonts w:ascii="Arial" w:cs="Arial" w:eastAsia="Arial" w:hAnsi="Arial"/>
                <w:sz w:val="13"/>
                <w:szCs w:val="13"/>
                <w:color w:val="auto"/>
              </w:rPr>
              <w:t>155,913</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rPr>
              <w:t>77,957</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rPr>
              <w:t>640,670</w:t>
            </w:r>
          </w:p>
        </w:tc>
        <w:tc>
          <w:tcPr>
            <w:tcW w:w="138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center"/>
              <w:ind w:left="94"/>
              <w:spacing w:after="0"/>
              <w:rPr>
                <w:sz w:val="20"/>
                <w:szCs w:val="20"/>
                <w:color w:val="auto"/>
              </w:rPr>
            </w:pPr>
            <w:r>
              <w:rPr>
                <w:rFonts w:ascii="Arial" w:cs="Arial" w:eastAsia="Arial" w:hAnsi="Arial"/>
                <w:sz w:val="13"/>
                <w:szCs w:val="13"/>
                <w:color w:val="auto"/>
              </w:rPr>
              <w:t>4,923,613</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8"/>
              </w:rPr>
              <w:t>Peter W. Quigley</w:t>
            </w:r>
          </w:p>
        </w:tc>
        <w:tc>
          <w:tcPr>
            <w:tcW w:w="14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228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60" w:right="260" w:hanging="296"/>
        <w:spacing w:after="0" w:line="238" w:lineRule="auto"/>
        <w:tabs>
          <w:tab w:leader="none" w:pos="8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48" w:lineRule="exact"/>
        <w:rPr>
          <w:rFonts w:ascii="Arial" w:cs="Arial" w:eastAsia="Arial" w:hAnsi="Arial"/>
          <w:sz w:val="12"/>
          <w:szCs w:val="12"/>
          <w:color w:val="auto"/>
        </w:rPr>
      </w:pPr>
    </w:p>
    <w:p>
      <w:pPr>
        <w:ind w:left="860" w:right="120" w:hanging="296"/>
        <w:spacing w:after="0" w:line="238" w:lineRule="auto"/>
        <w:tabs>
          <w:tab w:leader="none" w:pos="8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Registrant Contributions in Last Fiscal Year above represent Company matching contributions (50% of the first 10% of salary and annual incentive deferrals), and they are also reported as All Other Compensation in the Summary Compensation Table.</w:t>
      </w:r>
    </w:p>
    <w:p>
      <w:pPr>
        <w:spacing w:after="0" w:line="48" w:lineRule="exact"/>
        <w:rPr>
          <w:rFonts w:ascii="Arial" w:cs="Arial" w:eastAsia="Arial" w:hAnsi="Arial"/>
          <w:sz w:val="12"/>
          <w:szCs w:val="12"/>
          <w:color w:val="auto"/>
        </w:rPr>
      </w:pPr>
    </w:p>
    <w:p>
      <w:pPr>
        <w:jc w:val="both"/>
        <w:ind w:left="860" w:right="120" w:hanging="296"/>
        <w:spacing w:after="0" w:line="231" w:lineRule="auto"/>
        <w:tabs>
          <w:tab w:leader="none" w:pos="8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actual earnings (or loss) from the investment of the prior year aggregate balance plus the earnings on current year executive and Company contributions. The aggregate earnings are based on investment options that are also offered to employees who participate in the Company’s tax-qualified 401(k) plan. As these earnings are not “above market” interest payments or preferential earnings, they are not included in the Summary Compensation Table.</w:t>
      </w:r>
    </w:p>
    <w:p>
      <w:pPr>
        <w:spacing w:after="0" w:line="48" w:lineRule="exact"/>
        <w:rPr>
          <w:rFonts w:ascii="Arial" w:cs="Arial" w:eastAsia="Arial" w:hAnsi="Arial"/>
          <w:sz w:val="12"/>
          <w:szCs w:val="12"/>
          <w:color w:val="auto"/>
        </w:rPr>
      </w:pPr>
    </w:p>
    <w:p>
      <w:pPr>
        <w:ind w:left="860" w:right="40" w:hanging="296"/>
        <w:spacing w:after="0" w:line="238" w:lineRule="auto"/>
        <w:tabs>
          <w:tab w:leader="none" w:pos="8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Participants may elect to receive distributions after separation from service, the later of a specified age and separation of service or a scheduled in-service distribution. Amounts may be paid as a lump sum, monthly installments for up to 20 years, or a combination of the two as elected by the participant.</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92"/>
        </w:numPr>
        <w:rPr>
          <w:rFonts w:ascii="Arial" w:cs="Arial" w:eastAsia="Arial" w:hAnsi="Arial"/>
          <w:sz w:val="10"/>
          <w:szCs w:val="10"/>
          <w:color w:val="auto"/>
        </w:rPr>
      </w:pPr>
      <w:r>
        <w:rPr>
          <w:rFonts w:ascii="Arial" w:cs="Arial" w:eastAsia="Arial" w:hAnsi="Arial"/>
          <w:sz w:val="10"/>
          <w:szCs w:val="10"/>
          <w:color w:val="auto"/>
        </w:rPr>
        <w:t>Amounts reported in this column include the following amounts that have been reported in the Summary Compensation Table for fiscal years 2013-2025: Peter W. Quigley ($1,262,335); Named</w:t>
      </w:r>
    </w:p>
    <w:p>
      <w:pPr>
        <w:spacing w:after="0" w:line="19" w:lineRule="exact"/>
        <w:rPr>
          <w:rFonts w:ascii="Arial" w:cs="Arial" w:eastAsia="Arial" w:hAnsi="Arial"/>
          <w:sz w:val="10"/>
          <w:szCs w:val="10"/>
          <w:color w:val="auto"/>
        </w:rPr>
      </w:pPr>
    </w:p>
    <w:p>
      <w:pPr>
        <w:ind w:left="860"/>
        <w:spacing w:after="0"/>
        <w:rPr>
          <w:rFonts w:ascii="Arial" w:cs="Arial" w:eastAsia="Arial" w:hAnsi="Arial"/>
          <w:sz w:val="10"/>
          <w:szCs w:val="10"/>
          <w:color w:val="auto"/>
        </w:rPr>
      </w:pPr>
      <w:r>
        <w:rPr>
          <w:rFonts w:ascii="Arial" w:cs="Arial" w:eastAsia="Arial" w:hAnsi="Arial"/>
          <w:sz w:val="10"/>
          <w:szCs w:val="10"/>
          <w:color w:val="auto"/>
        </w:rPr>
        <w:t>in the proxies for fiscal years 202-2025: Troy R. Anderson ($36,250); Named in the proxies for fiscal years 2022-2025: Vanessa P. Williams ($74,192); Named in the proxies for fiscal years</w:t>
      </w:r>
    </w:p>
    <w:p>
      <w:pPr>
        <w:spacing w:after="0" w:line="9" w:lineRule="exact"/>
        <w:rPr>
          <w:rFonts w:ascii="Arial" w:cs="Arial" w:eastAsia="Arial" w:hAnsi="Arial"/>
          <w:sz w:val="10"/>
          <w:szCs w:val="10"/>
          <w:color w:val="auto"/>
        </w:rPr>
      </w:pPr>
    </w:p>
    <w:p>
      <w:pPr>
        <w:ind w:left="860"/>
        <w:spacing w:after="0"/>
        <w:rPr>
          <w:rFonts w:ascii="Arial" w:cs="Arial" w:eastAsia="Arial" w:hAnsi="Arial"/>
          <w:sz w:val="10"/>
          <w:szCs w:val="10"/>
          <w:color w:val="auto"/>
        </w:rPr>
      </w:pPr>
      <w:r>
        <w:rPr>
          <w:rFonts w:ascii="Arial" w:cs="Arial" w:eastAsia="Arial" w:hAnsi="Arial"/>
          <w:sz w:val="12"/>
          <w:szCs w:val="12"/>
          <w:color w:val="auto"/>
        </w:rPr>
        <w:t>2024-2025: Nicola M. Soares ($41,090).</w:t>
      </w:r>
    </w:p>
    <w:p>
      <w:pPr>
        <w:spacing w:after="0" w:line="3"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20"/>
          <w:szCs w:val="20"/>
          <w:color w:val="auto"/>
        </w:rPr>
        <w:t>66 </w:t>
      </w:r>
      <w:r>
        <w:rPr>
          <w:sz w:val="20"/>
          <w:szCs w:val="20"/>
          <w:color w:val="auto"/>
        </w:rPr>
        <w:tab/>
      </w:r>
      <w:r>
        <w:rPr>
          <w:rFonts w:ascii="Arial" w:cs="Arial" w:eastAsia="Arial" w:hAnsi="Arial"/>
          <w:sz w:val="40"/>
          <w:szCs w:val="40"/>
          <w:color w:val="auto"/>
          <w:vertAlign w:val="subscript"/>
        </w:rPr>
        <w:t xml:space="preserve">   </w:t>
      </w:r>
      <w:r>
        <w:rPr>
          <w:sz w:val="1"/>
          <w:szCs w:val="1"/>
          <w:color w:val="auto"/>
        </w:rPr>
        <w:drawing>
          <wp:inline distT="0" distB="0" distL="0" distR="0">
            <wp:extent cx="377825" cy="17335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40"/>
          <w:szCs w:val="40"/>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-212090</wp:posOffset>
            </wp:positionV>
            <wp:extent cx="7620" cy="212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2025 Executive Compensation Tables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69" w:lineRule="exact"/>
        <w:rPr>
          <w:sz w:val="20"/>
          <w:szCs w:val="20"/>
          <w:color w:val="auto"/>
        </w:rPr>
      </w:pPr>
    </w:p>
    <w:p>
      <w:pPr>
        <w:ind w:left="560" w:right="60"/>
        <w:spacing w:after="0" w:line="258" w:lineRule="auto"/>
        <w:rPr>
          <w:sz w:val="20"/>
          <w:szCs w:val="20"/>
          <w:color w:val="auto"/>
        </w:rPr>
      </w:pPr>
      <w:r>
        <w:rPr>
          <w:rFonts w:ascii="Arial" w:cs="Arial" w:eastAsia="Arial" w:hAnsi="Arial"/>
          <w:sz w:val="15"/>
          <w:szCs w:val="15"/>
          <w:color w:val="auto"/>
        </w:rPr>
        <w:t>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2025.</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jc w:val="center"/>
              <w:ind w:left="172"/>
              <w:spacing w:after="0"/>
              <w:rPr>
                <w:sz w:val="20"/>
                <w:szCs w:val="20"/>
                <w:color w:val="auto"/>
              </w:rPr>
            </w:pPr>
            <w:r>
              <w:rPr>
                <w:rFonts w:ascii="Arial" w:cs="Arial" w:eastAsia="Arial" w:hAnsi="Arial"/>
                <w:sz w:val="13"/>
                <w:szCs w:val="13"/>
                <w:b w:val="1"/>
                <w:bCs w:val="1"/>
                <w:color w:val="00AE4F"/>
                <w:w w:val="94"/>
              </w:rPr>
              <w:t>Number of securities </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00AE4F"/>
                <w:w w:val="76"/>
              </w:rPr>
              <w:t> </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AE4F"/>
              </w:rPr>
              <w:t>  </w:t>
            </w:r>
          </w:p>
        </w:tc>
      </w:tr>
      <w:tr>
        <w:trPr>
          <w:trHeight w:val="149"/>
        </w:trPr>
        <w:tc>
          <w:tcPr>
            <w:tcW w:w="4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rPr>
              <w:t>Weighted-</w:t>
            </w:r>
          </w:p>
        </w:tc>
        <w:tc>
          <w:tcPr>
            <w:tcW w:w="1620" w:type="dxa"/>
            <w:vAlign w:val="bottom"/>
          </w:tcPr>
          <w:p>
            <w:pPr>
              <w:jc w:val="center"/>
              <w:ind w:left="492"/>
              <w:spacing w:after="0"/>
              <w:rPr>
                <w:sz w:val="20"/>
                <w:szCs w:val="20"/>
                <w:color w:val="auto"/>
              </w:rPr>
            </w:pPr>
            <w:r>
              <w:rPr>
                <w:rFonts w:ascii="Arial" w:cs="Arial" w:eastAsia="Arial" w:hAnsi="Arial"/>
                <w:sz w:val="13"/>
                <w:szCs w:val="13"/>
                <w:b w:val="1"/>
                <w:bCs w:val="1"/>
                <w:color w:val="00AE4F"/>
                <w:w w:val="99"/>
              </w:rPr>
              <w:t>remaining 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rPr>
              <w:t>average</w:t>
            </w:r>
          </w:p>
        </w:tc>
        <w:tc>
          <w:tcPr>
            <w:tcW w:w="1620" w:type="dxa"/>
            <w:vAlign w:val="bottom"/>
          </w:tcPr>
          <w:p>
            <w:pPr>
              <w:jc w:val="center"/>
              <w:ind w:left="172"/>
              <w:spacing w:after="0"/>
              <w:rPr>
                <w:sz w:val="20"/>
                <w:szCs w:val="20"/>
                <w:color w:val="auto"/>
              </w:rPr>
            </w:pPr>
            <w:r>
              <w:rPr>
                <w:rFonts w:ascii="Arial" w:cs="Arial" w:eastAsia="Arial" w:hAnsi="Arial"/>
                <w:sz w:val="13"/>
                <w:szCs w:val="13"/>
                <w:b w:val="1"/>
                <w:bCs w:val="1"/>
                <w:color w:val="00AE4F"/>
                <w:w w:val="94"/>
              </w:rPr>
              <w:t>available for future </w:t>
            </w:r>
          </w:p>
        </w:tc>
        <w:tc>
          <w:tcPr>
            <w:tcW w:w="140" w:type="dxa"/>
            <w:vAlign w:val="bottom"/>
          </w:tcPr>
          <w:p>
            <w:pPr>
              <w:jc w:val="right"/>
              <w:ind w:right="30"/>
              <w:spacing w:after="0"/>
              <w:rPr>
                <w:sz w:val="20"/>
                <w:szCs w:val="20"/>
                <w:color w:val="auto"/>
              </w:rPr>
            </w:pPr>
            <w:r>
              <w:rPr>
                <w:rFonts w:ascii="Arial" w:cs="Arial" w:eastAsia="Arial" w:hAnsi="Arial"/>
                <w:sz w:val="4"/>
                <w:szCs w:val="4"/>
                <w:b w:val="1"/>
                <w:bCs w:val="1"/>
                <w:color w:val="00AE4F"/>
                <w:w w:val="98"/>
              </w:rPr>
              <w:t> </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AE4F"/>
              </w:rPr>
              <w:t>  </w:t>
            </w:r>
          </w:p>
        </w:tc>
      </w:tr>
      <w:tr>
        <w:trPr>
          <w:trHeight w:val="149"/>
        </w:trPr>
        <w:tc>
          <w:tcPr>
            <w:tcW w:w="4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rPr>
              <w:t>exercise</w:t>
            </w:r>
          </w:p>
        </w:tc>
        <w:tc>
          <w:tcPr>
            <w:tcW w:w="1620" w:type="dxa"/>
            <w:vAlign w:val="bottom"/>
          </w:tcPr>
          <w:p>
            <w:pPr>
              <w:ind w:left="440"/>
              <w:spacing w:after="0"/>
              <w:rPr>
                <w:sz w:val="20"/>
                <w:szCs w:val="20"/>
                <w:color w:val="auto"/>
              </w:rPr>
            </w:pPr>
            <w:r>
              <w:rPr>
                <w:rFonts w:ascii="Arial" w:cs="Arial" w:eastAsia="Arial" w:hAnsi="Arial"/>
                <w:sz w:val="13"/>
                <w:szCs w:val="13"/>
                <w:b w:val="1"/>
                <w:bCs w:val="1"/>
                <w:color w:val="00AE4F"/>
              </w:rPr>
              <w:t xml:space="preserve">issuance under    </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00AE4F"/>
              </w:rPr>
              <w:t>  </w:t>
            </w:r>
          </w:p>
        </w:tc>
        <w:tc>
          <w:tcPr>
            <w:tcW w:w="160" w:type="dxa"/>
            <w:vAlign w:val="bottom"/>
          </w:tcPr>
          <w:p>
            <w:pPr>
              <w:spacing w:after="0"/>
              <w:rPr>
                <w:sz w:val="12"/>
                <w:szCs w:val="12"/>
                <w:color w:val="auto"/>
              </w:rPr>
            </w:pPr>
          </w:p>
        </w:tc>
      </w:tr>
      <w:tr>
        <w:trPr>
          <w:trHeight w:val="149"/>
        </w:trPr>
        <w:tc>
          <w:tcPr>
            <w:tcW w:w="4780" w:type="dxa"/>
            <w:vAlign w:val="bottom"/>
          </w:tcPr>
          <w:p>
            <w:pPr>
              <w:spacing w:after="0"/>
              <w:rPr>
                <w:sz w:val="12"/>
                <w:szCs w:val="12"/>
                <w:color w:val="auto"/>
              </w:rPr>
            </w:pPr>
          </w:p>
        </w:tc>
        <w:tc>
          <w:tcPr>
            <w:tcW w:w="2180" w:type="dxa"/>
            <w:vAlign w:val="bottom"/>
          </w:tcPr>
          <w:p>
            <w:pPr>
              <w:jc w:val="center"/>
              <w:ind w:left="291"/>
              <w:spacing w:after="0"/>
              <w:rPr>
                <w:sz w:val="20"/>
                <w:szCs w:val="20"/>
                <w:color w:val="auto"/>
              </w:rPr>
            </w:pPr>
            <w:r>
              <w:rPr>
                <w:rFonts w:ascii="Arial" w:cs="Arial" w:eastAsia="Arial" w:hAnsi="Arial"/>
                <w:sz w:val="13"/>
                <w:szCs w:val="13"/>
                <w:b w:val="1"/>
                <w:bCs w:val="1"/>
                <w:color w:val="00AE4F"/>
              </w:rPr>
              <w:t>Number of securities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rPr>
              <w:t>price of</w:t>
            </w:r>
          </w:p>
        </w:tc>
        <w:tc>
          <w:tcPr>
            <w:tcW w:w="1620" w:type="dxa"/>
            <w:vAlign w:val="bottom"/>
          </w:tcPr>
          <w:p>
            <w:pPr>
              <w:jc w:val="center"/>
              <w:ind w:left="492"/>
              <w:spacing w:after="0"/>
              <w:rPr>
                <w:sz w:val="20"/>
                <w:szCs w:val="20"/>
                <w:color w:val="auto"/>
              </w:rPr>
            </w:pPr>
            <w:r>
              <w:rPr>
                <w:rFonts w:ascii="Arial" w:cs="Arial" w:eastAsia="Arial" w:hAnsi="Arial"/>
                <w:sz w:val="13"/>
                <w:szCs w:val="13"/>
                <w:b w:val="1"/>
                <w:bCs w:val="1"/>
                <w:color w:val="00AE4F"/>
                <w:w w:val="98"/>
              </w:rPr>
              <w:t>equity 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780" w:type="dxa"/>
            <w:vAlign w:val="bottom"/>
          </w:tcPr>
          <w:p>
            <w:pPr>
              <w:spacing w:after="0"/>
              <w:rPr>
                <w:sz w:val="12"/>
                <w:szCs w:val="12"/>
                <w:color w:val="auto"/>
              </w:rPr>
            </w:pPr>
          </w:p>
        </w:tc>
        <w:tc>
          <w:tcPr>
            <w:tcW w:w="2180" w:type="dxa"/>
            <w:vAlign w:val="bottom"/>
          </w:tcPr>
          <w:p>
            <w:pPr>
              <w:jc w:val="center"/>
              <w:ind w:left="291"/>
              <w:spacing w:after="0"/>
              <w:rPr>
                <w:sz w:val="20"/>
                <w:szCs w:val="20"/>
                <w:color w:val="auto"/>
              </w:rPr>
            </w:pPr>
            <w:r>
              <w:rPr>
                <w:rFonts w:ascii="Arial" w:cs="Arial" w:eastAsia="Arial" w:hAnsi="Arial"/>
                <w:sz w:val="13"/>
                <w:szCs w:val="13"/>
                <w:b w:val="1"/>
                <w:bCs w:val="1"/>
                <w:color w:val="00AE4F"/>
              </w:rPr>
              <w:t>to be issued upon</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w w:val="99"/>
              </w:rPr>
              <w:t>outstanding</w:t>
            </w:r>
          </w:p>
        </w:tc>
        <w:tc>
          <w:tcPr>
            <w:tcW w:w="1620" w:type="dxa"/>
            <w:vAlign w:val="bottom"/>
          </w:tcPr>
          <w:p>
            <w:pPr>
              <w:jc w:val="center"/>
              <w:ind w:left="192"/>
              <w:spacing w:after="0"/>
              <w:rPr>
                <w:sz w:val="20"/>
                <w:szCs w:val="20"/>
                <w:color w:val="auto"/>
              </w:rPr>
            </w:pPr>
            <w:r>
              <w:rPr>
                <w:rFonts w:ascii="Arial" w:cs="Arial" w:eastAsia="Arial" w:hAnsi="Arial"/>
                <w:sz w:val="13"/>
                <w:szCs w:val="13"/>
                <w:b w:val="1"/>
                <w:bCs w:val="1"/>
                <w:color w:val="00AE4F"/>
              </w:rPr>
              <w:t xml:space="preserve">compensation plans </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00AE4F"/>
                <w:w w:val="72"/>
              </w:rPr>
              <w:t> </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AE4F"/>
              </w:rPr>
              <w:t>  </w:t>
            </w:r>
          </w:p>
        </w:tc>
      </w:tr>
      <w:tr>
        <w:trPr>
          <w:trHeight w:val="149"/>
        </w:trPr>
        <w:tc>
          <w:tcPr>
            <w:tcW w:w="4780" w:type="dxa"/>
            <w:vAlign w:val="bottom"/>
          </w:tcPr>
          <w:p>
            <w:pPr>
              <w:spacing w:after="0"/>
              <w:rPr>
                <w:sz w:val="12"/>
                <w:szCs w:val="12"/>
                <w:color w:val="auto"/>
              </w:rPr>
            </w:pPr>
          </w:p>
        </w:tc>
        <w:tc>
          <w:tcPr>
            <w:tcW w:w="2180" w:type="dxa"/>
            <w:vAlign w:val="bottom"/>
          </w:tcPr>
          <w:p>
            <w:pPr>
              <w:jc w:val="center"/>
              <w:ind w:left="291"/>
              <w:spacing w:after="0"/>
              <w:rPr>
                <w:sz w:val="20"/>
                <w:szCs w:val="20"/>
                <w:color w:val="auto"/>
              </w:rPr>
            </w:pPr>
            <w:r>
              <w:rPr>
                <w:rFonts w:ascii="Arial" w:cs="Arial" w:eastAsia="Arial" w:hAnsi="Arial"/>
                <w:sz w:val="13"/>
                <w:szCs w:val="13"/>
                <w:b w:val="1"/>
                <w:bCs w:val="1"/>
                <w:color w:val="00AE4F"/>
              </w:rPr>
              <w:t>exercise of</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AE4F"/>
                <w:w w:val="98"/>
              </w:rPr>
              <w:t>options,</w:t>
            </w:r>
          </w:p>
        </w:tc>
        <w:tc>
          <w:tcPr>
            <w:tcW w:w="1620" w:type="dxa"/>
            <w:vAlign w:val="bottom"/>
          </w:tcPr>
          <w:p>
            <w:pPr>
              <w:jc w:val="center"/>
              <w:ind w:left="492"/>
              <w:spacing w:after="0"/>
              <w:rPr>
                <w:sz w:val="20"/>
                <w:szCs w:val="20"/>
                <w:color w:val="auto"/>
              </w:rPr>
            </w:pPr>
            <w:r>
              <w:rPr>
                <w:rFonts w:ascii="Arial" w:cs="Arial" w:eastAsia="Arial" w:hAnsi="Arial"/>
                <w:sz w:val="13"/>
                <w:szCs w:val="13"/>
                <w:b w:val="1"/>
                <w:bCs w:val="1"/>
                <w:color w:val="00AE4F"/>
              </w:rPr>
              <w:t>(excluding 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780" w:type="dxa"/>
            <w:vAlign w:val="bottom"/>
          </w:tcPr>
          <w:p>
            <w:pPr>
              <w:spacing w:after="0"/>
              <w:rPr>
                <w:sz w:val="12"/>
                <w:szCs w:val="12"/>
                <w:color w:val="auto"/>
              </w:rPr>
            </w:pPr>
          </w:p>
        </w:tc>
        <w:tc>
          <w:tcPr>
            <w:tcW w:w="2180" w:type="dxa"/>
            <w:vAlign w:val="bottom"/>
          </w:tcPr>
          <w:p>
            <w:pPr>
              <w:jc w:val="center"/>
              <w:ind w:left="291"/>
              <w:spacing w:after="0" w:line="144" w:lineRule="exact"/>
              <w:rPr>
                <w:sz w:val="20"/>
                <w:szCs w:val="20"/>
                <w:color w:val="auto"/>
              </w:rPr>
            </w:pPr>
            <w:r>
              <w:rPr>
                <w:rFonts w:ascii="Arial" w:cs="Arial" w:eastAsia="Arial" w:hAnsi="Arial"/>
                <w:sz w:val="13"/>
                <w:szCs w:val="13"/>
                <w:b w:val="1"/>
                <w:bCs w:val="1"/>
                <w:color w:val="00AE4F"/>
              </w:rPr>
              <w:t>outstanding options,</w:t>
            </w:r>
          </w:p>
        </w:tc>
        <w:tc>
          <w:tcPr>
            <w:tcW w:w="1260" w:type="dxa"/>
            <w:vAlign w:val="bottom"/>
          </w:tcPr>
          <w:p>
            <w:pPr>
              <w:jc w:val="center"/>
              <w:spacing w:after="0" w:line="144" w:lineRule="exact"/>
              <w:rPr>
                <w:sz w:val="20"/>
                <w:szCs w:val="20"/>
                <w:color w:val="auto"/>
              </w:rPr>
            </w:pPr>
            <w:r>
              <w:rPr>
                <w:rFonts w:ascii="Arial" w:cs="Arial" w:eastAsia="Arial" w:hAnsi="Arial"/>
                <w:sz w:val="13"/>
                <w:szCs w:val="13"/>
                <w:b w:val="1"/>
                <w:bCs w:val="1"/>
                <w:color w:val="00AE4F"/>
                <w:w w:val="99"/>
              </w:rPr>
              <w:t>warrants</w:t>
            </w:r>
          </w:p>
        </w:tc>
        <w:tc>
          <w:tcPr>
            <w:tcW w:w="1620" w:type="dxa"/>
            <w:vAlign w:val="bottom"/>
          </w:tcPr>
          <w:p>
            <w:pPr>
              <w:jc w:val="center"/>
              <w:ind w:left="192"/>
              <w:spacing w:after="0" w:line="144" w:lineRule="exact"/>
              <w:rPr>
                <w:sz w:val="20"/>
                <w:szCs w:val="20"/>
                <w:color w:val="auto"/>
              </w:rPr>
            </w:pPr>
            <w:r>
              <w:rPr>
                <w:rFonts w:ascii="Arial" w:cs="Arial" w:eastAsia="Arial" w:hAnsi="Arial"/>
                <w:sz w:val="13"/>
                <w:szCs w:val="13"/>
                <w:b w:val="1"/>
                <w:bCs w:val="1"/>
                <w:color w:val="00AE4F"/>
                <w:w w:val="94"/>
              </w:rPr>
              <w:t>securities reflected </w:t>
            </w:r>
          </w:p>
        </w:tc>
        <w:tc>
          <w:tcPr>
            <w:tcW w:w="140" w:type="dxa"/>
            <w:vAlign w:val="bottom"/>
          </w:tcPr>
          <w:p>
            <w:pPr>
              <w:jc w:val="right"/>
              <w:ind w:right="30"/>
              <w:spacing w:after="0"/>
              <w:rPr>
                <w:sz w:val="20"/>
                <w:szCs w:val="20"/>
                <w:color w:val="auto"/>
              </w:rPr>
            </w:pPr>
            <w:r>
              <w:rPr>
                <w:rFonts w:ascii="Arial" w:cs="Arial" w:eastAsia="Arial" w:hAnsi="Arial"/>
                <w:sz w:val="4"/>
                <w:szCs w:val="4"/>
                <w:b w:val="1"/>
                <w:bCs w:val="1"/>
                <w:color w:val="00AE4F"/>
                <w:w w:val="98"/>
              </w:rPr>
              <w:t> </w:t>
            </w:r>
          </w:p>
        </w:tc>
        <w:tc>
          <w:tcPr>
            <w:tcW w:w="160" w:type="dxa"/>
            <w:vAlign w:val="bottom"/>
          </w:tcPr>
          <w:p>
            <w:pPr>
              <w:jc w:val="right"/>
              <w:spacing w:after="0" w:line="144" w:lineRule="exact"/>
              <w:rPr>
                <w:sz w:val="20"/>
                <w:szCs w:val="20"/>
                <w:color w:val="auto"/>
              </w:rPr>
            </w:pPr>
            <w:r>
              <w:rPr>
                <w:rFonts w:ascii="Arial" w:cs="Arial" w:eastAsia="Arial" w:hAnsi="Arial"/>
                <w:sz w:val="13"/>
                <w:szCs w:val="13"/>
                <w:b w:val="1"/>
                <w:bCs w:val="1"/>
                <w:color w:val="00AE4F"/>
              </w:rPr>
              <w:t>  </w:t>
            </w:r>
          </w:p>
        </w:tc>
      </w:tr>
      <w:tr>
        <w:trPr>
          <w:trHeight w:val="236"/>
        </w:trPr>
        <w:tc>
          <w:tcPr>
            <w:tcW w:w="4780" w:type="dxa"/>
            <w:vAlign w:val="bottom"/>
            <w:tcBorders>
              <w:bottom w:val="single" w:sz="8" w:color="33302B"/>
            </w:tcBorders>
          </w:tcPr>
          <w:p>
            <w:pPr>
              <w:spacing w:after="0"/>
              <w:rPr>
                <w:sz w:val="20"/>
                <w:szCs w:val="20"/>
                <w:color w:val="auto"/>
              </w:rPr>
            </w:pPr>
          </w:p>
        </w:tc>
        <w:tc>
          <w:tcPr>
            <w:tcW w:w="2180" w:type="dxa"/>
            <w:vAlign w:val="bottom"/>
            <w:tcBorders>
              <w:bottom w:val="single" w:sz="8" w:color="33302B"/>
            </w:tcBorders>
          </w:tcPr>
          <w:p>
            <w:pPr>
              <w:jc w:val="center"/>
              <w:ind w:left="291"/>
              <w:spacing w:after="0"/>
              <w:rPr>
                <w:sz w:val="20"/>
                <w:szCs w:val="20"/>
                <w:color w:val="auto"/>
              </w:rPr>
            </w:pPr>
            <w:r>
              <w:rPr>
                <w:rFonts w:ascii="Arial" w:cs="Arial" w:eastAsia="Arial" w:hAnsi="Arial"/>
                <w:sz w:val="13"/>
                <w:szCs w:val="13"/>
                <w:b w:val="1"/>
                <w:bCs w:val="1"/>
                <w:color w:val="00AE4F"/>
              </w:rPr>
              <w:t>warrants and rights</w:t>
            </w:r>
          </w:p>
        </w:tc>
        <w:tc>
          <w:tcPr>
            <w:tcW w:w="1260" w:type="dxa"/>
            <w:vAlign w:val="bottom"/>
            <w:tcBorders>
              <w:bottom w:val="single" w:sz="8" w:color="33302B"/>
            </w:tcBorders>
          </w:tcPr>
          <w:p>
            <w:pPr>
              <w:jc w:val="center"/>
              <w:spacing w:after="0"/>
              <w:rPr>
                <w:sz w:val="20"/>
                <w:szCs w:val="20"/>
                <w:color w:val="auto"/>
              </w:rPr>
            </w:pPr>
            <w:r>
              <w:rPr>
                <w:rFonts w:ascii="Arial" w:cs="Arial" w:eastAsia="Arial" w:hAnsi="Arial"/>
                <w:sz w:val="13"/>
                <w:szCs w:val="13"/>
                <w:b w:val="1"/>
                <w:bCs w:val="1"/>
                <w:color w:val="00AE4F"/>
              </w:rPr>
              <w:t>and rights</w:t>
            </w:r>
          </w:p>
        </w:tc>
        <w:tc>
          <w:tcPr>
            <w:tcW w:w="1620" w:type="dxa"/>
            <w:vAlign w:val="bottom"/>
            <w:tcBorders>
              <w:bottom w:val="single" w:sz="8" w:color="33302B"/>
            </w:tcBorders>
          </w:tcPr>
          <w:p>
            <w:pPr>
              <w:jc w:val="center"/>
              <w:ind w:left="172"/>
              <w:spacing w:after="0"/>
              <w:rPr>
                <w:sz w:val="20"/>
                <w:szCs w:val="20"/>
                <w:color w:val="auto"/>
              </w:rPr>
            </w:pPr>
            <w:r>
              <w:rPr>
                <w:rFonts w:ascii="Arial" w:cs="Arial" w:eastAsia="Arial" w:hAnsi="Arial"/>
                <w:sz w:val="13"/>
                <w:szCs w:val="13"/>
                <w:b w:val="1"/>
                <w:bCs w:val="1"/>
                <w:color w:val="00AE4F"/>
              </w:rPr>
              <w:t xml:space="preserve">in the first column) </w:t>
            </w:r>
            <w:r>
              <w:rPr>
                <w:rFonts w:ascii="Arial" w:cs="Arial" w:eastAsia="Arial" w:hAnsi="Arial"/>
                <w:sz w:val="19"/>
                <w:szCs w:val="19"/>
                <w:b w:val="1"/>
                <w:bCs w:val="1"/>
                <w:color w:val="00AE4F"/>
                <w:vertAlign w:val="superscript"/>
              </w:rPr>
              <w:t>(3)</w:t>
            </w:r>
            <w:r>
              <w:rPr>
                <w:rFonts w:ascii="Arial" w:cs="Arial" w:eastAsia="Arial" w:hAnsi="Arial"/>
                <w:sz w:val="13"/>
                <w:szCs w:val="13"/>
                <w:b w:val="1"/>
                <w:bCs w:val="1"/>
                <w:color w:val="00AE4F"/>
              </w:rPr>
              <w:t xml:space="preserve"> </w:t>
            </w:r>
          </w:p>
        </w:tc>
        <w:tc>
          <w:tcPr>
            <w:tcW w:w="140" w:type="dxa"/>
            <w:vAlign w:val="bottom"/>
            <w:tcBorders>
              <w:bottom w:val="single" w:sz="8" w:color="33302B"/>
            </w:tcBorders>
          </w:tcPr>
          <w:p>
            <w:pPr>
              <w:jc w:val="right"/>
              <w:spacing w:after="0"/>
              <w:rPr>
                <w:sz w:val="20"/>
                <w:szCs w:val="20"/>
                <w:color w:val="auto"/>
              </w:rPr>
            </w:pPr>
            <w:r>
              <w:rPr>
                <w:rFonts w:ascii="Arial" w:cs="Arial" w:eastAsia="Arial" w:hAnsi="Arial"/>
                <w:sz w:val="13"/>
                <w:szCs w:val="13"/>
                <w:b w:val="1"/>
                <w:bCs w:val="1"/>
                <w:color w:val="00AE4F"/>
                <w:w w:val="91"/>
              </w:rPr>
              <w:t> </w:t>
            </w:r>
          </w:p>
        </w:tc>
        <w:tc>
          <w:tcPr>
            <w:tcW w:w="160" w:type="dxa"/>
            <w:vAlign w:val="bottom"/>
            <w:tcBorders>
              <w:bottom w:val="single" w:sz="8" w:color="33302B"/>
            </w:tcBorders>
          </w:tcPr>
          <w:p>
            <w:pPr>
              <w:jc w:val="right"/>
              <w:spacing w:after="0"/>
              <w:rPr>
                <w:sz w:val="20"/>
                <w:szCs w:val="20"/>
                <w:color w:val="auto"/>
              </w:rPr>
            </w:pPr>
            <w:r>
              <w:rPr>
                <w:rFonts w:ascii="Arial" w:cs="Arial" w:eastAsia="Arial" w:hAnsi="Arial"/>
                <w:sz w:val="13"/>
                <w:szCs w:val="13"/>
                <w:b w:val="1"/>
                <w:bCs w:val="1"/>
                <w:color w:val="00AE4F"/>
              </w:rPr>
              <w:t>  </w:t>
            </w:r>
          </w:p>
        </w:tc>
      </w:tr>
      <w:tr>
        <w:trPr>
          <w:trHeight w:val="240"/>
        </w:trPr>
        <w:tc>
          <w:tcPr>
            <w:tcW w:w="47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Equity compensation plans approved by security holders</w:t>
            </w:r>
            <w:r>
              <w:rPr>
                <w:rFonts w:ascii="Arial" w:cs="Arial" w:eastAsia="Arial" w:hAnsi="Arial"/>
                <w:sz w:val="22"/>
                <w:szCs w:val="22"/>
                <w:color w:val="auto"/>
                <w:vertAlign w:val="superscript"/>
              </w:rPr>
              <w:t>(1)</w:t>
            </w:r>
          </w:p>
        </w:tc>
        <w:tc>
          <w:tcPr>
            <w:tcW w:w="2180" w:type="dxa"/>
            <w:vAlign w:val="bottom"/>
            <w:tcBorders>
              <w:bottom w:val="single" w:sz="8" w:color="7F7F7F"/>
            </w:tcBorders>
          </w:tcPr>
          <w:p>
            <w:pPr>
              <w:jc w:val="center"/>
              <w:ind w:left="291"/>
              <w:spacing w:after="0"/>
              <w:rPr>
                <w:sz w:val="20"/>
                <w:szCs w:val="20"/>
                <w:color w:val="auto"/>
              </w:rPr>
            </w:pPr>
            <w:r>
              <w:rPr>
                <w:rFonts w:ascii="Arial" w:cs="Arial" w:eastAsia="Arial" w:hAnsi="Arial"/>
                <w:sz w:val="15"/>
                <w:szCs w:val="15"/>
                <w:color w:val="auto"/>
                <w:w w:val="99"/>
              </w:rPr>
              <w:t>986,548</w:t>
            </w: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4"/>
              </w:rPr>
              <w:t>$—</w:t>
            </w:r>
          </w:p>
        </w:tc>
        <w:tc>
          <w:tcPr>
            <w:tcW w:w="1620" w:type="dxa"/>
            <w:vAlign w:val="bottom"/>
            <w:tcBorders>
              <w:bottom w:val="single" w:sz="8" w:color="7F7F7F"/>
            </w:tcBorders>
          </w:tcPr>
          <w:p>
            <w:pPr>
              <w:jc w:val="center"/>
              <w:ind w:left="452"/>
              <w:spacing w:after="0"/>
              <w:rPr>
                <w:sz w:val="20"/>
                <w:szCs w:val="20"/>
                <w:color w:val="auto"/>
              </w:rPr>
            </w:pPr>
            <w:r>
              <w:rPr>
                <w:rFonts w:ascii="Arial" w:cs="Arial" w:eastAsia="Arial" w:hAnsi="Arial"/>
                <w:sz w:val="15"/>
                <w:szCs w:val="15"/>
                <w:color w:val="auto"/>
                <w:w w:val="98"/>
              </w:rPr>
              <w:t>4,595,294</w:t>
            </w:r>
          </w:p>
        </w:tc>
        <w:tc>
          <w:tcPr>
            <w:tcW w:w="140" w:type="dxa"/>
            <w:vAlign w:val="bottom"/>
            <w:tcBorders>
              <w:bottom w:val="single" w:sz="8" w:color="7F7F7F"/>
            </w:tcBorders>
          </w:tcPr>
          <w:p>
            <w:pPr>
              <w:spacing w:after="0"/>
              <w:rPr>
                <w:sz w:val="20"/>
                <w:szCs w:val="20"/>
                <w:color w:val="auto"/>
              </w:rPr>
            </w:pPr>
          </w:p>
        </w:tc>
        <w:tc>
          <w:tcPr>
            <w:tcW w:w="160" w:type="dxa"/>
            <w:vAlign w:val="bottom"/>
            <w:tcBorders>
              <w:bottom w:val="single" w:sz="8" w:color="7F7F7F"/>
            </w:tcBorders>
          </w:tcPr>
          <w:p>
            <w:pPr>
              <w:spacing w:after="0"/>
              <w:rPr>
                <w:sz w:val="20"/>
                <w:szCs w:val="20"/>
                <w:color w:val="auto"/>
              </w:rPr>
            </w:pPr>
          </w:p>
        </w:tc>
      </w:tr>
      <w:tr>
        <w:trPr>
          <w:trHeight w:val="240"/>
        </w:trPr>
        <w:tc>
          <w:tcPr>
            <w:tcW w:w="47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22"/>
                <w:szCs w:val="22"/>
                <w:color w:val="auto"/>
                <w:vertAlign w:val="superscript"/>
              </w:rPr>
              <w:t>(2)</w:t>
            </w:r>
          </w:p>
        </w:tc>
        <w:tc>
          <w:tcPr>
            <w:tcW w:w="2180" w:type="dxa"/>
            <w:vAlign w:val="bottom"/>
            <w:tcBorders>
              <w:bottom w:val="single" w:sz="8" w:color="7F7F7F"/>
            </w:tcBorders>
          </w:tcPr>
          <w:p>
            <w:pPr>
              <w:jc w:val="center"/>
              <w:ind w:left="291"/>
              <w:spacing w:after="0"/>
              <w:rPr>
                <w:sz w:val="20"/>
                <w:szCs w:val="20"/>
                <w:color w:val="auto"/>
              </w:rPr>
            </w:pPr>
            <w:r>
              <w:rPr>
                <w:rFonts w:ascii="Arial" w:cs="Arial" w:eastAsia="Arial" w:hAnsi="Arial"/>
                <w:sz w:val="15"/>
                <w:szCs w:val="15"/>
                <w:color w:val="auto"/>
                <w:w w:val="99"/>
              </w:rPr>
              <w:t>316,082</w:t>
            </w: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82"/>
              </w:rPr>
              <w:t>  —</w:t>
            </w:r>
          </w:p>
        </w:tc>
        <w:tc>
          <w:tcPr>
            <w:tcW w:w="1620" w:type="dxa"/>
            <w:vAlign w:val="bottom"/>
            <w:tcBorders>
              <w:bottom w:val="single" w:sz="8" w:color="7F7F7F"/>
            </w:tcBorders>
          </w:tcPr>
          <w:p>
            <w:pPr>
              <w:jc w:val="center"/>
              <w:ind w:left="452"/>
              <w:spacing w:after="0"/>
              <w:rPr>
                <w:sz w:val="20"/>
                <w:szCs w:val="20"/>
                <w:color w:val="auto"/>
              </w:rPr>
            </w:pPr>
            <w:r>
              <w:rPr>
                <w:rFonts w:ascii="Arial" w:cs="Arial" w:eastAsia="Arial" w:hAnsi="Arial"/>
                <w:sz w:val="15"/>
                <w:szCs w:val="15"/>
                <w:color w:val="auto"/>
                <w:w w:val="93"/>
              </w:rPr>
              <w:t>—</w:t>
            </w:r>
          </w:p>
        </w:tc>
        <w:tc>
          <w:tcPr>
            <w:tcW w:w="140" w:type="dxa"/>
            <w:vAlign w:val="bottom"/>
            <w:tcBorders>
              <w:bottom w:val="single" w:sz="8" w:color="7F7F7F"/>
            </w:tcBorders>
          </w:tcPr>
          <w:p>
            <w:pPr>
              <w:spacing w:after="0"/>
              <w:rPr>
                <w:sz w:val="20"/>
                <w:szCs w:val="20"/>
                <w:color w:val="auto"/>
              </w:rPr>
            </w:pPr>
          </w:p>
        </w:tc>
        <w:tc>
          <w:tcPr>
            <w:tcW w:w="160" w:type="dxa"/>
            <w:vAlign w:val="bottom"/>
            <w:tcBorders>
              <w:bottom w:val="single" w:sz="8" w:color="7F7F7F"/>
            </w:tcBorders>
          </w:tcPr>
          <w:p>
            <w:pPr>
              <w:spacing w:after="0"/>
              <w:rPr>
                <w:sz w:val="20"/>
                <w:szCs w:val="20"/>
                <w:color w:val="auto"/>
              </w:rPr>
            </w:pPr>
          </w:p>
        </w:tc>
      </w:tr>
      <w:tr>
        <w:trPr>
          <w:trHeight w:val="233"/>
        </w:trPr>
        <w:tc>
          <w:tcPr>
            <w:tcW w:w="4780" w:type="dxa"/>
            <w:vAlign w:val="bottom"/>
            <w:tcBorders>
              <w:bottom w:val="single" w:sz="8" w:color="7F7F7F"/>
            </w:tcBorders>
          </w:tcPr>
          <w:p>
            <w:pPr>
              <w:ind w:left="60"/>
              <w:spacing w:after="0"/>
              <w:rPr>
                <w:sz w:val="20"/>
                <w:szCs w:val="20"/>
                <w:color w:val="auto"/>
              </w:rPr>
            </w:pPr>
            <w:r>
              <w:rPr>
                <w:rFonts w:ascii="Arial" w:cs="Arial" w:eastAsia="Arial" w:hAnsi="Arial"/>
                <w:sz w:val="15"/>
                <w:szCs w:val="15"/>
                <w:color w:val="auto"/>
              </w:rPr>
              <w:t>Total</w:t>
            </w:r>
          </w:p>
        </w:tc>
        <w:tc>
          <w:tcPr>
            <w:tcW w:w="2180" w:type="dxa"/>
            <w:vAlign w:val="bottom"/>
            <w:tcBorders>
              <w:bottom w:val="single" w:sz="8" w:color="7F7F7F"/>
            </w:tcBorders>
          </w:tcPr>
          <w:p>
            <w:pPr>
              <w:jc w:val="center"/>
              <w:ind w:left="291"/>
              <w:spacing w:after="0"/>
              <w:rPr>
                <w:sz w:val="20"/>
                <w:szCs w:val="20"/>
                <w:color w:val="auto"/>
              </w:rPr>
            </w:pPr>
            <w:r>
              <w:rPr>
                <w:rFonts w:ascii="Arial" w:cs="Arial" w:eastAsia="Arial" w:hAnsi="Arial"/>
                <w:sz w:val="15"/>
                <w:szCs w:val="15"/>
                <w:color w:val="auto"/>
                <w:w w:val="98"/>
              </w:rPr>
              <w:t>1,302,630</w:t>
            </w:r>
          </w:p>
        </w:tc>
        <w:tc>
          <w:tcPr>
            <w:tcW w:w="1260" w:type="dxa"/>
            <w:vAlign w:val="bottom"/>
            <w:tcBorders>
              <w:bottom w:val="single" w:sz="8" w:color="7F7F7F"/>
            </w:tcBorders>
          </w:tcPr>
          <w:p>
            <w:pPr>
              <w:jc w:val="center"/>
              <w:spacing w:after="0"/>
              <w:rPr>
                <w:sz w:val="20"/>
                <w:szCs w:val="20"/>
                <w:color w:val="auto"/>
              </w:rPr>
            </w:pPr>
            <w:r>
              <w:rPr>
                <w:rFonts w:ascii="Arial" w:cs="Arial" w:eastAsia="Arial" w:hAnsi="Arial"/>
                <w:sz w:val="15"/>
                <w:szCs w:val="15"/>
                <w:color w:val="auto"/>
                <w:w w:val="94"/>
              </w:rPr>
              <w:t>$—</w:t>
            </w:r>
          </w:p>
        </w:tc>
        <w:tc>
          <w:tcPr>
            <w:tcW w:w="1620" w:type="dxa"/>
            <w:vAlign w:val="bottom"/>
            <w:tcBorders>
              <w:bottom w:val="single" w:sz="8" w:color="7F7F7F"/>
            </w:tcBorders>
          </w:tcPr>
          <w:p>
            <w:pPr>
              <w:jc w:val="center"/>
              <w:ind w:left="452"/>
              <w:spacing w:after="0"/>
              <w:rPr>
                <w:sz w:val="20"/>
                <w:szCs w:val="20"/>
                <w:color w:val="auto"/>
              </w:rPr>
            </w:pPr>
            <w:r>
              <w:rPr>
                <w:rFonts w:ascii="Arial" w:cs="Arial" w:eastAsia="Arial" w:hAnsi="Arial"/>
                <w:sz w:val="15"/>
                <w:szCs w:val="15"/>
                <w:color w:val="auto"/>
                <w:w w:val="98"/>
              </w:rPr>
              <w:t>4,595,294</w:t>
            </w:r>
          </w:p>
        </w:tc>
        <w:tc>
          <w:tcPr>
            <w:tcW w:w="140" w:type="dxa"/>
            <w:vAlign w:val="bottom"/>
            <w:tcBorders>
              <w:bottom w:val="single" w:sz="8" w:color="7F7F7F"/>
            </w:tcBorders>
          </w:tcPr>
          <w:p>
            <w:pPr>
              <w:spacing w:after="0"/>
              <w:rPr>
                <w:sz w:val="20"/>
                <w:szCs w:val="20"/>
                <w:color w:val="auto"/>
              </w:rPr>
            </w:pPr>
          </w:p>
        </w:tc>
        <w:tc>
          <w:tcPr>
            <w:tcW w:w="160" w:type="dxa"/>
            <w:vAlign w:val="bottom"/>
            <w:tcBorders>
              <w:bottom w:val="single" w:sz="8" w:color="7F7F7F"/>
            </w:tcBorders>
          </w:tcPr>
          <w:p>
            <w:pPr>
              <w:spacing w:after="0"/>
              <w:rPr>
                <w:sz w:val="20"/>
                <w:szCs w:val="20"/>
                <w:color w:val="auto"/>
              </w:rPr>
            </w:pPr>
          </w:p>
        </w:tc>
      </w:tr>
    </w:tbl>
    <w:p>
      <w:pPr>
        <w:spacing w:after="0" w:line="96" w:lineRule="exact"/>
        <w:rPr>
          <w:sz w:val="20"/>
          <w:szCs w:val="20"/>
          <w:color w:val="auto"/>
        </w:rPr>
      </w:pPr>
    </w:p>
    <w:p>
      <w:pPr>
        <w:ind w:left="860" w:right="40" w:hanging="296"/>
        <w:spacing w:after="0" w:line="227" w:lineRule="auto"/>
        <w:tabs>
          <w:tab w:leader="none" w:pos="8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On May 8, 2025, the Company’s stockholders approved the Kelly Services, Inc. 2025 Equity Incentive Plan (the “EIP”). Upon approval of the EIP, the Company’s Equity Incentive Plan, as amended and restated February 15, 2017, (the “Prior Plan”) terminated in its entirety and no further awards may be granted under the Prior plan. All outstanding awards under the Prior Plan as of the Effective Date, shall remain outstanding and shall be administered and settled in accordance with their terms and the provisions of the prior plan. The EIP provides the maximum number of shares available for grants is 4,814,171.</w:t>
      </w:r>
    </w:p>
    <w:p>
      <w:pPr>
        <w:spacing w:after="0" w:line="48" w:lineRule="exact"/>
        <w:rPr>
          <w:sz w:val="20"/>
          <w:szCs w:val="20"/>
          <w:color w:val="auto"/>
        </w:rPr>
      </w:pPr>
    </w:p>
    <w:p>
      <w:pPr>
        <w:ind w:left="860" w:right="20" w:hanging="296"/>
        <w:spacing w:after="0" w:line="231" w:lineRule="auto"/>
        <w:tabs>
          <w:tab w:leader="none" w:pos="8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number of shares to be issued upon exercise of outstanding options, warrants and rights includes: performance shares that have been earned but not yet vested totaling 122,516 performance awards that cliff vest after three years and performance shares granted to employees not yet earned or vested totaling 864,032 shares of performance awards, calculated using an assumed maximum award performance level of 200%, where applicable, at December 28, 2025.</w:t>
      </w:r>
    </w:p>
    <w:p>
      <w:pPr>
        <w:spacing w:after="0" w:line="48" w:lineRule="exact"/>
        <w:rPr>
          <w:sz w:val="20"/>
          <w:szCs w:val="20"/>
          <w:color w:val="auto"/>
        </w:rPr>
      </w:pPr>
    </w:p>
    <w:p>
      <w:pPr>
        <w:ind w:left="860" w:right="20" w:hanging="296"/>
        <w:spacing w:after="0" w:line="223" w:lineRule="auto"/>
        <w:tabs>
          <w:tab w:leader="none" w:pos="8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and one share of common stock will be given in exchange for each unit of phantom stock upon the director’s retirement from the Board of Directors. Amounts deferred under the plan are subject to applicable tax withholding. The plan is intended to be a non-qualified deferred compensation arrangement in compliance with Section 409A of the Code. Shares acquired by participants in this plan will be issued from the share reserve stated in the Equity Incentive Plan.</w:t>
      </w:r>
    </w:p>
    <w:p>
      <w:pPr>
        <w:spacing w:after="0" w:line="49" w:lineRule="exact"/>
        <w:rPr>
          <w:rFonts w:ascii="Arial" w:cs="Arial" w:eastAsia="Arial" w:hAnsi="Arial"/>
          <w:sz w:val="12"/>
          <w:szCs w:val="12"/>
          <w:color w:val="auto"/>
        </w:rPr>
      </w:pPr>
    </w:p>
    <w:p>
      <w:pPr>
        <w:ind w:left="860" w:hanging="296"/>
        <w:spacing w:after="0"/>
        <w:tabs>
          <w:tab w:leader="none" w:pos="8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shares remaining available for issuance under the 2025 EIP.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Potential Payments Upon Termination or Change in Control 2025</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Summary of Potential Payments</w:t>
      </w:r>
    </w:p>
    <w:p>
      <w:pPr>
        <w:spacing w:after="0" w:line="60" w:lineRule="exact"/>
        <w:rPr>
          <w:sz w:val="20"/>
          <w:szCs w:val="20"/>
          <w:color w:val="auto"/>
        </w:rPr>
      </w:pPr>
    </w:p>
    <w:p>
      <w:pPr>
        <w:ind w:left="560" w:right="180"/>
        <w:spacing w:after="0" w:line="246" w:lineRule="auto"/>
        <w:rPr>
          <w:sz w:val="20"/>
          <w:szCs w:val="20"/>
          <w:color w:val="auto"/>
        </w:rPr>
      </w:pPr>
      <w:r>
        <w:rPr>
          <w:rFonts w:ascii="Arial" w:cs="Arial" w:eastAsia="Arial" w:hAnsi="Arial"/>
          <w:sz w:val="13"/>
          <w:szCs w:val="13"/>
          <w:color w:val="auto"/>
        </w:rPr>
        <w:t>This section describes the potential additional payments and benefits under our compensation and benefit plans and arrangements to which the named executive officers would be entitled upon termination of employment under certain circumstances. Named executive officers would also be entitled to vested benefits and generally available benefits under our various plans and arrangements, as discussed after the Potential Payments Upon Termination or Change in Control table. The Company does not maintain employment agreements with our named executive officers, other than where it is customary outside of the U.S. The table following the narrative discussion summarizes the amounts payable upon termination under certain circumstances to our named executive officers, assuming that the executive’s employment terminated on December 28, 2025, the last day of our fiscal year.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Senior Executive Severance Plan</w:t>
      </w:r>
    </w:p>
    <w:p>
      <w:pPr>
        <w:spacing w:after="0" w:line="68" w:lineRule="exact"/>
        <w:rPr>
          <w:sz w:val="20"/>
          <w:szCs w:val="20"/>
          <w:color w:val="auto"/>
        </w:rPr>
      </w:pPr>
    </w:p>
    <w:p>
      <w:pPr>
        <w:ind w:left="560" w:right="120"/>
        <w:spacing w:after="0" w:line="248" w:lineRule="auto"/>
        <w:rPr>
          <w:sz w:val="20"/>
          <w:szCs w:val="20"/>
          <w:color w:val="auto"/>
        </w:rPr>
      </w:pPr>
      <w:r>
        <w:rPr>
          <w:rFonts w:ascii="Arial" w:cs="Arial" w:eastAsia="Arial" w:hAnsi="Arial"/>
          <w:sz w:val="15"/>
          <w:szCs w:val="15"/>
          <w:color w:val="auto"/>
        </w:rPr>
        <w:t>The Company implemented the Senior Executive Severance Plan (“Severance Plan”) for a limited number of executive officers in March 2017. During its March 23, 2021 meeting, the Committee approved expanding the Severance Plan to include other senior officers. Described below and illustrated in the table, Potential Payments Upon Termination or Change in Control, are the different elements payable under the Severance Plan if a named executive officer who was a party to the Severance Plan would experience a qualifying termination. All continuation amounts would be paid over the salary continuation period in compliance with Section 409A of the Code. Messrs. Layden and Anderson,, and Mses. Browning, Williams and Soares were covered in the Severance Plan for 2025.</w:t>
      </w:r>
    </w:p>
    <w:p>
      <w:pPr>
        <w:spacing w:after="0" w:line="34" w:lineRule="exact"/>
        <w:rPr>
          <w:sz w:val="20"/>
          <w:szCs w:val="20"/>
          <w:color w:val="auto"/>
        </w:rPr>
      </w:pPr>
    </w:p>
    <w:p>
      <w:pPr>
        <w:ind w:left="560" w:right="100"/>
        <w:spacing w:after="0" w:line="272" w:lineRule="auto"/>
        <w:rPr>
          <w:sz w:val="20"/>
          <w:szCs w:val="20"/>
          <w:color w:val="auto"/>
        </w:rPr>
      </w:pPr>
      <w:r>
        <w:rPr>
          <w:rFonts w:ascii="Arial" w:cs="Arial" w:eastAsia="Arial" w:hAnsi="Arial"/>
          <w:sz w:val="14"/>
          <w:szCs w:val="14"/>
          <w:color w:val="auto"/>
        </w:rPr>
        <w:t>If one of the eligible named executive officers were to have experienced a qualifying termination under the Severance Plan in 2025, the named executive officer would have been entitled to severance benefits based on the type of qualified termination and whether they were a Tier 1, Tier 2, or Tier 3 participant. Mr. Layden was the only Tier 1 participant in the Severance Plan. Mr. Anderson and Ms. Williams were Tier 2 participants in the Severance Plan. Mses. Browning and Soares were a Tier 3 participants in the Severance Plan. A “qualified termination” is any termination of a participant’s employment: by the Company other than for cause, disability, or death; or for “good reason” by a participant in connection with a change in control.</w:t>
      </w:r>
    </w:p>
    <w:p>
      <w:pPr>
        <w:spacing w:after="0" w:line="79"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5" w:lineRule="exact"/>
        <w:rPr>
          <w:sz w:val="20"/>
          <w:szCs w:val="20"/>
          <w:color w:val="auto"/>
        </w:rPr>
      </w:pPr>
    </w:p>
    <w:p>
      <w:pPr>
        <w:ind w:left="560"/>
        <w:spacing w:after="0" w:line="245" w:lineRule="auto"/>
        <w:rPr>
          <w:sz w:val="20"/>
          <w:szCs w:val="20"/>
          <w:color w:val="auto"/>
        </w:rPr>
      </w:pPr>
      <w:r>
        <w:rPr>
          <w:rFonts w:ascii="Arial" w:cs="Arial" w:eastAsia="Arial" w:hAnsi="Arial"/>
          <w:sz w:val="15"/>
          <w:szCs w:val="15"/>
          <w:color w:val="auto"/>
        </w:rPr>
        <w:t>For a qualified termination that occurs not in connection with a change in control, a Tier 1 participant would receive severance payments in the form of base salary continuation for a period of 24 months, a Tier 2 participant would receive severance payments in the form of base salary continuation for a period of 18 months, and a Tier 3 participant would receive severance payments in the form of base salary continuation for a period of 12 months. In addition, Tier 1, Tier 2, and Tier 3 participants would receive a prorated portion of their annual incentive compensation for the fiscal year in which the termination occurred, based on the actual performance results for the year. The pro rata annual incentive payout will be determined based on the number of days in the fiscal year the eligible named executive officer was actually employed during such plan year divided by 365. Prorated annual incentive awards are paid at the same time that incentive compensation for the same year is paid to the other senior officers of the Company, following certification by the Committee that applicable performance goals have been attained. Salary continuation amounts would be paid by the Company in installments over the severance period and in accordance with the Company’s standard payroll practice, subject to the requirements of Section 409A.</w:t>
      </w:r>
    </w:p>
    <w:p>
      <w:pPr>
        <w:spacing w:after="0" w:line="40" w:lineRule="exact"/>
        <w:rPr>
          <w:sz w:val="20"/>
          <w:szCs w:val="20"/>
          <w:color w:val="auto"/>
        </w:rPr>
      </w:pPr>
    </w:p>
    <w:p>
      <w:pPr>
        <w:ind w:left="560" w:right="40"/>
        <w:spacing w:after="0" w:line="263" w:lineRule="auto"/>
        <w:rPr>
          <w:sz w:val="20"/>
          <w:szCs w:val="20"/>
          <w:color w:val="auto"/>
        </w:rPr>
      </w:pPr>
      <w:r>
        <w:rPr>
          <w:rFonts w:ascii="Arial" w:cs="Arial" w:eastAsia="Arial" w:hAnsi="Arial"/>
          <w:sz w:val="14"/>
          <w:szCs w:val="14"/>
          <w:color w:val="auto"/>
        </w:rPr>
        <w:t>For a qualified termination that occurs in connection with a change in control, a Tier 1 participant would receive a single lump sum severance payment equal to two times the sum of the participant’s annual base salary and target annual incentive compensation. A Tier 2 participant would receive a single lump sum severance payment equal to one and one-half times the sum of the participant’s annual base salary and target annual incentive compensation. A Tier 3 participant would receive a single lump sum severance payment equal to one time the sum of the participant’s annual base salary and target annual incentive compensation. In addition, Tier 1, Tier 2, and Tier 3 participants would receive a prorated portion of their annual incentive compensation. If the qualifying termination occurred in the same year as the change in control, a prorated portion of the participant’s annual incentive compensation is paid based on achievement of a target level of performance. If the qualifying termination occurred in the two years following a change in control, a prorated portion of the participant’s annual incentive compensation is paid based on the actual performance results achieved for the year. Any pro rata annual incentive payout will be determined based on the number of days in the fiscal year the eligible named executive officer was actually employed during such plan year divided by 365. Prorated annual incentive awards are paid in a lump sum at the same time that incentive compensation for the same year is paid to the other senior officers of the Company, following certification by the Committee that applicable performance goals have been attained. Participants are subject to a best-net cutback for 280G excise tax calculations with no excise tax gross-ups provided under the Severance Plan.</w:t>
      </w:r>
    </w:p>
    <w:p>
      <w:pPr>
        <w:spacing w:after="0" w:line="29" w:lineRule="exact"/>
        <w:rPr>
          <w:sz w:val="20"/>
          <w:szCs w:val="20"/>
          <w:color w:val="auto"/>
        </w:rPr>
      </w:pPr>
    </w:p>
    <w:p>
      <w:pPr>
        <w:ind w:left="560" w:right="20"/>
        <w:spacing w:after="0" w:line="250" w:lineRule="auto"/>
        <w:rPr>
          <w:sz w:val="20"/>
          <w:szCs w:val="20"/>
          <w:color w:val="auto"/>
        </w:rPr>
      </w:pPr>
      <w:r>
        <w:rPr>
          <w:rFonts w:ascii="Arial" w:cs="Arial" w:eastAsia="Arial" w:hAnsi="Arial"/>
          <w:sz w:val="15"/>
          <w:szCs w:val="15"/>
          <w:color w:val="auto"/>
        </w:rPr>
        <w:t>Subject to the participant’s timely election of continued coverage under the Consolidated Omnibus Budget Reconciliation Act of 1985, as amended (“COBRA”), the Company would provide comparable medical (including prescription drug), dental, vision, and hospitalization benefits to the eligible named executive officer and his or her eligible dependents for the severance period, provided the named executive officer continues to pay the applicable employee rate for such coverage and the named executive officer remains eligible for COBRA coverage. The severance period for a Tier 1 participant is 24 months, for a Tier 2 participant is 18 months, and for Tier 3 participant is 12 months.</w:t>
      </w:r>
    </w:p>
    <w:p>
      <w:pPr>
        <w:spacing w:after="0" w:line="44" w:lineRule="exact"/>
        <w:rPr>
          <w:sz w:val="20"/>
          <w:szCs w:val="20"/>
          <w:color w:val="auto"/>
        </w:rPr>
      </w:pPr>
    </w:p>
    <w:p>
      <w:pPr>
        <w:ind w:left="560" w:right="260"/>
        <w:spacing w:after="0" w:line="275" w:lineRule="auto"/>
        <w:rPr>
          <w:sz w:val="20"/>
          <w:szCs w:val="20"/>
          <w:color w:val="auto"/>
        </w:rPr>
      </w:pPr>
      <w:r>
        <w:rPr>
          <w:rFonts w:ascii="Arial" w:cs="Arial" w:eastAsia="Arial" w:hAnsi="Arial"/>
          <w:sz w:val="15"/>
          <w:szCs w:val="15"/>
          <w:color w:val="auto"/>
        </w:rPr>
        <w:t>The eligible named executive officer will be entitled to receive reimbursement for professional outplacement services actually incurred during the initial 12-month period following termination, not to exceed $10,000.</w:t>
      </w:r>
    </w:p>
    <w:p>
      <w:pPr>
        <w:spacing w:after="0" w:line="14" w:lineRule="exact"/>
        <w:rPr>
          <w:sz w:val="20"/>
          <w:szCs w:val="20"/>
          <w:color w:val="auto"/>
        </w:rPr>
      </w:pPr>
    </w:p>
    <w:p>
      <w:pPr>
        <w:ind w:left="560" w:right="180"/>
        <w:spacing w:after="0" w:line="252" w:lineRule="auto"/>
        <w:rPr>
          <w:sz w:val="20"/>
          <w:szCs w:val="20"/>
          <w:color w:val="auto"/>
        </w:rPr>
      </w:pPr>
      <w:r>
        <w:rPr>
          <w:rFonts w:ascii="Arial" w:cs="Arial" w:eastAsia="Arial" w:hAnsi="Arial"/>
          <w:sz w:val="15"/>
          <w:szCs w:val="15"/>
          <w:color w:val="auto"/>
        </w:rPr>
        <w:t>The eligible named executive officers, as a condition to receiving payments under the Severance Plan, are required to sign a general release of claims relating to their employment. In addition, they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spacing w:after="0" w:line="32" w:lineRule="exact"/>
        <w:rPr>
          <w:sz w:val="20"/>
          <w:szCs w:val="20"/>
          <w:color w:val="auto"/>
        </w:rPr>
      </w:pPr>
    </w:p>
    <w:p>
      <w:pPr>
        <w:ind w:left="560" w:right="400"/>
        <w:spacing w:after="0" w:line="258" w:lineRule="auto"/>
        <w:rPr>
          <w:sz w:val="20"/>
          <w:szCs w:val="20"/>
          <w:color w:val="auto"/>
        </w:rPr>
      </w:pPr>
      <w:r>
        <w:rPr>
          <w:rFonts w:ascii="Arial" w:cs="Arial" w:eastAsia="Arial" w:hAnsi="Arial"/>
          <w:sz w:val="15"/>
          <w:szCs w:val="15"/>
          <w:color w:val="auto"/>
        </w:rPr>
        <w:t>During the 12 months following termination,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Named executive officers covered under the Severance Plan may not disparage, slander, or injure the business reputation or goodwill of the Company.</w:t>
      </w:r>
    </w:p>
    <w:p>
      <w:pPr>
        <w:spacing w:after="0" w:line="63" w:lineRule="exact"/>
        <w:rPr>
          <w:sz w:val="20"/>
          <w:szCs w:val="20"/>
          <w:color w:val="auto"/>
        </w:rPr>
      </w:pPr>
    </w:p>
    <w:p>
      <w:pPr>
        <w:jc w:val="both"/>
        <w:ind w:left="560" w:right="160"/>
        <w:spacing w:after="0" w:line="252" w:lineRule="auto"/>
        <w:rPr>
          <w:sz w:val="20"/>
          <w:szCs w:val="20"/>
          <w:color w:val="auto"/>
        </w:rPr>
      </w:pPr>
      <w:r>
        <w:rPr>
          <w:rFonts w:ascii="Arial" w:cs="Arial" w:eastAsia="Arial" w:hAnsi="Arial"/>
          <w:sz w:val="15"/>
          <w:szCs w:val="15"/>
          <w:color w:val="auto"/>
        </w:rPr>
        <w:t>Named executive officers must maintain as secret and confidential all protected information such as trade secrets, confidential and proprietary business information of the Company, and any other information of the Company, including but not limited to customer lists, sources of supply, processes, plans, materials, pricing information, internal memoranda, marketing plans, internal policies, and products and services which may be developed from time to time by the Company and its agents or employees, including the named executive officer.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Noncompliance with any of the above may result in the loss of severance benefits.</w:t>
      </w:r>
    </w:p>
    <w:p>
      <w:pPr>
        <w:spacing w:after="0" w:line="71"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68 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48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Treatment of Long-Term Incentive Awards</w:t>
      </w:r>
    </w:p>
    <w:p>
      <w:pPr>
        <w:spacing w:after="0" w:line="55" w:lineRule="exact"/>
        <w:rPr>
          <w:sz w:val="20"/>
          <w:szCs w:val="20"/>
          <w:color w:val="auto"/>
        </w:rPr>
      </w:pPr>
    </w:p>
    <w:p>
      <w:pPr>
        <w:ind w:left="560" w:right="140"/>
        <w:spacing w:after="0" w:line="250" w:lineRule="auto"/>
        <w:rPr>
          <w:sz w:val="20"/>
          <w:szCs w:val="20"/>
          <w:color w:val="auto"/>
        </w:rPr>
      </w:pPr>
      <w:r>
        <w:rPr>
          <w:rFonts w:ascii="Arial" w:cs="Arial" w:eastAsia="Arial" w:hAnsi="Arial"/>
          <w:sz w:val="15"/>
          <w:szCs w:val="15"/>
          <w:color w:val="auto"/>
        </w:rPr>
        <w:t>Each equity-based award is conditioned upon the grantee’s acceptance of the terms of the 2025 Equity Incentive Plan and the grant agreement, which includes restrictive covenants such as post-employment conditions not to solicit the Company’s employees or customers and not to compete against the Company for twelve months following any termination of employment, and indefinite covenants covering non-disparagement and confidentiality terms. Each of our named executive officer’s performance-based equity awards is subject to the Company’s Clawback Policy. Provisions for the treatment of long-term incentive awards upon various termination scenarios are outlined in the table below.</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860" w:type="dxa"/>
            <w:vAlign w:val="bottom"/>
          </w:tcPr>
          <w:p>
            <w:pPr>
              <w:ind w:left="340"/>
              <w:spacing w:after="0"/>
              <w:rPr>
                <w:sz w:val="20"/>
                <w:szCs w:val="20"/>
                <w:color w:val="auto"/>
              </w:rPr>
            </w:pPr>
            <w:r>
              <w:rPr>
                <w:rFonts w:ascii="Arial" w:cs="Arial" w:eastAsia="Arial" w:hAnsi="Arial"/>
                <w:sz w:val="13"/>
                <w:szCs w:val="13"/>
                <w:b w:val="1"/>
                <w:bCs w:val="1"/>
                <w:color w:val="00AE4F"/>
              </w:rPr>
              <w:t>Restricted Stock/Units</w:t>
            </w:r>
          </w:p>
        </w:tc>
        <w:tc>
          <w:tcPr>
            <w:tcW w:w="3120" w:type="dxa"/>
            <w:vAlign w:val="bottom"/>
          </w:tcPr>
          <w:p>
            <w:pPr>
              <w:ind w:left="1380"/>
              <w:spacing w:after="0"/>
              <w:rPr>
                <w:sz w:val="20"/>
                <w:szCs w:val="20"/>
                <w:color w:val="auto"/>
              </w:rPr>
            </w:pPr>
            <w:r>
              <w:rPr>
                <w:rFonts w:ascii="Arial" w:cs="Arial" w:eastAsia="Arial" w:hAnsi="Arial"/>
                <w:sz w:val="13"/>
                <w:szCs w:val="13"/>
                <w:b w:val="1"/>
                <w:bCs w:val="1"/>
                <w:color w:val="00AE4F"/>
              </w:rPr>
              <w:t>Performance Shares</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AE4F"/>
              </w:rPr>
              <w:t>Termination</w:t>
            </w:r>
          </w:p>
        </w:tc>
        <w:tc>
          <w:tcPr>
            <w:tcW w:w="186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00AE4F"/>
              </w:rPr>
              <w:t>(Time Vesting)</w:t>
            </w:r>
          </w:p>
        </w:tc>
        <w:tc>
          <w:tcPr>
            <w:tcW w:w="312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00AE4F"/>
              </w:rPr>
              <w:t>(Performance and Time Vesting)</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Termination not for Cause in connection with a Change In</w:t>
            </w:r>
          </w:p>
        </w:tc>
        <w:tc>
          <w:tcPr>
            <w:tcW w:w="1860" w:type="dxa"/>
            <w:vAlign w:val="bottom"/>
          </w:tcPr>
          <w:p>
            <w:pPr>
              <w:ind w:left="220"/>
              <w:spacing w:after="0"/>
              <w:rPr>
                <w:sz w:val="20"/>
                <w:szCs w:val="20"/>
                <w:color w:val="auto"/>
              </w:rPr>
            </w:pPr>
            <w:r>
              <w:rPr>
                <w:rFonts w:ascii="Arial" w:cs="Arial" w:eastAsia="Arial" w:hAnsi="Arial"/>
                <w:sz w:val="15"/>
                <w:szCs w:val="15"/>
                <w:color w:val="auto"/>
              </w:rPr>
              <w:t>Immediate Vesting</w:t>
            </w:r>
          </w:p>
        </w:tc>
        <w:tc>
          <w:tcPr>
            <w:tcW w:w="3120" w:type="dxa"/>
            <w:vAlign w:val="bottom"/>
          </w:tcPr>
          <w:p>
            <w:pPr>
              <w:ind w:left="100"/>
              <w:spacing w:after="0"/>
              <w:rPr>
                <w:sz w:val="20"/>
                <w:szCs w:val="20"/>
                <w:color w:val="auto"/>
              </w:rPr>
            </w:pPr>
            <w:r>
              <w:rPr>
                <w:rFonts w:ascii="Arial" w:cs="Arial" w:eastAsia="Arial" w:hAnsi="Arial"/>
                <w:sz w:val="15"/>
                <w:szCs w:val="15"/>
                <w:color w:val="auto"/>
              </w:rPr>
              <w:t>Immediate Vesting at Target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Control</w:t>
            </w:r>
          </w:p>
        </w:tc>
        <w:tc>
          <w:tcPr>
            <w:tcW w:w="18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500" w:type="dxa"/>
            <w:vAlign w:val="bottom"/>
            <w:tcBorders>
              <w:bottom w:val="single" w:sz="8" w:color="7F7F7F"/>
            </w:tcBorders>
            <w:gridSpan w:val="3"/>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Other Termination not for Cause</w:t>
            </w:r>
          </w:p>
        </w:tc>
        <w:tc>
          <w:tcPr>
            <w:tcW w:w="1860" w:type="dxa"/>
            <w:vAlign w:val="bottom"/>
          </w:tcPr>
          <w:p>
            <w:pPr>
              <w:ind w:left="220"/>
              <w:spacing w:after="0"/>
              <w:rPr>
                <w:sz w:val="20"/>
                <w:szCs w:val="20"/>
                <w:color w:val="auto"/>
              </w:rPr>
            </w:pPr>
            <w:r>
              <w:rPr>
                <w:rFonts w:ascii="Arial" w:cs="Arial" w:eastAsia="Arial" w:hAnsi="Arial"/>
                <w:sz w:val="15"/>
                <w:szCs w:val="15"/>
                <w:color w:val="auto"/>
              </w:rPr>
              <w:t>Forfeit</w:t>
            </w: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Prorated based on actual results (as determined at the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end of the cycle), subject to employment for at least one</w:t>
            </w: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5"/>
                <w:szCs w:val="15"/>
                <w:color w:val="auto"/>
              </w:rPr>
              <w:t>year after the date grant was approved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Termination for Good Reason in connection with a Change in</w:t>
            </w:r>
          </w:p>
        </w:tc>
        <w:tc>
          <w:tcPr>
            <w:tcW w:w="1860" w:type="dxa"/>
            <w:vAlign w:val="bottom"/>
          </w:tcPr>
          <w:p>
            <w:pPr>
              <w:ind w:left="220"/>
              <w:spacing w:after="0"/>
              <w:rPr>
                <w:sz w:val="20"/>
                <w:szCs w:val="20"/>
                <w:color w:val="auto"/>
              </w:rPr>
            </w:pPr>
            <w:r>
              <w:rPr>
                <w:rFonts w:ascii="Arial" w:cs="Arial" w:eastAsia="Arial" w:hAnsi="Arial"/>
                <w:sz w:val="15"/>
                <w:szCs w:val="15"/>
                <w:color w:val="auto"/>
              </w:rPr>
              <w:t>Immediate Vesting</w:t>
            </w:r>
          </w:p>
        </w:tc>
        <w:tc>
          <w:tcPr>
            <w:tcW w:w="3120" w:type="dxa"/>
            <w:vAlign w:val="bottom"/>
          </w:tcPr>
          <w:p>
            <w:pPr>
              <w:ind w:left="100"/>
              <w:spacing w:after="0"/>
              <w:rPr>
                <w:sz w:val="20"/>
                <w:szCs w:val="20"/>
                <w:color w:val="auto"/>
              </w:rPr>
            </w:pPr>
            <w:r>
              <w:rPr>
                <w:rFonts w:ascii="Arial" w:cs="Arial" w:eastAsia="Arial" w:hAnsi="Arial"/>
                <w:sz w:val="15"/>
                <w:szCs w:val="15"/>
                <w:color w:val="auto"/>
              </w:rPr>
              <w:t>Immediate Vesting at Target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Control</w:t>
            </w:r>
          </w:p>
        </w:tc>
        <w:tc>
          <w:tcPr>
            <w:tcW w:w="18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Termination for Cause</w:t>
            </w:r>
          </w:p>
        </w:tc>
        <w:tc>
          <w:tcPr>
            <w:tcW w:w="1860" w:type="dxa"/>
            <w:vAlign w:val="bottom"/>
          </w:tcPr>
          <w:p>
            <w:pPr>
              <w:ind w:left="220"/>
              <w:spacing w:after="0"/>
              <w:rPr>
                <w:sz w:val="20"/>
                <w:szCs w:val="20"/>
                <w:color w:val="auto"/>
              </w:rPr>
            </w:pPr>
            <w:r>
              <w:rPr>
                <w:rFonts w:ascii="Arial" w:cs="Arial" w:eastAsia="Arial" w:hAnsi="Arial"/>
                <w:sz w:val="15"/>
                <w:szCs w:val="15"/>
                <w:color w:val="auto"/>
              </w:rPr>
              <w:t>Forfeit</w:t>
            </w:r>
          </w:p>
        </w:tc>
        <w:tc>
          <w:tcPr>
            <w:tcW w:w="3120" w:type="dxa"/>
            <w:vAlign w:val="bottom"/>
          </w:tcPr>
          <w:p>
            <w:pPr>
              <w:ind w:left="100"/>
              <w:spacing w:after="0"/>
              <w:rPr>
                <w:sz w:val="20"/>
                <w:szCs w:val="20"/>
                <w:color w:val="auto"/>
              </w:rPr>
            </w:pPr>
            <w:r>
              <w:rPr>
                <w:rFonts w:ascii="Arial" w:cs="Arial" w:eastAsia="Arial" w:hAnsi="Arial"/>
                <w:sz w:val="15"/>
                <w:szCs w:val="15"/>
                <w:color w:val="auto"/>
              </w:rPr>
              <w:t>Forfeit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Voluntarily Quit</w:t>
            </w:r>
          </w:p>
        </w:tc>
        <w:tc>
          <w:tcPr>
            <w:tcW w:w="1860" w:type="dxa"/>
            <w:vAlign w:val="bottom"/>
          </w:tcPr>
          <w:p>
            <w:pPr>
              <w:ind w:left="220"/>
              <w:spacing w:after="0"/>
              <w:rPr>
                <w:sz w:val="20"/>
                <w:szCs w:val="20"/>
                <w:color w:val="auto"/>
              </w:rPr>
            </w:pPr>
            <w:r>
              <w:rPr>
                <w:rFonts w:ascii="Arial" w:cs="Arial" w:eastAsia="Arial" w:hAnsi="Arial"/>
                <w:sz w:val="15"/>
                <w:szCs w:val="15"/>
                <w:color w:val="auto"/>
              </w:rPr>
              <w:t>Forfeit</w:t>
            </w:r>
          </w:p>
        </w:tc>
        <w:tc>
          <w:tcPr>
            <w:tcW w:w="3120" w:type="dxa"/>
            <w:vAlign w:val="bottom"/>
          </w:tcPr>
          <w:p>
            <w:pPr>
              <w:ind w:left="100"/>
              <w:spacing w:after="0"/>
              <w:rPr>
                <w:sz w:val="20"/>
                <w:szCs w:val="20"/>
                <w:color w:val="auto"/>
              </w:rPr>
            </w:pPr>
            <w:r>
              <w:rPr>
                <w:rFonts w:ascii="Arial" w:cs="Arial" w:eastAsia="Arial" w:hAnsi="Arial"/>
                <w:sz w:val="15"/>
                <w:szCs w:val="15"/>
                <w:color w:val="auto"/>
              </w:rPr>
              <w:t>Forfeit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500" w:type="dxa"/>
            <w:vAlign w:val="bottom"/>
            <w:tcBorders>
              <w:bottom w:val="single" w:sz="8" w:color="7F7F7F"/>
            </w:tcBorders>
            <w:gridSpan w:val="3"/>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Retirement</w:t>
            </w:r>
          </w:p>
        </w:tc>
        <w:tc>
          <w:tcPr>
            <w:tcW w:w="1860" w:type="dxa"/>
            <w:vAlign w:val="bottom"/>
          </w:tcPr>
          <w:p>
            <w:pPr>
              <w:ind w:left="220"/>
              <w:spacing w:after="0"/>
              <w:rPr>
                <w:sz w:val="20"/>
                <w:szCs w:val="20"/>
                <w:color w:val="auto"/>
              </w:rPr>
            </w:pPr>
            <w:r>
              <w:rPr>
                <w:rFonts w:ascii="Arial" w:cs="Arial" w:eastAsia="Arial" w:hAnsi="Arial"/>
                <w:sz w:val="15"/>
                <w:szCs w:val="15"/>
                <w:color w:val="auto"/>
              </w:rPr>
              <w:t>Forfeit</w:t>
            </w: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Prorated based on actual results (as determined at the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end of the cycle) for “Normal Retirement” defined as age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62 with 5 years of service or as a combination of age plus</w:t>
            </w: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60" w:type="dxa"/>
            <w:vAlign w:val="bottom"/>
            <w:gridSpan w:val="4"/>
          </w:tcPr>
          <w:p>
            <w:pPr>
              <w:ind w:left="100"/>
              <w:spacing w:after="0"/>
              <w:rPr>
                <w:sz w:val="20"/>
                <w:szCs w:val="20"/>
                <w:color w:val="auto"/>
              </w:rPr>
            </w:pPr>
            <w:r>
              <w:rPr>
                <w:rFonts w:ascii="Arial" w:cs="Arial" w:eastAsia="Arial" w:hAnsi="Arial"/>
                <w:sz w:val="15"/>
                <w:szCs w:val="15"/>
                <w:color w:val="auto"/>
              </w:rPr>
              <w:t>years of service equal to 70, with a minimum age of 60</w:t>
            </w: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80"/>
              <w:spacing w:after="0"/>
              <w:rPr>
                <w:sz w:val="20"/>
                <w:szCs w:val="20"/>
                <w:color w:val="auto"/>
              </w:rPr>
            </w:pPr>
            <w:r>
              <w:rPr>
                <w:rFonts w:ascii="Arial" w:cs="Arial" w:eastAsia="Arial" w:hAnsi="Arial"/>
                <w:sz w:val="15"/>
                <w:szCs w:val="15"/>
                <w:i w:val="1"/>
                <w:iCs w:val="1"/>
                <w:color w:val="auto"/>
              </w:rPr>
              <w:t>Death or Disability</w:t>
            </w:r>
          </w:p>
        </w:tc>
        <w:tc>
          <w:tcPr>
            <w:tcW w:w="1860" w:type="dxa"/>
            <w:vAlign w:val="bottom"/>
          </w:tcPr>
          <w:p>
            <w:pPr>
              <w:ind w:left="220"/>
              <w:spacing w:after="0"/>
              <w:rPr>
                <w:sz w:val="20"/>
                <w:szCs w:val="20"/>
                <w:color w:val="auto"/>
              </w:rPr>
            </w:pPr>
            <w:r>
              <w:rPr>
                <w:rFonts w:ascii="Arial" w:cs="Arial" w:eastAsia="Arial" w:hAnsi="Arial"/>
                <w:sz w:val="15"/>
                <w:szCs w:val="15"/>
                <w:color w:val="auto"/>
              </w:rPr>
              <w:t>Prorated</w:t>
            </w:r>
          </w:p>
        </w:tc>
        <w:tc>
          <w:tcPr>
            <w:tcW w:w="3120" w:type="dxa"/>
            <w:vAlign w:val="bottom"/>
          </w:tcPr>
          <w:p>
            <w:pPr>
              <w:ind w:left="100"/>
              <w:spacing w:after="0"/>
              <w:rPr>
                <w:sz w:val="20"/>
                <w:szCs w:val="20"/>
                <w:color w:val="auto"/>
              </w:rPr>
            </w:pPr>
            <w:r>
              <w:rPr>
                <w:rFonts w:ascii="Arial" w:cs="Arial" w:eastAsia="Arial" w:hAnsi="Arial"/>
                <w:sz w:val="15"/>
                <w:szCs w:val="15"/>
                <w:color w:val="auto"/>
              </w:rPr>
              <w:t>Prorated based on actual results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7F7F7F"/>
            </w:tcBorders>
          </w:tcPr>
          <w:p>
            <w:pPr>
              <w:spacing w:after="0"/>
              <w:rPr>
                <w:sz w:val="3"/>
                <w:szCs w:val="3"/>
                <w:color w:val="auto"/>
              </w:rPr>
            </w:pPr>
          </w:p>
        </w:tc>
        <w:tc>
          <w:tcPr>
            <w:tcW w:w="186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120" w:type="dxa"/>
            <w:vAlign w:val="bottom"/>
            <w:vMerge w:val="restart"/>
          </w:tcPr>
          <w:p>
            <w:pPr>
              <w:ind w:left="2380"/>
              <w:spacing w:after="0"/>
              <w:rPr>
                <w:sz w:val="20"/>
                <w:szCs w:val="20"/>
                <w:color w:val="auto"/>
              </w:rPr>
            </w:pPr>
            <w:r>
              <w:rPr>
                <w:rFonts w:ascii="Arial" w:cs="Arial" w:eastAsia="Arial" w:hAnsi="Arial"/>
                <w:sz w:val="20"/>
                <w:szCs w:val="20"/>
                <w:color w:val="auto"/>
              </w:rPr>
              <w:t> </w:t>
            </w:r>
          </w:p>
        </w:tc>
        <w:tc>
          <w:tcPr>
            <w:tcW w:w="360" w:type="dxa"/>
            <w:vAlign w:val="bottom"/>
            <w:vMerge w:val="restart"/>
          </w:tcPr>
          <w:p>
            <w:pPr>
              <w:ind w:left="10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809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5" w:lineRule="exact"/>
        <w:rPr>
          <w:sz w:val="20"/>
          <w:szCs w:val="20"/>
          <w:color w:val="auto"/>
        </w:rPr>
      </w:pPr>
    </w:p>
    <w:p>
      <w:pPr>
        <w:ind w:left="560" w:right="380"/>
        <w:spacing w:after="0" w:line="275" w:lineRule="auto"/>
        <w:rPr>
          <w:sz w:val="20"/>
          <w:szCs w:val="20"/>
          <w:color w:val="auto"/>
        </w:rPr>
      </w:pPr>
      <w:r>
        <w:rPr>
          <w:rFonts w:ascii="Arial" w:cs="Arial" w:eastAsia="Arial" w:hAnsi="Arial"/>
          <w:sz w:val="15"/>
          <w:szCs w:val="15"/>
          <w:color w:val="auto"/>
        </w:rPr>
        <w:t>Based on the terms of the severance plans and treatment of LTI awards for each upon termination of employment as outlined above, the table below illustrates the amounts that each named executive officer would receive in each of the potential termination scenarios.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1000" w:type="dxa"/>
            <w:vAlign w:val="bottom"/>
          </w:tcPr>
          <w:p>
            <w:pPr>
              <w:jc w:val="center"/>
              <w:ind w:right="27"/>
              <w:spacing w:after="0"/>
              <w:rPr>
                <w:sz w:val="20"/>
                <w:szCs w:val="20"/>
                <w:color w:val="auto"/>
              </w:rPr>
            </w:pPr>
            <w:r>
              <w:rPr>
                <w:rFonts w:ascii="Arial" w:cs="Arial" w:eastAsia="Arial" w:hAnsi="Arial"/>
                <w:sz w:val="13"/>
                <w:szCs w:val="13"/>
                <w:b w:val="1"/>
                <w:bCs w:val="1"/>
                <w:color w:val="00AE4F"/>
              </w:rPr>
              <w:t>Christopher</w:t>
            </w:r>
          </w:p>
        </w:tc>
        <w:tc>
          <w:tcPr>
            <w:tcW w:w="980" w:type="dxa"/>
            <w:vAlign w:val="bottom"/>
          </w:tcPr>
          <w:p>
            <w:pPr>
              <w:jc w:val="center"/>
              <w:ind w:right="7"/>
              <w:spacing w:after="0"/>
              <w:rPr>
                <w:sz w:val="20"/>
                <w:szCs w:val="20"/>
                <w:color w:val="auto"/>
              </w:rPr>
            </w:pPr>
            <w:r>
              <w:rPr>
                <w:rFonts w:ascii="Arial" w:cs="Arial" w:eastAsia="Arial" w:hAnsi="Arial"/>
                <w:sz w:val="13"/>
                <w:szCs w:val="13"/>
                <w:b w:val="1"/>
                <w:bCs w:val="1"/>
                <w:color w:val="00AE4F"/>
              </w:rPr>
              <w:t>Troy 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w w:val="98"/>
              </w:rPr>
              <w:t>Tammy L.</w:t>
            </w:r>
          </w:p>
        </w:tc>
        <w:tc>
          <w:tcPr>
            <w:tcW w:w="1020" w:type="dxa"/>
            <w:vAlign w:val="bottom"/>
          </w:tcPr>
          <w:p>
            <w:pPr>
              <w:jc w:val="center"/>
              <w:ind w:right="7"/>
              <w:spacing w:after="0"/>
              <w:rPr>
                <w:sz w:val="20"/>
                <w:szCs w:val="20"/>
                <w:color w:val="auto"/>
              </w:rPr>
            </w:pPr>
            <w:r>
              <w:rPr>
                <w:rFonts w:ascii="Arial" w:cs="Arial" w:eastAsia="Arial" w:hAnsi="Arial"/>
                <w:sz w:val="13"/>
                <w:szCs w:val="13"/>
                <w:b w:val="1"/>
                <w:bCs w:val="1"/>
                <w:color w:val="00AE4F"/>
                <w:w w:val="96"/>
              </w:rPr>
              <w:t>Vanessa P.</w:t>
            </w:r>
          </w:p>
        </w:tc>
        <w:tc>
          <w:tcPr>
            <w:tcW w:w="980" w:type="dxa"/>
            <w:vAlign w:val="bottom"/>
          </w:tcPr>
          <w:p>
            <w:pPr>
              <w:jc w:val="center"/>
              <w:ind w:right="7"/>
              <w:spacing w:after="0"/>
              <w:rPr>
                <w:sz w:val="20"/>
                <w:szCs w:val="20"/>
                <w:color w:val="auto"/>
              </w:rPr>
            </w:pPr>
            <w:r>
              <w:rPr>
                <w:rFonts w:ascii="Arial" w:cs="Arial" w:eastAsia="Arial" w:hAnsi="Arial"/>
                <w:sz w:val="13"/>
                <w:szCs w:val="13"/>
                <w:b w:val="1"/>
                <w:bCs w:val="1"/>
                <w:color w:val="00AE4F"/>
              </w:rPr>
              <w:t>Nicola M.</w:t>
            </w:r>
          </w:p>
        </w:tc>
      </w:tr>
      <w:tr>
        <w:trPr>
          <w:trHeight w:val="149"/>
        </w:trPr>
        <w:tc>
          <w:tcPr>
            <w:tcW w:w="5180" w:type="dxa"/>
            <w:vAlign w:val="bottom"/>
          </w:tcPr>
          <w:p>
            <w:pPr>
              <w:spacing w:after="0"/>
              <w:rPr>
                <w:sz w:val="12"/>
                <w:szCs w:val="12"/>
                <w:color w:val="auto"/>
              </w:rPr>
            </w:pPr>
          </w:p>
        </w:tc>
        <w:tc>
          <w:tcPr>
            <w:tcW w:w="1000" w:type="dxa"/>
            <w:vAlign w:val="bottom"/>
          </w:tcPr>
          <w:p>
            <w:pPr>
              <w:jc w:val="center"/>
              <w:ind w:right="27"/>
              <w:spacing w:after="0"/>
              <w:rPr>
                <w:sz w:val="20"/>
                <w:szCs w:val="20"/>
                <w:color w:val="auto"/>
              </w:rPr>
            </w:pPr>
            <w:r>
              <w:rPr>
                <w:rFonts w:ascii="Arial" w:cs="Arial" w:eastAsia="Arial" w:hAnsi="Arial"/>
                <w:sz w:val="13"/>
                <w:szCs w:val="13"/>
                <w:b w:val="1"/>
                <w:bCs w:val="1"/>
                <w:color w:val="00AE4F"/>
                <w:w w:val="99"/>
              </w:rPr>
              <w:t>D. Layden</w:t>
            </w:r>
          </w:p>
        </w:tc>
        <w:tc>
          <w:tcPr>
            <w:tcW w:w="980" w:type="dxa"/>
            <w:vAlign w:val="bottom"/>
          </w:tcPr>
          <w:p>
            <w:pPr>
              <w:jc w:val="center"/>
              <w:ind w:right="7"/>
              <w:spacing w:after="0"/>
              <w:rPr>
                <w:sz w:val="20"/>
                <w:szCs w:val="20"/>
                <w:color w:val="auto"/>
              </w:rPr>
            </w:pPr>
            <w:r>
              <w:rPr>
                <w:rFonts w:ascii="Arial" w:cs="Arial" w:eastAsia="Arial" w:hAnsi="Arial"/>
                <w:sz w:val="13"/>
                <w:szCs w:val="13"/>
                <w:b w:val="1"/>
                <w:bCs w:val="1"/>
                <w:color w:val="00AE4F"/>
              </w:rPr>
              <w:t>Anderson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Browning</w:t>
            </w:r>
          </w:p>
        </w:tc>
        <w:tc>
          <w:tcPr>
            <w:tcW w:w="1020" w:type="dxa"/>
            <w:vAlign w:val="bottom"/>
          </w:tcPr>
          <w:p>
            <w:pPr>
              <w:jc w:val="center"/>
              <w:ind w:right="7"/>
              <w:spacing w:after="0"/>
              <w:rPr>
                <w:sz w:val="20"/>
                <w:szCs w:val="20"/>
                <w:color w:val="auto"/>
              </w:rPr>
            </w:pPr>
            <w:r>
              <w:rPr>
                <w:rFonts w:ascii="Arial" w:cs="Arial" w:eastAsia="Arial" w:hAnsi="Arial"/>
                <w:sz w:val="13"/>
                <w:szCs w:val="13"/>
                <w:b w:val="1"/>
                <w:bCs w:val="1"/>
                <w:color w:val="00AE4F"/>
              </w:rPr>
              <w:t>Williams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Soares</w:t>
            </w:r>
          </w:p>
        </w:tc>
      </w:tr>
      <w:tr>
        <w:trPr>
          <w:trHeight w:val="180"/>
        </w:trPr>
        <w:tc>
          <w:tcPr>
            <w:tcW w:w="5180" w:type="dxa"/>
            <w:vAlign w:val="bottom"/>
          </w:tcPr>
          <w:p>
            <w:pPr>
              <w:spacing w:after="0"/>
              <w:rPr>
                <w:sz w:val="20"/>
                <w:szCs w:val="20"/>
                <w:color w:val="auto"/>
              </w:rPr>
            </w:pPr>
            <w:r>
              <w:rPr>
                <w:rFonts w:ascii="Arial" w:cs="Arial" w:eastAsia="Arial" w:hAnsi="Arial"/>
                <w:sz w:val="13"/>
                <w:szCs w:val="13"/>
                <w:b w:val="1"/>
                <w:bCs w:val="1"/>
                <w:color w:val="00AE4F"/>
              </w:rPr>
              <w:t>Event and Amounts</w:t>
            </w:r>
          </w:p>
        </w:tc>
        <w:tc>
          <w:tcPr>
            <w:tcW w:w="1000" w:type="dxa"/>
            <w:vAlign w:val="bottom"/>
          </w:tcPr>
          <w:p>
            <w:pPr>
              <w:jc w:val="center"/>
              <w:ind w:right="47"/>
              <w:spacing w:after="0"/>
              <w:rPr>
                <w:sz w:val="20"/>
                <w:szCs w:val="20"/>
                <w:color w:val="auto"/>
              </w:rPr>
            </w:pPr>
            <w:r>
              <w:rPr>
                <w:rFonts w:ascii="Arial" w:cs="Arial" w:eastAsia="Arial" w:hAnsi="Arial"/>
                <w:sz w:val="13"/>
                <w:szCs w:val="13"/>
                <w:b w:val="1"/>
                <w:bCs w:val="1"/>
                <w:color w:val="00AE4F"/>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AE4F"/>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AE4F"/>
              </w:rPr>
              <w:t>($)</w:t>
            </w:r>
          </w:p>
        </w:tc>
      </w:tr>
      <w:tr>
        <w:trPr>
          <w:trHeight w:val="39"/>
        </w:trPr>
        <w:tc>
          <w:tcPr>
            <w:tcW w:w="5180" w:type="dxa"/>
            <w:vAlign w:val="bottom"/>
            <w:tcBorders>
              <w:bottom w:val="single" w:sz="8" w:color="33302B"/>
            </w:tcBorders>
          </w:tcPr>
          <w:p>
            <w:pPr>
              <w:spacing w:after="0"/>
              <w:rPr>
                <w:sz w:val="3"/>
                <w:szCs w:val="3"/>
                <w:color w:val="auto"/>
              </w:rPr>
            </w:pPr>
          </w:p>
        </w:tc>
        <w:tc>
          <w:tcPr>
            <w:tcW w:w="1000" w:type="dxa"/>
            <w:vAlign w:val="bottom"/>
            <w:tcBorders>
              <w:bottom w:val="single" w:sz="8" w:color="33302B"/>
            </w:tcBorders>
          </w:tcPr>
          <w:p>
            <w:pPr>
              <w:spacing w:after="0"/>
              <w:rPr>
                <w:sz w:val="3"/>
                <w:szCs w:val="3"/>
                <w:color w:val="auto"/>
              </w:rPr>
            </w:pPr>
          </w:p>
        </w:tc>
        <w:tc>
          <w:tcPr>
            <w:tcW w:w="980" w:type="dxa"/>
            <w:vAlign w:val="bottom"/>
            <w:tcBorders>
              <w:bottom w:val="single" w:sz="8" w:color="33302B"/>
            </w:tcBorders>
          </w:tcPr>
          <w:p>
            <w:pPr>
              <w:spacing w:after="0"/>
              <w:rPr>
                <w:sz w:val="3"/>
                <w:szCs w:val="3"/>
                <w:color w:val="auto"/>
              </w:rPr>
            </w:pPr>
          </w:p>
        </w:tc>
        <w:tc>
          <w:tcPr>
            <w:tcW w:w="980" w:type="dxa"/>
            <w:vAlign w:val="bottom"/>
            <w:tcBorders>
              <w:bottom w:val="single" w:sz="8" w:color="33302B"/>
            </w:tcBorders>
          </w:tcPr>
          <w:p>
            <w:pPr>
              <w:spacing w:after="0"/>
              <w:rPr>
                <w:sz w:val="3"/>
                <w:szCs w:val="3"/>
                <w:color w:val="auto"/>
              </w:rPr>
            </w:pPr>
          </w:p>
        </w:tc>
        <w:tc>
          <w:tcPr>
            <w:tcW w:w="1020" w:type="dxa"/>
            <w:vAlign w:val="bottom"/>
            <w:tcBorders>
              <w:bottom w:val="single" w:sz="8" w:color="33302B"/>
            </w:tcBorders>
          </w:tcPr>
          <w:p>
            <w:pPr>
              <w:spacing w:after="0"/>
              <w:rPr>
                <w:sz w:val="3"/>
                <w:szCs w:val="3"/>
                <w:color w:val="auto"/>
              </w:rPr>
            </w:pPr>
          </w:p>
        </w:tc>
        <w:tc>
          <w:tcPr>
            <w:tcW w:w="980" w:type="dxa"/>
            <w:vAlign w:val="bottom"/>
            <w:tcBorders>
              <w:bottom w:val="single" w:sz="8" w:color="33302B"/>
            </w:tcBorders>
          </w:tcPr>
          <w:p>
            <w:pPr>
              <w:spacing w:after="0"/>
              <w:rPr>
                <w:sz w:val="3"/>
                <w:szCs w:val="3"/>
                <w:color w:val="auto"/>
              </w:rPr>
            </w:pPr>
          </w:p>
        </w:tc>
      </w:tr>
      <w:tr>
        <w:trPr>
          <w:trHeight w:val="232"/>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Involuntary Termination (For Cause)</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
        </w:trPr>
        <w:tc>
          <w:tcPr>
            <w:tcW w:w="5180" w:type="dxa"/>
            <w:vAlign w:val="bottom"/>
            <w:tcBorders>
              <w:bottom w:val="single" w:sz="8" w:color="7F7F7F"/>
            </w:tcBorders>
          </w:tcPr>
          <w:p>
            <w:pPr>
              <w:spacing w:after="0" w:line="20" w:lineRule="exact"/>
              <w:rPr>
                <w:sz w:val="1"/>
                <w:szCs w:val="1"/>
                <w:color w:val="auto"/>
              </w:rPr>
            </w:pPr>
          </w:p>
        </w:tc>
        <w:tc>
          <w:tcPr>
            <w:tcW w:w="100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102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r>
      <w:tr>
        <w:trPr>
          <w:trHeight w:val="226"/>
        </w:trPr>
        <w:tc>
          <w:tcPr>
            <w:tcW w:w="5180" w:type="dxa"/>
            <w:vAlign w:val="bottom"/>
          </w:tcPr>
          <w:p>
            <w:pPr>
              <w:ind w:left="60"/>
              <w:spacing w:after="0"/>
              <w:rPr>
                <w:sz w:val="20"/>
                <w:szCs w:val="20"/>
                <w:color w:val="auto"/>
              </w:rPr>
            </w:pPr>
            <w:r>
              <w:rPr>
                <w:rFonts w:ascii="Arial" w:cs="Arial" w:eastAsia="Arial" w:hAnsi="Arial"/>
                <w:sz w:val="15"/>
                <w:szCs w:val="15"/>
                <w:color w:val="auto"/>
              </w:rPr>
              <w:t>No other payments due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5180" w:type="dxa"/>
            <w:vAlign w:val="bottom"/>
            <w:tcBorders>
              <w:bottom w:val="single" w:sz="8" w:color="7F7F7F"/>
            </w:tcBorders>
          </w:tcPr>
          <w:p>
            <w:pPr>
              <w:spacing w:after="0"/>
              <w:rPr>
                <w:sz w:val="2"/>
                <w:szCs w:val="2"/>
                <w:color w:val="auto"/>
              </w:rPr>
            </w:pPr>
          </w:p>
        </w:tc>
        <w:tc>
          <w:tcPr>
            <w:tcW w:w="100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102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r>
      <w:tr>
        <w:trPr>
          <w:trHeight w:val="232"/>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Voluntary Termination</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
        </w:trPr>
        <w:tc>
          <w:tcPr>
            <w:tcW w:w="5180" w:type="dxa"/>
            <w:vAlign w:val="bottom"/>
            <w:tcBorders>
              <w:bottom w:val="single" w:sz="8" w:color="7F7F7F"/>
            </w:tcBorders>
          </w:tcPr>
          <w:p>
            <w:pPr>
              <w:spacing w:after="0" w:line="20" w:lineRule="exact"/>
              <w:rPr>
                <w:sz w:val="1"/>
                <w:szCs w:val="1"/>
                <w:color w:val="auto"/>
              </w:rPr>
            </w:pPr>
          </w:p>
        </w:tc>
        <w:tc>
          <w:tcPr>
            <w:tcW w:w="100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102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r>
      <w:tr>
        <w:trPr>
          <w:trHeight w:val="226"/>
        </w:trPr>
        <w:tc>
          <w:tcPr>
            <w:tcW w:w="5180" w:type="dxa"/>
            <w:vAlign w:val="bottom"/>
          </w:tcPr>
          <w:p>
            <w:pPr>
              <w:ind w:left="60"/>
              <w:spacing w:after="0"/>
              <w:rPr>
                <w:sz w:val="20"/>
                <w:szCs w:val="20"/>
                <w:color w:val="auto"/>
              </w:rPr>
            </w:pPr>
            <w:r>
              <w:rPr>
                <w:rFonts w:ascii="Arial" w:cs="Arial" w:eastAsia="Arial" w:hAnsi="Arial"/>
                <w:sz w:val="15"/>
                <w:szCs w:val="15"/>
                <w:color w:val="auto"/>
              </w:rPr>
              <w:t>No other payments due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5180" w:type="dxa"/>
            <w:vAlign w:val="bottom"/>
            <w:tcBorders>
              <w:bottom w:val="single" w:sz="8" w:color="7F7F7F"/>
            </w:tcBorders>
          </w:tcPr>
          <w:p>
            <w:pPr>
              <w:spacing w:after="0"/>
              <w:rPr>
                <w:sz w:val="2"/>
                <w:szCs w:val="2"/>
                <w:color w:val="auto"/>
              </w:rPr>
            </w:pPr>
          </w:p>
        </w:tc>
        <w:tc>
          <w:tcPr>
            <w:tcW w:w="100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1020" w:type="dxa"/>
            <w:vAlign w:val="bottom"/>
            <w:tcBorders>
              <w:bottom w:val="single" w:sz="8" w:color="7F7F7F"/>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r>
      <w:tr>
        <w:trPr>
          <w:trHeight w:val="232"/>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Death or Disability</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
        </w:trPr>
        <w:tc>
          <w:tcPr>
            <w:tcW w:w="5180" w:type="dxa"/>
            <w:vAlign w:val="bottom"/>
            <w:tcBorders>
              <w:bottom w:val="single" w:sz="8" w:color="7F7F7F"/>
            </w:tcBorders>
          </w:tcPr>
          <w:p>
            <w:pPr>
              <w:spacing w:after="0" w:line="20" w:lineRule="exact"/>
              <w:rPr>
                <w:sz w:val="1"/>
                <w:szCs w:val="1"/>
                <w:color w:val="auto"/>
              </w:rPr>
            </w:pPr>
          </w:p>
        </w:tc>
        <w:tc>
          <w:tcPr>
            <w:tcW w:w="100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c>
          <w:tcPr>
            <w:tcW w:w="1020" w:type="dxa"/>
            <w:vAlign w:val="bottom"/>
            <w:tcBorders>
              <w:bottom w:val="single" w:sz="8" w:color="7F7F7F"/>
            </w:tcBorders>
          </w:tcPr>
          <w:p>
            <w:pPr>
              <w:spacing w:after="0" w:line="20" w:lineRule="exact"/>
              <w:rPr>
                <w:sz w:val="1"/>
                <w:szCs w:val="1"/>
                <w:color w:val="auto"/>
              </w:rPr>
            </w:pPr>
          </w:p>
        </w:tc>
        <w:tc>
          <w:tcPr>
            <w:tcW w:w="980" w:type="dxa"/>
            <w:vAlign w:val="bottom"/>
            <w:tcBorders>
              <w:bottom w:val="single" w:sz="8" w:color="7F7F7F"/>
            </w:tcBorders>
          </w:tcPr>
          <w:p>
            <w:pPr>
              <w:spacing w:after="0" w:line="20" w:lineRule="exact"/>
              <w:rPr>
                <w:sz w:val="1"/>
                <w:szCs w:val="1"/>
                <w:color w:val="auto"/>
              </w:rPr>
            </w:pP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Performance Shares (Equity-Based)</w:t>
            </w:r>
            <w:r>
              <w:rPr>
                <w:rFonts w:ascii="Arial" w:cs="Arial" w:eastAsia="Arial" w:hAnsi="Arial"/>
                <w:sz w:val="22"/>
                <w:szCs w:val="22"/>
                <w:color w:val="auto"/>
                <w:vertAlign w:val="superscript"/>
              </w:rPr>
              <w:t>(1)</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66,994</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111,878</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188,042</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104,878</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Restricted Shares</w:t>
            </w:r>
            <w:r>
              <w:rPr>
                <w:rFonts w:ascii="Arial" w:cs="Arial" w:eastAsia="Arial" w:hAnsi="Arial"/>
                <w:sz w:val="22"/>
                <w:szCs w:val="22"/>
                <w:color w:val="auto"/>
                <w:vertAlign w:val="superscript"/>
              </w:rPr>
              <w:t>(2)</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232,651</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218,169</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166,577</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108,340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107,754</w:t>
            </w:r>
          </w:p>
        </w:tc>
      </w:tr>
      <w:tr>
        <w:trPr>
          <w:trHeight w:val="236"/>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Total</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232,651</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285,163</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278,455</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b w:val="1"/>
                <w:bCs w:val="1"/>
                <w:color w:val="auto"/>
              </w:rPr>
              <w:t>296,382</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212,632</w:t>
            </w:r>
          </w:p>
        </w:tc>
      </w:tr>
      <w:tr>
        <w:trPr>
          <w:trHeight w:val="207"/>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Normal Retirement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4"/>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(Age 62 and 5 Years of Service or any Combination of Age + Service &gt;</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7"/>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70 with Minimum Age of 60)</w:t>
            </w:r>
          </w:p>
        </w:tc>
        <w:tc>
          <w:tcPr>
            <w:tcW w:w="100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102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r>
      <w:tr>
        <w:trPr>
          <w:trHeight w:val="244"/>
        </w:trPr>
        <w:tc>
          <w:tcPr>
            <w:tcW w:w="5180" w:type="dxa"/>
            <w:vAlign w:val="bottom"/>
            <w:tcBorders>
              <w:bottom w:val="single" w:sz="8" w:color="7F7F7F"/>
            </w:tcBorders>
          </w:tcPr>
          <w:p>
            <w:pPr>
              <w:ind w:left="60"/>
              <w:spacing w:after="0" w:line="244" w:lineRule="exact"/>
              <w:rPr>
                <w:sz w:val="20"/>
                <w:szCs w:val="20"/>
                <w:color w:val="auto"/>
              </w:rPr>
            </w:pPr>
            <w:r>
              <w:rPr>
                <w:rFonts w:ascii="Arial" w:cs="Arial" w:eastAsia="Arial" w:hAnsi="Arial"/>
                <w:sz w:val="15"/>
                <w:szCs w:val="15"/>
                <w:color w:val="auto"/>
              </w:rPr>
              <w:t>Performance Shares (Equity-Based)</w:t>
            </w:r>
            <w:r>
              <w:rPr>
                <w:rFonts w:ascii="Arial" w:cs="Arial" w:eastAsia="Arial" w:hAnsi="Arial"/>
                <w:sz w:val="22"/>
                <w:szCs w:val="22"/>
                <w:color w:val="auto"/>
                <w:vertAlign w:val="superscript"/>
              </w:rPr>
              <w:t>(1)</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w:t>
            </w:r>
          </w:p>
        </w:tc>
      </w:tr>
      <w:tr>
        <w:trPr>
          <w:trHeight w:val="203"/>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rPr>
              <w:t>Involuntary Termination</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(Not For Cause)</w:t>
            </w:r>
          </w:p>
        </w:tc>
        <w:tc>
          <w:tcPr>
            <w:tcW w:w="100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102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r>
      <w:tr>
        <w:trPr>
          <w:trHeight w:val="244"/>
        </w:trPr>
        <w:tc>
          <w:tcPr>
            <w:tcW w:w="5180" w:type="dxa"/>
            <w:vAlign w:val="bottom"/>
            <w:tcBorders>
              <w:bottom w:val="single" w:sz="8" w:color="7F7F7F"/>
            </w:tcBorders>
          </w:tcPr>
          <w:p>
            <w:pPr>
              <w:ind w:left="60"/>
              <w:spacing w:after="0" w:line="244" w:lineRule="exact"/>
              <w:rPr>
                <w:sz w:val="20"/>
                <w:szCs w:val="20"/>
                <w:color w:val="auto"/>
              </w:rPr>
            </w:pPr>
            <w:r>
              <w:rPr>
                <w:rFonts w:ascii="Arial" w:cs="Arial" w:eastAsia="Arial" w:hAnsi="Arial"/>
                <w:sz w:val="15"/>
                <w:szCs w:val="15"/>
                <w:color w:val="auto"/>
              </w:rPr>
              <w:t>Cash Severance</w:t>
            </w:r>
            <w:r>
              <w:rPr>
                <w:rFonts w:ascii="Arial" w:cs="Arial" w:eastAsia="Arial" w:hAnsi="Arial"/>
                <w:sz w:val="22"/>
                <w:szCs w:val="22"/>
                <w:color w:val="auto"/>
                <w:vertAlign w:val="superscript"/>
              </w:rPr>
              <w:t>(3)</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2,000,000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975,000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463,000</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787,500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422,000</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Pro-Rated Annual Incentive</w:t>
            </w:r>
            <w:r>
              <w:rPr>
                <w:rFonts w:ascii="Arial" w:cs="Arial" w:eastAsia="Arial" w:hAnsi="Arial"/>
                <w:sz w:val="22"/>
                <w:szCs w:val="22"/>
                <w:color w:val="auto"/>
                <w:vertAlign w:val="superscript"/>
              </w:rPr>
              <w:t>(4)</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450,000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89,816</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Performance Shares (Equity-Based)</w:t>
            </w:r>
            <w:r>
              <w:rPr>
                <w:rFonts w:ascii="Arial" w:cs="Arial" w:eastAsia="Arial" w:hAnsi="Arial"/>
                <w:sz w:val="22"/>
                <w:szCs w:val="22"/>
                <w:color w:val="auto"/>
                <w:vertAlign w:val="superscript"/>
              </w:rPr>
              <w:t>(1)</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90,181</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143,374</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83,749</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Restricted Shares</w:t>
            </w:r>
            <w:r>
              <w:rPr>
                <w:rFonts w:ascii="Arial" w:cs="Arial" w:eastAsia="Arial" w:hAnsi="Arial"/>
                <w:sz w:val="22"/>
                <w:szCs w:val="22"/>
                <w:color w:val="auto"/>
                <w:vertAlign w:val="superscript"/>
              </w:rPr>
              <w:t>(2)</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2"/>
                <w:szCs w:val="22"/>
                <w:color w:val="auto"/>
                <w:vertAlign w:val="superscript"/>
              </w:rPr>
              <w:t>(5)</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12,750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4,078</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17,117</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10,209</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Outplacement Services</w:t>
            </w:r>
            <w:r>
              <w:rPr>
                <w:rFonts w:ascii="Arial" w:cs="Arial" w:eastAsia="Arial" w:hAnsi="Arial"/>
                <w:sz w:val="22"/>
                <w:szCs w:val="22"/>
                <w:color w:val="auto"/>
                <w:vertAlign w:val="superscript"/>
              </w:rPr>
              <w:t>(6)</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10,000</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10,000</w:t>
            </w:r>
          </w:p>
        </w:tc>
      </w:tr>
      <w:tr>
        <w:trPr>
          <w:trHeight w:val="236"/>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Total</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2,460,000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997,750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567,259</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b w:val="1"/>
                <w:bCs w:val="1"/>
                <w:color w:val="auto"/>
              </w:rPr>
              <w:t>957,990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615,774</w:t>
            </w:r>
          </w:p>
        </w:tc>
      </w:tr>
      <w:tr>
        <w:trPr>
          <w:trHeight w:val="207"/>
        </w:trPr>
        <w:tc>
          <w:tcPr>
            <w:tcW w:w="5180" w:type="dxa"/>
            <w:vAlign w:val="bottom"/>
          </w:tcPr>
          <w:p>
            <w:pPr>
              <w:ind w:left="60"/>
              <w:spacing w:after="0"/>
              <w:rPr>
                <w:sz w:val="20"/>
                <w:szCs w:val="20"/>
                <w:color w:val="auto"/>
              </w:rPr>
            </w:pPr>
            <w:r>
              <w:rPr>
                <w:rFonts w:ascii="Arial" w:cs="Arial" w:eastAsia="Arial" w:hAnsi="Arial"/>
                <w:sz w:val="15"/>
                <w:szCs w:val="15"/>
                <w:b w:val="1"/>
                <w:bCs w:val="1"/>
                <w:color w:val="auto"/>
                <w:w w:val="99"/>
              </w:rPr>
              <w:t>Termination in Connection with a Change In Control - For Good Reason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7"/>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or Not For Cause</w:t>
            </w:r>
          </w:p>
        </w:tc>
        <w:tc>
          <w:tcPr>
            <w:tcW w:w="100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c>
          <w:tcPr>
            <w:tcW w:w="102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spacing w:after="0"/>
              <w:rPr>
                <w:sz w:val="17"/>
                <w:szCs w:val="17"/>
                <w:color w:val="auto"/>
              </w:rPr>
            </w:pPr>
          </w:p>
        </w:tc>
      </w:tr>
      <w:tr>
        <w:trPr>
          <w:trHeight w:val="244"/>
        </w:trPr>
        <w:tc>
          <w:tcPr>
            <w:tcW w:w="5180" w:type="dxa"/>
            <w:vAlign w:val="bottom"/>
            <w:tcBorders>
              <w:bottom w:val="single" w:sz="8" w:color="7F7F7F"/>
            </w:tcBorders>
          </w:tcPr>
          <w:p>
            <w:pPr>
              <w:ind w:left="60"/>
              <w:spacing w:after="0" w:line="244" w:lineRule="exact"/>
              <w:rPr>
                <w:sz w:val="20"/>
                <w:szCs w:val="20"/>
                <w:color w:val="auto"/>
              </w:rPr>
            </w:pPr>
            <w:r>
              <w:rPr>
                <w:rFonts w:ascii="Arial" w:cs="Arial" w:eastAsia="Arial" w:hAnsi="Arial"/>
                <w:sz w:val="15"/>
                <w:szCs w:val="15"/>
                <w:color w:val="auto"/>
              </w:rPr>
              <w:t>Cash Severance</w:t>
            </w:r>
            <w:r>
              <w:rPr>
                <w:rFonts w:ascii="Arial" w:cs="Arial" w:eastAsia="Arial" w:hAnsi="Arial"/>
                <w:sz w:val="22"/>
                <w:szCs w:val="22"/>
                <w:color w:val="auto"/>
                <w:vertAlign w:val="superscript"/>
              </w:rPr>
              <w:t>(3)</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4,500,000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1,803,750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740,800</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1,378,125</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675,200</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Pro-Rated Annual Incentive</w:t>
            </w:r>
            <w:r>
              <w:rPr>
                <w:rFonts w:ascii="Arial" w:cs="Arial" w:eastAsia="Arial" w:hAnsi="Arial"/>
                <w:sz w:val="22"/>
                <w:szCs w:val="22"/>
                <w:color w:val="auto"/>
                <w:vertAlign w:val="superscript"/>
              </w:rPr>
              <w:t>(4)</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1,250,000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552,500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277,800</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393,750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253,200</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Performance Shares (Equity-Based)</w:t>
            </w:r>
            <w:r>
              <w:rPr>
                <w:rFonts w:ascii="Arial" w:cs="Arial" w:eastAsia="Arial" w:hAnsi="Arial"/>
                <w:sz w:val="22"/>
                <w:szCs w:val="22"/>
                <w:color w:val="auto"/>
                <w:vertAlign w:val="superscript"/>
              </w:rPr>
              <w:t>(1)</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316,857</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217,695</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403,757</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207,561</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Restricted Shares</w:t>
            </w:r>
            <w:r>
              <w:rPr>
                <w:rFonts w:ascii="Arial" w:cs="Arial" w:eastAsia="Arial" w:hAnsi="Arial"/>
                <w:sz w:val="22"/>
                <w:szCs w:val="22"/>
                <w:color w:val="auto"/>
                <w:vertAlign w:val="superscript"/>
              </w:rPr>
              <w:t>(2)</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2,499,276</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991,355</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533,725</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271,972</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221,173</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2"/>
                <w:szCs w:val="22"/>
                <w:color w:val="auto"/>
                <w:vertAlign w:val="superscript"/>
              </w:rPr>
              <w:t>(5)</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12,750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4,078</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17,117</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10,209</w:t>
            </w:r>
          </w:p>
        </w:tc>
      </w:tr>
      <w:tr>
        <w:trPr>
          <w:trHeight w:val="240"/>
        </w:trPr>
        <w:tc>
          <w:tcPr>
            <w:tcW w:w="5180" w:type="dxa"/>
            <w:vAlign w:val="bottom"/>
            <w:tcBorders>
              <w:bottom w:val="single" w:sz="8" w:color="7F7F7F"/>
            </w:tcBorders>
          </w:tcPr>
          <w:p>
            <w:pPr>
              <w:ind w:left="60"/>
              <w:spacing w:after="0" w:line="241" w:lineRule="exact"/>
              <w:rPr>
                <w:sz w:val="20"/>
                <w:szCs w:val="20"/>
                <w:color w:val="auto"/>
              </w:rPr>
            </w:pPr>
            <w:r>
              <w:rPr>
                <w:rFonts w:ascii="Arial" w:cs="Arial" w:eastAsia="Arial" w:hAnsi="Arial"/>
                <w:sz w:val="15"/>
                <w:szCs w:val="15"/>
                <w:color w:val="auto"/>
              </w:rPr>
              <w:t>Outplacement Services</w:t>
            </w:r>
            <w:r>
              <w:rPr>
                <w:rFonts w:ascii="Arial" w:cs="Arial" w:eastAsia="Arial" w:hAnsi="Arial"/>
                <w:sz w:val="22"/>
                <w:szCs w:val="22"/>
                <w:color w:val="auto"/>
                <w:vertAlign w:val="superscript"/>
              </w:rPr>
              <w:t>(6)</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10,000</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color w:val="auto"/>
              </w:rPr>
              <w:t>10,000</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color w:val="auto"/>
              </w:rPr>
              <w:t>10,000</w:t>
            </w:r>
          </w:p>
        </w:tc>
      </w:tr>
      <w:tr>
        <w:trPr>
          <w:trHeight w:val="236"/>
        </w:trPr>
        <w:tc>
          <w:tcPr>
            <w:tcW w:w="5180" w:type="dxa"/>
            <w:vAlign w:val="bottom"/>
            <w:tcBorders>
              <w:bottom w:val="single" w:sz="8" w:color="7F7F7F"/>
            </w:tcBorders>
          </w:tcPr>
          <w:p>
            <w:pPr>
              <w:ind w:left="60"/>
              <w:spacing w:after="0"/>
              <w:rPr>
                <w:sz w:val="20"/>
                <w:szCs w:val="20"/>
                <w:color w:val="auto"/>
              </w:rPr>
            </w:pPr>
            <w:r>
              <w:rPr>
                <w:rFonts w:ascii="Arial" w:cs="Arial" w:eastAsia="Arial" w:hAnsi="Arial"/>
                <w:sz w:val="15"/>
                <w:szCs w:val="15"/>
                <w:b w:val="1"/>
                <w:bCs w:val="1"/>
                <w:color w:val="auto"/>
              </w:rPr>
              <w:t>Total</w:t>
            </w:r>
          </w:p>
        </w:tc>
        <w:tc>
          <w:tcPr>
            <w:tcW w:w="100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8,259,276</w:t>
            </w:r>
          </w:p>
        </w:tc>
        <w:tc>
          <w:tcPr>
            <w:tcW w:w="980" w:type="dxa"/>
            <w:vAlign w:val="bottom"/>
            <w:tcBorders>
              <w:bottom w:val="single" w:sz="8" w:color="7F7F7F"/>
            </w:tcBorders>
          </w:tcPr>
          <w:p>
            <w:pPr>
              <w:jc w:val="right"/>
              <w:ind w:right="67"/>
              <w:spacing w:after="0"/>
              <w:rPr>
                <w:sz w:val="20"/>
                <w:szCs w:val="20"/>
                <w:color w:val="auto"/>
              </w:rPr>
            </w:pPr>
            <w:r>
              <w:rPr>
                <w:rFonts w:ascii="Arial" w:cs="Arial" w:eastAsia="Arial" w:hAnsi="Arial"/>
                <w:sz w:val="15"/>
                <w:szCs w:val="15"/>
                <w:b w:val="1"/>
                <w:bCs w:val="1"/>
                <w:color w:val="auto"/>
              </w:rPr>
              <w:t>3,687,211</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1,784,099</w:t>
            </w:r>
          </w:p>
        </w:tc>
        <w:tc>
          <w:tcPr>
            <w:tcW w:w="1020" w:type="dxa"/>
            <w:vAlign w:val="bottom"/>
            <w:tcBorders>
              <w:bottom w:val="single" w:sz="8" w:color="7F7F7F"/>
            </w:tcBorders>
          </w:tcPr>
          <w:p>
            <w:pPr>
              <w:jc w:val="right"/>
              <w:ind w:right="87"/>
              <w:spacing w:after="0"/>
              <w:rPr>
                <w:sz w:val="20"/>
                <w:szCs w:val="20"/>
                <w:color w:val="auto"/>
              </w:rPr>
            </w:pPr>
            <w:r>
              <w:rPr>
                <w:rFonts w:ascii="Arial" w:cs="Arial" w:eastAsia="Arial" w:hAnsi="Arial"/>
                <w:sz w:val="15"/>
                <w:szCs w:val="15"/>
                <w:b w:val="1"/>
                <w:bCs w:val="1"/>
                <w:color w:val="auto"/>
              </w:rPr>
              <w:t>2,474,721</w:t>
            </w:r>
          </w:p>
        </w:tc>
        <w:tc>
          <w:tcPr>
            <w:tcW w:w="980" w:type="dxa"/>
            <w:vAlign w:val="bottom"/>
            <w:tcBorders>
              <w:bottom w:val="single" w:sz="8" w:color="7F7F7F"/>
            </w:tcBorders>
          </w:tcPr>
          <w:p>
            <w:pPr>
              <w:jc w:val="right"/>
              <w:ind w:right="47"/>
              <w:spacing w:after="0"/>
              <w:rPr>
                <w:sz w:val="20"/>
                <w:szCs w:val="20"/>
                <w:color w:val="auto"/>
              </w:rPr>
            </w:pPr>
            <w:r>
              <w:rPr>
                <w:rFonts w:ascii="Arial" w:cs="Arial" w:eastAsia="Arial" w:hAnsi="Arial"/>
                <w:sz w:val="15"/>
                <w:szCs w:val="15"/>
                <w:b w:val="1"/>
                <w:bCs w:val="1"/>
                <w:color w:val="auto"/>
              </w:rPr>
              <w:t>1,377,343</w:t>
            </w:r>
          </w:p>
        </w:tc>
      </w:tr>
    </w:tbl>
    <w:p>
      <w:pPr>
        <w:spacing w:after="0" w:line="96" w:lineRule="exact"/>
        <w:rPr>
          <w:sz w:val="20"/>
          <w:szCs w:val="20"/>
          <w:color w:val="auto"/>
        </w:rPr>
      </w:pPr>
    </w:p>
    <w:p>
      <w:pPr>
        <w:ind w:left="860" w:right="120" w:hanging="296"/>
        <w:spacing w:after="0" w:line="220" w:lineRule="auto"/>
        <w:tabs>
          <w:tab w:leader="none" w:pos="8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death, normal retirement (defined as age 62 with five years of service or any combination of age + service = 70 with a minimum age of 60), or termination by the Company without Cause, at the end of the performance period and following approval by the Compensation and Talent Management Committee, the named executive officer (or the named executive officer’s beneficiary) would receive a pro rata portion of the equity-based Performance Award that would have otherwise vested if employment had continued until the end of the performance period, based on the portion of the performance period that the officer was employed and based on the performance level achieved. Amounts shown for termination due to death or disability, reflect actual shares earned for the 2023 Year 1, Year 2 and Year 3, 2024 Year 1 and Year 2, and 2025 Year 1 PSU grants. For termination by the Company without Cause, the named executive officer must have been employed for at least one year following the date of each grant in order to be eligible to receive prorated performance shares. Upon a Change in Control, if awards are not assumed, converted, or replaced by the resulting entity, all vesting restrictions on outstanding Performance Awards shall lapse, with any applicable performance goals deemed to be satisfied as if “target” performance had been achieved and all such Awards become fully vested and exercisable, effective as of the date of such Change in Control. The value under the pro rata settlement or Change in Control settlement (assuming the December 26, 2025 stock value of $8.61) is shown in the table.</w:t>
      </w:r>
    </w:p>
    <w:p>
      <w:pPr>
        <w:spacing w:after="0" w:line="49" w:lineRule="exact"/>
        <w:rPr>
          <w:rFonts w:ascii="Arial" w:cs="Arial" w:eastAsia="Arial" w:hAnsi="Arial"/>
          <w:sz w:val="12"/>
          <w:szCs w:val="12"/>
          <w:color w:val="auto"/>
        </w:rPr>
      </w:pPr>
    </w:p>
    <w:p>
      <w:pPr>
        <w:jc w:val="both"/>
        <w:ind w:left="860" w:right="140" w:hanging="296"/>
        <w:spacing w:after="0" w:line="231" w:lineRule="auto"/>
        <w:tabs>
          <w:tab w:leader="none" w:pos="8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or death, the named executive officer (or the named executive officer’s beneficiary) would receive a pro rata settlement of unvested restricted shares outstanding at the time of termination. For each grant of restricted stock awards/units, the number of shares settled would equal the total number of restricted shares originally granted times the ratio of days employed since</w:t>
      </w:r>
    </w:p>
    <w:p>
      <w:pPr>
        <w:ind w:left="620"/>
        <w:spacing w:after="0" w:line="227" w:lineRule="auto"/>
        <w:tabs>
          <w:tab w:leader="none" w:pos="1180" w:val="left"/>
        </w:tabs>
        <w:rPr>
          <w:sz w:val="20"/>
          <w:szCs w:val="20"/>
          <w:color w:val="auto"/>
        </w:rPr>
      </w:pPr>
      <w:r>
        <w:rPr>
          <w:rFonts w:ascii="Arial" w:cs="Arial" w:eastAsia="Arial" w:hAnsi="Arial"/>
          <w:sz w:val="40"/>
          <w:szCs w:val="40"/>
          <w:color w:val="auto"/>
          <w:vertAlign w:val="superscript"/>
        </w:rPr>
        <w:t>70 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-195580</wp:posOffset>
            </wp:positionV>
            <wp:extent cx="7620" cy="212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8480"/>
        <w:spacing w:after="0"/>
        <w:rPr>
          <w:sz w:val="20"/>
          <w:szCs w:val="20"/>
          <w:color w:val="auto"/>
        </w:rPr>
      </w:pPr>
      <w:r>
        <w:rPr>
          <w:rFonts w:ascii="Arial" w:cs="Arial" w:eastAsia="Arial" w:hAnsi="Arial"/>
          <w:sz w:val="12"/>
          <w:szCs w:val="12"/>
          <w:b w:val="1"/>
          <w:bCs w:val="1"/>
          <w:color w:val="auto"/>
        </w:rPr>
        <w:t>2025 Executive Compensation Tables</w:t>
      </w:r>
    </w:p>
    <w:p>
      <w:pPr>
        <w:spacing w:after="0" w:line="132" w:lineRule="exact"/>
        <w:rPr>
          <w:sz w:val="20"/>
          <w:szCs w:val="20"/>
          <w:color w:val="auto"/>
        </w:rPr>
      </w:pPr>
    </w:p>
    <w:p>
      <w:pPr>
        <w:ind w:left="860" w:right="140"/>
        <w:spacing w:after="0" w:line="227" w:lineRule="auto"/>
        <w:rPr>
          <w:sz w:val="20"/>
          <w:szCs w:val="20"/>
          <w:color w:val="auto"/>
        </w:rPr>
      </w:pPr>
      <w:r>
        <w:rPr>
          <w:rFonts w:ascii="Arial" w:cs="Arial" w:eastAsia="Arial" w:hAnsi="Arial"/>
          <w:sz w:val="12"/>
          <w:szCs w:val="12"/>
          <w:color w:val="auto"/>
        </w:rPr>
        <w:t>the grant date divided by total number of days in the vesting period less the number of restricted shares already settled on the anniversary dates of the grant. Upon a Change in Control, if awards are not assumed, converted, or replaced by the resulting entity, all vesting restrictions on outstanding Restricted Share awards/units shall lapse, and all such Awards become fully vested and exercisable, effective as of the date of such Change in Control. The value under the prorated settlement or Change in Control settlement (assuming the December 26, 2025 stock value of $8.61) is shown in the table.</w:t>
      </w:r>
    </w:p>
    <w:p>
      <w:pPr>
        <w:spacing w:after="0" w:line="48" w:lineRule="exact"/>
        <w:rPr>
          <w:sz w:val="20"/>
          <w:szCs w:val="20"/>
          <w:color w:val="auto"/>
        </w:rPr>
      </w:pPr>
    </w:p>
    <w:p>
      <w:pPr>
        <w:ind w:left="860" w:right="40" w:hanging="296"/>
        <w:spacing w:after="0" w:line="283" w:lineRule="auto"/>
        <w:tabs>
          <w:tab w:leader="none" w:pos="8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Per the Severance Plan, for involuntary termination by the Company without cause, the value of cash severance includes base salary continuation for Mr. Layden for 24 months, Mr. Anderson and Ms. Williams for 18 months, and Mses. Browning and Soares for 12 months. For payments under Change in Control, with qualifying termination, Mr. Layden would receive a lump sum payment equal to 2 times the sum of his annual base salary and target annual incentive; Mr. Anderson and Ms. Williams would receive a lump sum payment equal to 1.5 times the sum of base salary and target annual incentive; and Mses. Browning and Soares would receive a lump sum payment equal to one time the sum of base salary and target annual incentive.</w:t>
      </w:r>
    </w:p>
    <w:p>
      <w:pPr>
        <w:spacing w:after="0" w:line="28" w:lineRule="exact"/>
        <w:rPr>
          <w:rFonts w:ascii="Arial" w:cs="Arial" w:eastAsia="Arial" w:hAnsi="Arial"/>
          <w:sz w:val="10"/>
          <w:szCs w:val="10"/>
          <w:color w:val="auto"/>
        </w:rPr>
      </w:pPr>
    </w:p>
    <w:p>
      <w:pPr>
        <w:ind w:left="860" w:right="160" w:hanging="296"/>
        <w:spacing w:after="0" w:line="277" w:lineRule="auto"/>
        <w:tabs>
          <w:tab w:leader="none" w:pos="8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In the event of an involuntary termination by the Company without cause and not in connection with a change in control, Messrs. Layden and Anderson, and Mses. Browning, Williams and Soares were eligible to receive a pro rata portion of their annual Incentive Compensation for such fiscal year, based on the actual performance results for such year. In the event of an involuntary termination by the Company without cause or termination by the named executive officer for good reason, either occurring in connection with a change in control, Messrs. Layden and Anderson, and Mses. Browning, Williams and Soares were eligible to receive a pro rata portion of their annual Incentive Compensation for such fiscal year, paid at the target level. The value of pro rata target incentive with respect to year of termination represents the calculated target incentive for the named executive officers if they had terminated on December 28, 2025.</w:t>
      </w:r>
    </w:p>
    <w:p>
      <w:pPr>
        <w:spacing w:after="0" w:line="30" w:lineRule="exact"/>
        <w:rPr>
          <w:rFonts w:ascii="Arial" w:cs="Arial" w:eastAsia="Arial" w:hAnsi="Arial"/>
          <w:sz w:val="10"/>
          <w:szCs w:val="10"/>
          <w:color w:val="auto"/>
        </w:rPr>
      </w:pPr>
    </w:p>
    <w:p>
      <w:pPr>
        <w:ind w:left="860" w:right="220" w:hanging="296"/>
        <w:spacing w:after="0" w:line="296" w:lineRule="auto"/>
        <w:tabs>
          <w:tab w:leader="none" w:pos="8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The value of the health care benefit provided is calculated as the Company-paid portion of the medical plan cost, times the number of months eligible according to the applicable severance plan. Coverage can include medical, dental, and vision (assumes no change in Health Plan or coverage type) and assumes a 10% health care coverage cost increase in second year (as applicable). Named executive officers participating in the Senior Executive Severance Plan continue to pay the employee rate for COBRA coverage during the severance period.</w:t>
      </w:r>
    </w:p>
    <w:p>
      <w:pPr>
        <w:spacing w:after="0" w:line="21" w:lineRule="exact"/>
        <w:rPr>
          <w:rFonts w:ascii="Arial" w:cs="Arial" w:eastAsia="Arial" w:hAnsi="Arial"/>
          <w:sz w:val="10"/>
          <w:szCs w:val="10"/>
          <w:color w:val="auto"/>
        </w:rPr>
      </w:pPr>
    </w:p>
    <w:p>
      <w:pPr>
        <w:ind w:left="860" w:hanging="296"/>
        <w:spacing w:after="0"/>
        <w:tabs>
          <w:tab w:leader="none" w:pos="8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maximum allowed benefit for reimbursement of outplacement services for participants in the applicable Severance Plan.</w:t>
      </w:r>
    </w:p>
    <w:p>
      <w:pPr>
        <w:spacing w:after="0" w:line="188" w:lineRule="exact"/>
        <w:rPr>
          <w:sz w:val="20"/>
          <w:szCs w:val="20"/>
          <w:color w:val="auto"/>
        </w:rPr>
      </w:pPr>
    </w:p>
    <w:p>
      <w:pPr>
        <w:ind w:left="560"/>
        <w:spacing w:after="0" w:line="252" w:lineRule="auto"/>
        <w:rPr>
          <w:sz w:val="20"/>
          <w:szCs w:val="20"/>
          <w:color w:val="auto"/>
        </w:rPr>
      </w:pPr>
      <w:r>
        <w:rPr>
          <w:rFonts w:ascii="Arial" w:cs="Arial" w:eastAsia="Arial" w:hAnsi="Arial"/>
          <w:sz w:val="15"/>
          <w:szCs w:val="15"/>
          <w:color w:val="auto"/>
        </w:rPr>
        <w:t>The named executive officers would also be entitled to the vested benefits included in the Outstanding Equity Awards at Fiscal Year-End table and the Nonqualified Deferred Compensation table. In addition, the amounts shown in the table above do not include payments and benefits to the extent they are provided on a non-discriminatory basis to salaried employees generally upon termination of employment or certain types of termination of employment. These include accrued salary and vacation pay, and life insurance benefits.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Mr. Quigley</w:t>
      </w:r>
    </w:p>
    <w:p>
      <w:pPr>
        <w:spacing w:after="0" w:line="106" w:lineRule="exact"/>
        <w:rPr>
          <w:sz w:val="20"/>
          <w:szCs w:val="20"/>
          <w:color w:val="auto"/>
        </w:rPr>
      </w:pPr>
    </w:p>
    <w:p>
      <w:pPr>
        <w:ind w:left="560" w:right="40"/>
        <w:spacing w:after="0" w:line="247" w:lineRule="auto"/>
        <w:rPr>
          <w:sz w:val="20"/>
          <w:szCs w:val="20"/>
          <w:color w:val="auto"/>
        </w:rPr>
      </w:pPr>
      <w:r>
        <w:rPr>
          <w:rFonts w:ascii="Arial" w:cs="Arial" w:eastAsia="Arial" w:hAnsi="Arial"/>
          <w:sz w:val="15"/>
          <w:szCs w:val="15"/>
          <w:color w:val="auto"/>
        </w:rPr>
        <w:t>On November 12, 2025, Kelly Services Inc., and Mr. Quigley entered into a Separation and Transition Advisory Services Agreement (the “Agreement”) providing for Mr. Quigley’s retirement as an officer of the Company, effective as of the successful transition of his successor as President and Chief Executive Officer. Under the terms of the Agreement, following the transition to his successor, Mr. Quigley will resign his corporate position on April 30, 2026 (the “Separation Date”). Mr. Quigley resigned his corporate positions effective November 1, 2025. In this capacity, Mr. Quigley will be entitled to a salary equal to $25,000 per month. He will also be eligible for his 2025 Short Term Incentive, if earned. In addition, his performance and time-based stock grants awarded before April 30, 2026, if earned, will vest according to the Company Executive Incentive Plan, except that shares based on the 2026 performance will be prorated and the remaining shares will be cancelled upon the Separation Date.</w:t>
      </w:r>
    </w:p>
    <w:p>
      <w:pPr>
        <w:spacing w:after="0" w:line="96"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733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77825" cy="17335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CEO Pay Ratio</w:t>
      </w:r>
    </w:p>
    <w:p>
      <w:pPr>
        <w:spacing w:after="0" w:line="314" w:lineRule="exact"/>
        <w:rPr>
          <w:sz w:val="20"/>
          <w:szCs w:val="20"/>
          <w:color w:val="auto"/>
        </w:rPr>
      </w:pPr>
    </w:p>
    <w:p>
      <w:pPr>
        <w:ind w:left="560"/>
        <w:spacing w:after="0" w:line="258" w:lineRule="auto"/>
        <w:rPr>
          <w:sz w:val="20"/>
          <w:szCs w:val="20"/>
          <w:color w:val="auto"/>
        </w:rPr>
      </w:pPr>
      <w:r>
        <w:rPr>
          <w:rFonts w:ascii="Arial" w:cs="Arial" w:eastAsia="Arial" w:hAnsi="Arial"/>
          <w:sz w:val="15"/>
          <w:szCs w:val="15"/>
          <w:color w:val="auto"/>
        </w:rPr>
        <w:t>As required by Section 953(b) of the Dodd-Frank Act, we are providing the following information about the relationship of the annual total compensation of our employees and the annual total compensation of our CEO. The pay ratio included in this information is a reasonable estimate calculated in a manner that is intended to be consistent with Item 402(u) of Regulation S-K.</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For fiscal 2025, our last completed fiscal year, our methodology and finding details are as follows: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Methodology</w:t>
      </w:r>
    </w:p>
    <w:p>
      <w:pPr>
        <w:spacing w:after="0" w:line="45" w:lineRule="exact"/>
        <w:rPr>
          <w:sz w:val="20"/>
          <w:szCs w:val="20"/>
          <w:color w:val="auto"/>
        </w:rPr>
      </w:pPr>
    </w:p>
    <w:p>
      <w:pPr>
        <w:ind w:left="760" w:hanging="196"/>
        <w:spacing w:after="0"/>
        <w:tabs>
          <w:tab w:leader="none" w:pos="760" w:val="left"/>
        </w:tabs>
        <w:numPr>
          <w:ilvl w:val="0"/>
          <w:numId w:val="98"/>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We selected December 28, 2025, as the date we would use to identify our median employee;</w:t>
      </w:r>
    </w:p>
    <w:p>
      <w:pPr>
        <w:spacing w:after="0" w:line="102"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98"/>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As of December 28, 2025, our employee population totaled 87,960 and consisted of all active regular and temporary employees;</w:t>
      </w:r>
    </w:p>
    <w:p>
      <w:pPr>
        <w:spacing w:after="0" w:line="103" w:lineRule="exact"/>
        <w:rPr>
          <w:rFonts w:ascii="Times New Roman" w:cs="Times New Roman" w:eastAsia="Times New Roman" w:hAnsi="Times New Roman"/>
          <w:sz w:val="21"/>
          <w:szCs w:val="21"/>
          <w:color w:val="00AE4F"/>
          <w:vertAlign w:val="superscript"/>
        </w:rPr>
      </w:pPr>
    </w:p>
    <w:p>
      <w:pPr>
        <w:ind w:left="1060" w:right="320" w:hanging="298"/>
        <w:spacing w:after="0" w:line="255" w:lineRule="auto"/>
        <w:tabs>
          <w:tab w:leader="none" w:pos="10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about 95% are temporary employees who work anywhere from one week to fifty-two weeks in a calendar year, with approximately 8% located outside of the U.S; and</w:t>
      </w:r>
    </w:p>
    <w:p>
      <w:pPr>
        <w:spacing w:after="0" w:line="78" w:lineRule="exact"/>
        <w:rPr>
          <w:rFonts w:ascii="Arial" w:cs="Arial" w:eastAsia="Arial" w:hAnsi="Arial"/>
          <w:sz w:val="15"/>
          <w:szCs w:val="15"/>
          <w:color w:val="auto"/>
        </w:rPr>
      </w:pPr>
    </w:p>
    <w:p>
      <w:pPr>
        <w:ind w:left="1060" w:hanging="298"/>
        <w:spacing w:after="0"/>
        <w:tabs>
          <w:tab w:leader="none" w:pos="10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employee compensation outside the U.S. was converted to U.S. dollars using the Company’s 2025 budgeted exchange rates.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Findings</w:t>
      </w:r>
    </w:p>
    <w:p>
      <w:pPr>
        <w:spacing w:after="0" w:line="45" w:lineRule="exact"/>
        <w:rPr>
          <w:sz w:val="20"/>
          <w:szCs w:val="20"/>
          <w:color w:val="auto"/>
        </w:rPr>
      </w:pPr>
    </w:p>
    <w:p>
      <w:pPr>
        <w:ind w:left="760" w:hanging="196"/>
        <w:spacing w:after="0"/>
        <w:tabs>
          <w:tab w:leader="none" w:pos="760" w:val="left"/>
        </w:tabs>
        <w:numPr>
          <w:ilvl w:val="0"/>
          <w:numId w:val="9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The median of the annual total compensation of all employees of our company (other than our CEO), was $11,526;</w:t>
      </w:r>
    </w:p>
    <w:p>
      <w:pPr>
        <w:spacing w:after="0" w:line="102" w:lineRule="exact"/>
        <w:rPr>
          <w:rFonts w:ascii="Times New Roman" w:cs="Times New Roman" w:eastAsia="Times New Roman" w:hAnsi="Times New Roman"/>
          <w:sz w:val="23"/>
          <w:szCs w:val="23"/>
          <w:color w:val="00AE4F"/>
          <w:vertAlign w:val="superscript"/>
        </w:rPr>
      </w:pPr>
    </w:p>
    <w:p>
      <w:pPr>
        <w:ind w:left="760" w:hanging="196"/>
        <w:spacing w:after="0" w:line="181" w:lineRule="auto"/>
        <w:tabs>
          <w:tab w:leader="none" w:pos="760" w:val="left"/>
        </w:tabs>
        <w:numPr>
          <w:ilvl w:val="0"/>
          <w:numId w:val="99"/>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The annualized total compensation of our CEO, was $5,900,003;</w:t>
      </w:r>
    </w:p>
    <w:p>
      <w:pPr>
        <w:spacing w:after="0" w:line="103" w:lineRule="exact"/>
        <w:rPr>
          <w:rFonts w:ascii="Times New Roman" w:cs="Times New Roman" w:eastAsia="Times New Roman" w:hAnsi="Times New Roman"/>
          <w:sz w:val="21"/>
          <w:szCs w:val="21"/>
          <w:color w:val="00AE4F"/>
          <w:vertAlign w:val="superscript"/>
        </w:rPr>
      </w:pPr>
    </w:p>
    <w:p>
      <w:pPr>
        <w:ind w:left="760" w:right="180" w:hanging="196"/>
        <w:spacing w:after="0" w:line="195" w:lineRule="auto"/>
        <w:tabs>
          <w:tab w:leader="none" w:pos="760" w:val="left"/>
        </w:tabs>
        <w:numPr>
          <w:ilvl w:val="0"/>
          <w:numId w:val="9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Based on this information, the ratio of the annual total compensation for our CEO to the median of the annual total compensation of all employees is 512 to 1; and</w:t>
      </w:r>
    </w:p>
    <w:p>
      <w:pPr>
        <w:spacing w:after="0" w:line="22" w:lineRule="exact"/>
        <w:rPr>
          <w:rFonts w:ascii="Times New Roman" w:cs="Times New Roman" w:eastAsia="Times New Roman" w:hAnsi="Times New Roman"/>
          <w:sz w:val="23"/>
          <w:szCs w:val="23"/>
          <w:color w:val="00AE4F"/>
          <w:vertAlign w:val="superscript"/>
        </w:rPr>
      </w:pPr>
    </w:p>
    <w:p>
      <w:pPr>
        <w:ind w:left="760" w:hanging="196"/>
        <w:spacing w:after="0"/>
        <w:tabs>
          <w:tab w:leader="none" w:pos="760" w:val="left"/>
        </w:tabs>
        <w:numPr>
          <w:ilvl w:val="0"/>
          <w:numId w:val="99"/>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Our median employee was a temporary employee located in the U.S. and worked approximately seventeen weeks during 2025.</w:t>
      </w:r>
    </w:p>
    <w:p>
      <w:pPr>
        <w:spacing w:after="0" w:line="50"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72 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-207010</wp:posOffset>
            </wp:positionV>
            <wp:extent cx="7620" cy="212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30"/>
          <w:szCs w:val="30"/>
          <w:b w:val="1"/>
          <w:bCs w:val="1"/>
          <w:color w:val="auto"/>
        </w:rPr>
        <w:t>Pay vs. Performance</w:t>
      </w:r>
    </w:p>
    <w:p>
      <w:pPr>
        <w:spacing w:after="0" w:line="215" w:lineRule="exact"/>
        <w:rPr>
          <w:sz w:val="20"/>
          <w:szCs w:val="20"/>
          <w:color w:val="auto"/>
        </w:rPr>
      </w:pPr>
    </w:p>
    <w:p>
      <w:pPr>
        <w:ind w:left="560" w:right="20"/>
        <w:spacing w:after="0" w:line="248" w:lineRule="auto"/>
        <w:rPr>
          <w:sz w:val="20"/>
          <w:szCs w:val="20"/>
          <w:color w:val="auto"/>
        </w:rPr>
      </w:pPr>
      <w:r>
        <w:rPr>
          <w:rFonts w:ascii="Arial" w:cs="Arial" w:eastAsia="Arial" w:hAnsi="Arial"/>
          <w:sz w:val="15"/>
          <w:szCs w:val="15"/>
          <w:color w:val="auto"/>
        </w:rPr>
        <w:t>The following table sets forth the compensation for our Chief Executive Officer (“CEO”), Former Chief Executive Officer and the average compensation for our other non-CEO named executive officers (“NEOs”), both as reported in the Summary Compensation Table (“SCT”) and with certain adjustments to reflect the compensation actually paid (“CAP”) to such individuals, as defined under SEC rules, for the years 2025, 2024, 2023, 2022, and 2021. The table also provides information on our cumulative total shareholder return (“TSR”) for both our Class A and Class B Common Stock; the cumulative TSR of our peer group; Net Earnings; and the Company-Selected Measure (“CSM”), Adjusted Earnings Before Interest Taxes Depreciation and Amortization (“EBITDA”), over such years in accordance with SEC rules.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Pay vs. Performance Table</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00AE4F"/>
              </w:rPr>
              <w:t>Summary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00AE4F"/>
              </w:rPr>
              <w:t>Average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4"/>
          </w:tcPr>
          <w:p>
            <w:pPr>
              <w:jc w:val="center"/>
              <w:ind w:right="80"/>
              <w:spacing w:after="0" w:line="137" w:lineRule="exact"/>
              <w:rPr>
                <w:sz w:val="20"/>
                <w:szCs w:val="20"/>
                <w:color w:val="auto"/>
              </w:rPr>
            </w:pPr>
            <w:r>
              <w:rPr>
                <w:rFonts w:ascii="Arial" w:cs="Arial" w:eastAsia="Arial" w:hAnsi="Arial"/>
                <w:sz w:val="12"/>
                <w:szCs w:val="12"/>
                <w:b w:val="1"/>
                <w:bCs w:val="1"/>
                <w:color w:val="00AE4F"/>
              </w:rPr>
              <w:t>Compensation</w:t>
            </w:r>
          </w:p>
        </w:tc>
        <w:tc>
          <w:tcPr>
            <w:tcW w:w="1420" w:type="dxa"/>
            <w:vAlign w:val="bottom"/>
            <w:gridSpan w:val="4"/>
          </w:tcPr>
          <w:p>
            <w:pPr>
              <w:jc w:val="right"/>
              <w:spacing w:after="0" w:line="137" w:lineRule="exact"/>
              <w:rPr>
                <w:sz w:val="20"/>
                <w:szCs w:val="20"/>
                <w:color w:val="auto"/>
              </w:rPr>
            </w:pPr>
            <w:r>
              <w:rPr>
                <w:rFonts w:ascii="Arial" w:cs="Arial" w:eastAsia="Arial" w:hAnsi="Arial"/>
                <w:sz w:val="12"/>
                <w:szCs w:val="12"/>
                <w:b w:val="1"/>
                <w:bCs w:val="1"/>
                <w:color w:val="00AE4F"/>
              </w:rPr>
              <w:t>Compensation Actually</w:t>
            </w:r>
          </w:p>
        </w:tc>
        <w:tc>
          <w:tcPr>
            <w:tcW w:w="140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Summary</w:t>
            </w:r>
          </w:p>
        </w:tc>
        <w:tc>
          <w:tcPr>
            <w:tcW w:w="440" w:type="dxa"/>
            <w:vAlign w:val="bottom"/>
          </w:tcPr>
          <w:p>
            <w:pPr>
              <w:spacing w:after="0"/>
              <w:rPr>
                <w:sz w:val="11"/>
                <w:szCs w:val="11"/>
                <w:color w:val="auto"/>
              </w:rPr>
            </w:pPr>
          </w:p>
        </w:tc>
        <w:tc>
          <w:tcPr>
            <w:tcW w:w="840" w:type="dxa"/>
            <w:vAlign w:val="bottom"/>
          </w:tcPr>
          <w:p>
            <w:pPr>
              <w:jc w:val="center"/>
              <w:ind w:right="260"/>
              <w:spacing w:after="0" w:line="137" w:lineRule="exact"/>
              <w:rPr>
                <w:sz w:val="20"/>
                <w:szCs w:val="20"/>
                <w:color w:val="auto"/>
              </w:rPr>
            </w:pPr>
            <w:r>
              <w:rPr>
                <w:rFonts w:ascii="Arial" w:cs="Arial" w:eastAsia="Arial" w:hAnsi="Arial"/>
                <w:sz w:val="12"/>
                <w:szCs w:val="12"/>
                <w:b w:val="1"/>
                <w:bCs w:val="1"/>
                <w:color w:val="00AE4F"/>
              </w:rPr>
              <w:t>Average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CSM:</w:t>
            </w:r>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center"/>
              <w:ind w:right="80"/>
              <w:spacing w:after="0" w:line="137" w:lineRule="exact"/>
              <w:rPr>
                <w:sz w:val="20"/>
                <w:szCs w:val="20"/>
                <w:color w:val="auto"/>
              </w:rPr>
            </w:pPr>
            <w:r>
              <w:rPr>
                <w:rFonts w:ascii="Arial" w:cs="Arial" w:eastAsia="Arial" w:hAnsi="Arial"/>
                <w:sz w:val="12"/>
                <w:szCs w:val="12"/>
                <w:b w:val="1"/>
                <w:bCs w:val="1"/>
                <w:color w:val="00AE4F"/>
              </w:rPr>
              <w:t>Table Total to CEO</w:t>
            </w:r>
          </w:p>
        </w:tc>
        <w:tc>
          <w:tcPr>
            <w:tcW w:w="1420" w:type="dxa"/>
            <w:vAlign w:val="bottom"/>
            <w:tcBorders>
              <w:bottom w:val="single" w:sz="8" w:color="auto"/>
            </w:tcBorders>
            <w:gridSpan w:val="4"/>
          </w:tcPr>
          <w:p>
            <w:pPr>
              <w:jc w:val="right"/>
              <w:ind w:right="275"/>
              <w:spacing w:after="0" w:line="137" w:lineRule="exact"/>
              <w:rPr>
                <w:sz w:val="20"/>
                <w:szCs w:val="20"/>
                <w:color w:val="auto"/>
              </w:rPr>
            </w:pPr>
            <w:r>
              <w:rPr>
                <w:rFonts w:ascii="Arial" w:cs="Arial" w:eastAsia="Arial" w:hAnsi="Arial"/>
                <w:sz w:val="12"/>
                <w:szCs w:val="12"/>
                <w:b w:val="1"/>
                <w:bCs w:val="1"/>
                <w:color w:val="00AE4F"/>
              </w:rPr>
              <w:t>Paid CEO</w:t>
            </w:r>
            <w:r>
              <w:rPr>
                <w:rFonts w:ascii="Arial" w:cs="Arial" w:eastAsia="Arial" w:hAnsi="Arial"/>
                <w:sz w:val="7"/>
                <w:szCs w:val="7"/>
                <w:b w:val="1"/>
                <w:bCs w:val="1"/>
                <w:color w:val="00AE4F"/>
              </w:rPr>
              <w:t>(1)(2)</w:t>
            </w:r>
          </w:p>
        </w:tc>
        <w:tc>
          <w:tcPr>
            <w:tcW w:w="140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Compensation</w:t>
            </w:r>
          </w:p>
        </w:tc>
        <w:tc>
          <w:tcPr>
            <w:tcW w:w="1280" w:type="dxa"/>
            <w:vAlign w:val="bottom"/>
            <w:gridSpan w:val="2"/>
          </w:tcPr>
          <w:p>
            <w:pPr>
              <w:jc w:val="center"/>
              <w:ind w:left="35"/>
              <w:spacing w:after="0" w:line="137" w:lineRule="exact"/>
              <w:rPr>
                <w:sz w:val="20"/>
                <w:szCs w:val="20"/>
                <w:color w:val="auto"/>
              </w:rPr>
            </w:pPr>
            <w:r>
              <w:rPr>
                <w:rFonts w:ascii="Arial" w:cs="Arial" w:eastAsia="Arial" w:hAnsi="Arial"/>
                <w:sz w:val="12"/>
                <w:szCs w:val="12"/>
                <w:b w:val="1"/>
                <w:bCs w:val="1"/>
                <w:color w:val="00AE4F"/>
              </w:rPr>
              <w:t>Compensation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Net</w:t>
            </w:r>
          </w:p>
        </w:tc>
        <w:tc>
          <w:tcPr>
            <w:tcW w:w="62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Adjusted</w:t>
            </w:r>
          </w:p>
        </w:tc>
        <w:tc>
          <w:tcPr>
            <w:tcW w:w="0" w:type="dxa"/>
            <w:vAlign w:val="bottom"/>
          </w:tcPr>
          <w:p>
            <w:pPr>
              <w:spacing w:after="0"/>
              <w:rPr>
                <w:sz w:val="1"/>
                <w:szCs w:val="1"/>
                <w:color w:val="auto"/>
              </w:rPr>
            </w:pPr>
          </w:p>
        </w:tc>
      </w:tr>
      <w:tr>
        <w:trPr>
          <w:trHeight w:val="111"/>
        </w:trPr>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0" w:type="dxa"/>
            <w:vAlign w:val="bottom"/>
          </w:tcPr>
          <w:p>
            <w:pPr>
              <w:jc w:val="center"/>
              <w:spacing w:after="0" w:line="111" w:lineRule="exact"/>
              <w:rPr>
                <w:sz w:val="20"/>
                <w:szCs w:val="20"/>
                <w:color w:val="auto"/>
              </w:rPr>
            </w:pPr>
            <w:r>
              <w:rPr>
                <w:rFonts w:ascii="Arial" w:cs="Arial" w:eastAsia="Arial" w:hAnsi="Arial"/>
                <w:sz w:val="12"/>
                <w:szCs w:val="12"/>
                <w:b w:val="1"/>
                <w:bCs w:val="1"/>
                <w:color w:val="00AE4F"/>
              </w:rPr>
              <w:t>Table Total</w:t>
            </w:r>
          </w:p>
        </w:tc>
        <w:tc>
          <w:tcPr>
            <w:tcW w:w="1280" w:type="dxa"/>
            <w:vAlign w:val="bottom"/>
            <w:gridSpan w:val="2"/>
          </w:tcPr>
          <w:p>
            <w:pPr>
              <w:jc w:val="center"/>
              <w:ind w:left="35"/>
              <w:spacing w:after="0" w:line="111" w:lineRule="exact"/>
              <w:rPr>
                <w:sz w:val="20"/>
                <w:szCs w:val="20"/>
                <w:color w:val="auto"/>
              </w:rPr>
            </w:pPr>
            <w:r>
              <w:rPr>
                <w:rFonts w:ascii="Arial" w:cs="Arial" w:eastAsia="Arial" w:hAnsi="Arial"/>
                <w:sz w:val="12"/>
                <w:szCs w:val="12"/>
                <w:b w:val="1"/>
                <w:bCs w:val="1"/>
                <w:color w:val="00AE4F"/>
              </w:rPr>
              <w:t>Actually Paid</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2"/>
                <w:szCs w:val="12"/>
                <w:b w:val="1"/>
                <w:bCs w:val="1"/>
                <w:color w:val="00AE4F"/>
              </w:rPr>
              <w:t>Earnings</w:t>
            </w:r>
          </w:p>
        </w:tc>
        <w:tc>
          <w:tcPr>
            <w:tcW w:w="620" w:type="dxa"/>
            <w:vAlign w:val="bottom"/>
          </w:tcPr>
          <w:p>
            <w:pPr>
              <w:jc w:val="center"/>
              <w:spacing w:after="0" w:line="111" w:lineRule="exact"/>
              <w:rPr>
                <w:sz w:val="20"/>
                <w:szCs w:val="20"/>
                <w:color w:val="auto"/>
              </w:rPr>
            </w:pPr>
            <w:r>
              <w:rPr>
                <w:rFonts w:ascii="Arial" w:cs="Arial" w:eastAsia="Arial" w:hAnsi="Arial"/>
                <w:sz w:val="12"/>
                <w:szCs w:val="12"/>
                <w:b w:val="1"/>
                <w:bCs w:val="1"/>
                <w:color w:val="00AE4F"/>
              </w:rPr>
              <w:t>EBITDA</w:t>
            </w:r>
          </w:p>
        </w:tc>
        <w:tc>
          <w:tcPr>
            <w:tcW w:w="0" w:type="dxa"/>
            <w:vAlign w:val="bottom"/>
          </w:tcPr>
          <w:p>
            <w:pPr>
              <w:spacing w:after="0"/>
              <w:rPr>
                <w:sz w:val="1"/>
                <w:szCs w:val="1"/>
                <w:color w:val="auto"/>
              </w:rPr>
            </w:pPr>
          </w:p>
        </w:tc>
      </w:tr>
      <w:tr>
        <w:trPr>
          <w:trHeight w:val="136"/>
        </w:trPr>
        <w:tc>
          <w:tcPr>
            <w:tcW w:w="1480" w:type="dxa"/>
            <w:vAlign w:val="bottom"/>
            <w:gridSpan w:val="2"/>
            <w:vMerge w:val="restart"/>
          </w:tcPr>
          <w:p>
            <w:pPr>
              <w:spacing w:after="0"/>
              <w:rPr>
                <w:sz w:val="20"/>
                <w:szCs w:val="20"/>
                <w:color w:val="auto"/>
              </w:rPr>
            </w:pPr>
            <w:r>
              <w:rPr>
                <w:rFonts w:ascii="Arial" w:cs="Arial" w:eastAsia="Arial" w:hAnsi="Arial"/>
                <w:sz w:val="12"/>
                <w:szCs w:val="12"/>
                <w:b w:val="1"/>
                <w:bCs w:val="1"/>
                <w:color w:val="00AE4F"/>
              </w:rPr>
              <w:t>Year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00AE4F"/>
              </w:rPr>
              <w:t>Former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5"/>
              <w:spacing w:after="0" w:line="137" w:lineRule="exact"/>
              <w:rPr>
                <w:sz w:val="20"/>
                <w:szCs w:val="20"/>
                <w:color w:val="auto"/>
              </w:rPr>
            </w:pPr>
            <w:r>
              <w:rPr>
                <w:rFonts w:ascii="Arial" w:cs="Arial" w:eastAsia="Arial" w:hAnsi="Arial"/>
                <w:sz w:val="12"/>
                <w:szCs w:val="12"/>
                <w:b w:val="1"/>
                <w:bCs w:val="1"/>
                <w:color w:val="00AE4F"/>
              </w:rPr>
              <w:t>Former</w:t>
            </w:r>
          </w:p>
        </w:tc>
        <w:tc>
          <w:tcPr>
            <w:tcW w:w="140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for Non-CEO</w:t>
            </w:r>
          </w:p>
        </w:tc>
        <w:tc>
          <w:tcPr>
            <w:tcW w:w="1280" w:type="dxa"/>
            <w:vAlign w:val="bottom"/>
            <w:gridSpan w:val="2"/>
          </w:tcPr>
          <w:p>
            <w:pPr>
              <w:ind w:left="340"/>
              <w:spacing w:after="0" w:line="137" w:lineRule="exact"/>
              <w:rPr>
                <w:sz w:val="20"/>
                <w:szCs w:val="20"/>
                <w:color w:val="auto"/>
              </w:rPr>
            </w:pPr>
            <w:r>
              <w:rPr>
                <w:rFonts w:ascii="Arial" w:cs="Arial" w:eastAsia="Arial" w:hAnsi="Arial"/>
                <w:sz w:val="12"/>
                <w:szCs w:val="12"/>
                <w:b w:val="1"/>
                <w:bCs w:val="1"/>
                <w:color w:val="00AE4F"/>
              </w:rPr>
              <w:t>to Non-CEO</w:t>
            </w:r>
          </w:p>
        </w:tc>
        <w:tc>
          <w:tcPr>
            <w:tcW w:w="740" w:type="dxa"/>
            <w:vAlign w:val="bottom"/>
          </w:tcPr>
          <w:p>
            <w:pPr>
              <w:jc w:val="right"/>
              <w:ind w:right="155"/>
              <w:spacing w:after="0" w:line="137" w:lineRule="exact"/>
              <w:rPr>
                <w:sz w:val="20"/>
                <w:szCs w:val="20"/>
                <w:color w:val="auto"/>
              </w:rPr>
            </w:pPr>
            <w:r>
              <w:rPr>
                <w:rFonts w:ascii="Arial" w:cs="Arial" w:eastAsia="Arial" w:hAnsi="Arial"/>
                <w:sz w:val="12"/>
                <w:szCs w:val="12"/>
                <w:b w:val="1"/>
                <w:bCs w:val="1"/>
                <w:color w:val="00AE4F"/>
              </w:rPr>
              <w:t>TSR</w:t>
            </w:r>
          </w:p>
        </w:tc>
        <w:tc>
          <w:tcPr>
            <w:tcW w:w="140" w:type="dxa"/>
            <w:vAlign w:val="bottom"/>
          </w:tcPr>
          <w:p>
            <w:pPr>
              <w:spacing w:after="0"/>
              <w:rPr>
                <w:sz w:val="11"/>
                <w:szCs w:val="11"/>
                <w:color w:val="auto"/>
              </w:rPr>
            </w:pPr>
          </w:p>
        </w:tc>
        <w:tc>
          <w:tcPr>
            <w:tcW w:w="440" w:type="dxa"/>
            <w:vAlign w:val="bottom"/>
          </w:tcPr>
          <w:p>
            <w:pPr>
              <w:jc w:val="right"/>
              <w:ind w:right="135"/>
              <w:spacing w:after="0" w:line="137" w:lineRule="exact"/>
              <w:rPr>
                <w:sz w:val="20"/>
                <w:szCs w:val="20"/>
                <w:color w:val="auto"/>
              </w:rPr>
            </w:pPr>
            <w:r>
              <w:rPr>
                <w:rFonts w:ascii="Arial" w:cs="Arial" w:eastAsia="Arial" w:hAnsi="Arial"/>
                <w:sz w:val="12"/>
                <w:szCs w:val="12"/>
                <w:b w:val="1"/>
                <w:bCs w:val="1"/>
                <w:color w:val="00AE4F"/>
                <w:w w:val="91"/>
              </w:rPr>
              <w:t>TSR</w:t>
            </w:r>
          </w:p>
        </w:tc>
        <w:tc>
          <w:tcPr>
            <w:tcW w:w="54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w w:val="99"/>
              </w:rPr>
              <w:t>Peer</w:t>
            </w:r>
          </w:p>
        </w:tc>
        <w:tc>
          <w:tcPr>
            <w:tcW w:w="60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(Loss) in</w:t>
            </w:r>
          </w:p>
        </w:tc>
        <w:tc>
          <w:tcPr>
            <w:tcW w:w="620" w:type="dxa"/>
            <w:vAlign w:val="bottom"/>
          </w:tcPr>
          <w:p>
            <w:pPr>
              <w:jc w:val="center"/>
              <w:spacing w:after="0" w:line="137" w:lineRule="exact"/>
              <w:rPr>
                <w:sz w:val="20"/>
                <w:szCs w:val="20"/>
                <w:color w:val="auto"/>
              </w:rPr>
            </w:pPr>
            <w:r>
              <w:rPr>
                <w:rFonts w:ascii="Arial" w:cs="Arial" w:eastAsia="Arial" w:hAnsi="Arial"/>
                <w:sz w:val="12"/>
                <w:szCs w:val="12"/>
                <w:b w:val="1"/>
                <w:bCs w:val="1"/>
                <w:color w:val="00AE4F"/>
              </w:rPr>
              <w:t>in</w:t>
            </w:r>
          </w:p>
        </w:tc>
        <w:tc>
          <w:tcPr>
            <w:tcW w:w="0" w:type="dxa"/>
            <w:vAlign w:val="bottom"/>
          </w:tcPr>
          <w:p>
            <w:pPr>
              <w:spacing w:after="0"/>
              <w:rPr>
                <w:sz w:val="1"/>
                <w:szCs w:val="1"/>
                <w:color w:val="auto"/>
              </w:rPr>
            </w:pPr>
          </w:p>
        </w:tc>
      </w:tr>
      <w:tr>
        <w:trPr>
          <w:trHeight w:val="124"/>
        </w:trPr>
        <w:tc>
          <w:tcPr>
            <w:tcW w:w="1480" w:type="dxa"/>
            <w:vAlign w:val="bottom"/>
            <w:gridSpan w:val="2"/>
            <w:vMerge w:val="continue"/>
          </w:tcPr>
          <w:p>
            <w:pPr>
              <w:spacing w:after="0"/>
              <w:rPr>
                <w:sz w:val="10"/>
                <w:szCs w:val="10"/>
                <w:color w:val="auto"/>
              </w:rPr>
            </w:pPr>
          </w:p>
        </w:tc>
        <w:tc>
          <w:tcPr>
            <w:tcW w:w="740" w:type="dxa"/>
            <w:vAlign w:val="bottom"/>
            <w:gridSpan w:val="2"/>
          </w:tcPr>
          <w:p>
            <w:pPr>
              <w:jc w:val="right"/>
              <w:ind w:right="280"/>
              <w:spacing w:after="0" w:line="125" w:lineRule="exact"/>
              <w:rPr>
                <w:sz w:val="20"/>
                <w:szCs w:val="20"/>
                <w:color w:val="auto"/>
              </w:rPr>
            </w:pPr>
            <w:r>
              <w:rPr>
                <w:rFonts w:ascii="Arial" w:cs="Arial" w:eastAsia="Arial" w:hAnsi="Arial"/>
                <w:sz w:val="12"/>
                <w:szCs w:val="12"/>
                <w:b w:val="1"/>
                <w:bCs w:val="1"/>
                <w:color w:val="00AE4F"/>
              </w:rPr>
              <w:t>CEO</w:t>
            </w:r>
          </w:p>
        </w:tc>
        <w:tc>
          <w:tcPr>
            <w:tcW w:w="740" w:type="dxa"/>
            <w:vAlign w:val="bottom"/>
            <w:gridSpan w:val="2"/>
          </w:tcPr>
          <w:p>
            <w:pPr>
              <w:jc w:val="center"/>
              <w:ind w:right="80"/>
              <w:spacing w:after="0" w:line="125" w:lineRule="exact"/>
              <w:rPr>
                <w:sz w:val="20"/>
                <w:szCs w:val="20"/>
                <w:color w:val="auto"/>
              </w:rPr>
            </w:pPr>
            <w:r>
              <w:rPr>
                <w:rFonts w:ascii="Arial" w:cs="Arial" w:eastAsia="Arial" w:hAnsi="Arial"/>
                <w:sz w:val="12"/>
                <w:szCs w:val="12"/>
                <w:b w:val="1"/>
                <w:bCs w:val="1"/>
                <w:color w:val="00AE4F"/>
                <w:w w:val="99"/>
              </w:rPr>
              <w:t>CEO</w:t>
            </w:r>
          </w:p>
        </w:tc>
        <w:tc>
          <w:tcPr>
            <w:tcW w:w="740" w:type="dxa"/>
            <w:vAlign w:val="bottom"/>
            <w:gridSpan w:val="2"/>
          </w:tcPr>
          <w:p>
            <w:pPr>
              <w:jc w:val="right"/>
              <w:ind w:right="260"/>
              <w:spacing w:after="0" w:line="125" w:lineRule="exact"/>
              <w:rPr>
                <w:sz w:val="20"/>
                <w:szCs w:val="20"/>
                <w:color w:val="auto"/>
              </w:rPr>
            </w:pPr>
            <w:r>
              <w:rPr>
                <w:rFonts w:ascii="Arial" w:cs="Arial" w:eastAsia="Arial" w:hAnsi="Arial"/>
                <w:sz w:val="12"/>
                <w:szCs w:val="12"/>
                <w:b w:val="1"/>
                <w:bCs w:val="1"/>
                <w:color w:val="00AE4F"/>
              </w:rPr>
              <w:t>CEO</w:t>
            </w:r>
          </w:p>
        </w:tc>
        <w:tc>
          <w:tcPr>
            <w:tcW w:w="80" w:type="dxa"/>
            <w:vAlign w:val="bottom"/>
          </w:tcPr>
          <w:p>
            <w:pPr>
              <w:spacing w:after="0"/>
              <w:rPr>
                <w:sz w:val="10"/>
                <w:szCs w:val="10"/>
                <w:color w:val="auto"/>
              </w:rPr>
            </w:pPr>
          </w:p>
        </w:tc>
        <w:tc>
          <w:tcPr>
            <w:tcW w:w="6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00AE4F"/>
              </w:rPr>
              <w:t>CEO</w:t>
            </w:r>
          </w:p>
        </w:tc>
        <w:tc>
          <w:tcPr>
            <w:tcW w:w="1400" w:type="dxa"/>
            <w:vAlign w:val="bottom"/>
          </w:tcPr>
          <w:p>
            <w:pPr>
              <w:jc w:val="center"/>
              <w:spacing w:after="0" w:line="125" w:lineRule="exact"/>
              <w:rPr>
                <w:sz w:val="20"/>
                <w:szCs w:val="20"/>
                <w:color w:val="auto"/>
              </w:rPr>
            </w:pPr>
            <w:r>
              <w:rPr>
                <w:rFonts w:ascii="Arial" w:cs="Arial" w:eastAsia="Arial" w:hAnsi="Arial"/>
                <w:sz w:val="12"/>
                <w:szCs w:val="12"/>
                <w:b w:val="1"/>
                <w:bCs w:val="1"/>
                <w:color w:val="00AE4F"/>
              </w:rPr>
              <w:t>NEOs</w:t>
            </w:r>
          </w:p>
        </w:tc>
        <w:tc>
          <w:tcPr>
            <w:tcW w:w="440" w:type="dxa"/>
            <w:vAlign w:val="bottom"/>
          </w:tcPr>
          <w:p>
            <w:pPr>
              <w:spacing w:after="0"/>
              <w:rPr>
                <w:sz w:val="10"/>
                <w:szCs w:val="10"/>
                <w:color w:val="auto"/>
              </w:rPr>
            </w:pPr>
          </w:p>
        </w:tc>
        <w:tc>
          <w:tcPr>
            <w:tcW w:w="840" w:type="dxa"/>
            <w:vAlign w:val="bottom"/>
          </w:tcPr>
          <w:p>
            <w:pPr>
              <w:jc w:val="center"/>
              <w:ind w:right="260"/>
              <w:spacing w:after="0" w:line="125" w:lineRule="exact"/>
              <w:rPr>
                <w:sz w:val="20"/>
                <w:szCs w:val="20"/>
                <w:color w:val="auto"/>
              </w:rPr>
            </w:pPr>
            <w:r>
              <w:rPr>
                <w:rFonts w:ascii="Arial" w:cs="Arial" w:eastAsia="Arial" w:hAnsi="Arial"/>
                <w:sz w:val="14"/>
                <w:szCs w:val="14"/>
                <w:b w:val="1"/>
                <w:bCs w:val="1"/>
                <w:color w:val="00AE4F"/>
                <w:vertAlign w:val="subscript"/>
              </w:rPr>
              <w:t>NEOs</w:t>
            </w:r>
            <w:r>
              <w:rPr>
                <w:rFonts w:ascii="Arial" w:cs="Arial" w:eastAsia="Arial" w:hAnsi="Arial"/>
                <w:sz w:val="6"/>
                <w:szCs w:val="6"/>
                <w:b w:val="1"/>
                <w:bCs w:val="1"/>
                <w:color w:val="00AE4F"/>
              </w:rPr>
              <w:t>(1)(2)</w:t>
            </w:r>
          </w:p>
        </w:tc>
        <w:tc>
          <w:tcPr>
            <w:tcW w:w="1320" w:type="dxa"/>
            <w:vAlign w:val="bottom"/>
            <w:gridSpan w:val="3"/>
          </w:tcPr>
          <w:p>
            <w:pPr>
              <w:jc w:val="right"/>
              <w:spacing w:after="0" w:line="125" w:lineRule="exact"/>
              <w:rPr>
                <w:sz w:val="20"/>
                <w:szCs w:val="20"/>
                <w:color w:val="auto"/>
              </w:rPr>
            </w:pPr>
            <w:r>
              <w:rPr>
                <w:rFonts w:ascii="Arial" w:cs="Arial" w:eastAsia="Arial" w:hAnsi="Arial"/>
                <w:sz w:val="12"/>
                <w:szCs w:val="12"/>
                <w:b w:val="1"/>
                <w:bCs w:val="1"/>
                <w:color w:val="00AE4F"/>
              </w:rPr>
              <w:t>(Class A) (Class B)</w:t>
            </w:r>
          </w:p>
        </w:tc>
        <w:tc>
          <w:tcPr>
            <w:tcW w:w="540" w:type="dxa"/>
            <w:vAlign w:val="bottom"/>
          </w:tcPr>
          <w:p>
            <w:pPr>
              <w:jc w:val="center"/>
              <w:spacing w:after="0" w:line="125" w:lineRule="exact"/>
              <w:rPr>
                <w:sz w:val="20"/>
                <w:szCs w:val="20"/>
                <w:color w:val="auto"/>
              </w:rPr>
            </w:pPr>
            <w:r>
              <w:rPr>
                <w:rFonts w:ascii="Arial" w:cs="Arial" w:eastAsia="Arial" w:hAnsi="Arial"/>
                <w:sz w:val="12"/>
                <w:szCs w:val="12"/>
                <w:b w:val="1"/>
                <w:bCs w:val="1"/>
                <w:color w:val="00AE4F"/>
              </w:rPr>
              <w:t>TSR</w:t>
            </w:r>
            <w:r>
              <w:rPr>
                <w:rFonts w:ascii="Arial" w:cs="Arial" w:eastAsia="Arial" w:hAnsi="Arial"/>
                <w:sz w:val="7"/>
                <w:szCs w:val="7"/>
                <w:b w:val="1"/>
                <w:bCs w:val="1"/>
                <w:color w:val="00AE4F"/>
              </w:rPr>
              <w:t>(3)</w:t>
            </w:r>
          </w:p>
        </w:tc>
        <w:tc>
          <w:tcPr>
            <w:tcW w:w="600" w:type="dxa"/>
            <w:vAlign w:val="bottom"/>
          </w:tcPr>
          <w:p>
            <w:pPr>
              <w:jc w:val="center"/>
              <w:spacing w:after="0" w:line="125" w:lineRule="exact"/>
              <w:rPr>
                <w:sz w:val="20"/>
                <w:szCs w:val="20"/>
                <w:color w:val="auto"/>
              </w:rPr>
            </w:pPr>
            <w:r>
              <w:rPr>
                <w:rFonts w:ascii="Arial" w:cs="Arial" w:eastAsia="Arial" w:hAnsi="Arial"/>
                <w:sz w:val="12"/>
                <w:szCs w:val="12"/>
                <w:b w:val="1"/>
                <w:bCs w:val="1"/>
                <w:color w:val="00AE4F"/>
              </w:rPr>
              <w:t>millions</w:t>
            </w:r>
          </w:p>
        </w:tc>
        <w:tc>
          <w:tcPr>
            <w:tcW w:w="620" w:type="dxa"/>
            <w:vAlign w:val="bottom"/>
          </w:tcPr>
          <w:p>
            <w:pPr>
              <w:jc w:val="center"/>
              <w:spacing w:after="0" w:line="125" w:lineRule="exact"/>
              <w:rPr>
                <w:sz w:val="20"/>
                <w:szCs w:val="20"/>
                <w:color w:val="auto"/>
              </w:rPr>
            </w:pPr>
            <w:r>
              <w:rPr>
                <w:rFonts w:ascii="Arial" w:cs="Arial" w:eastAsia="Arial" w:hAnsi="Arial"/>
                <w:sz w:val="12"/>
                <w:szCs w:val="12"/>
                <w:b w:val="1"/>
                <w:bCs w:val="1"/>
                <w:color w:val="00AE4F"/>
              </w:rPr>
              <w:t>millions</w:t>
            </w:r>
            <w:r>
              <w:rPr>
                <w:rFonts w:ascii="Arial" w:cs="Arial" w:eastAsia="Arial" w:hAnsi="Arial"/>
                <w:sz w:val="7"/>
                <w:szCs w:val="7"/>
                <w:b w:val="1"/>
                <w:bCs w:val="1"/>
                <w:color w:val="00AE4F"/>
              </w:rPr>
              <w:t>(4)</w:t>
            </w:r>
          </w:p>
        </w:tc>
        <w:tc>
          <w:tcPr>
            <w:tcW w:w="0" w:type="dxa"/>
            <w:vAlign w:val="bottom"/>
          </w:tcPr>
          <w:p>
            <w:pPr>
              <w:spacing w:after="0"/>
              <w:rPr>
                <w:sz w:val="1"/>
                <w:szCs w:val="1"/>
                <w:color w:val="auto"/>
              </w:rPr>
            </w:pPr>
          </w:p>
        </w:tc>
      </w:tr>
      <w:tr>
        <w:trPr>
          <w:trHeight w:val="161"/>
        </w:trPr>
        <w:tc>
          <w:tcPr>
            <w:tcW w:w="1480" w:type="dxa"/>
            <w:vAlign w:val="bottom"/>
            <w:gridSpan w:val="2"/>
          </w:tcPr>
          <w:p>
            <w:pPr>
              <w:spacing w:after="0"/>
              <w:rPr>
                <w:sz w:val="20"/>
                <w:szCs w:val="20"/>
                <w:color w:val="auto"/>
              </w:rPr>
            </w:pPr>
            <w:r>
              <w:rPr>
                <w:rFonts w:ascii="Arial" w:cs="Arial" w:eastAsia="Arial" w:hAnsi="Arial"/>
                <w:sz w:val="12"/>
                <w:szCs w:val="12"/>
                <w:b w:val="1"/>
                <w:bCs w:val="1"/>
                <w:color w:val="00AE4F"/>
              </w:rPr>
              <w:t>  (a)</w:t>
            </w:r>
          </w:p>
        </w:tc>
        <w:tc>
          <w:tcPr>
            <w:tcW w:w="740" w:type="dxa"/>
            <w:vAlign w:val="bottom"/>
            <w:gridSpan w:val="2"/>
          </w:tcPr>
          <w:p>
            <w:pPr>
              <w:ind w:left="240"/>
              <w:spacing w:after="0"/>
              <w:rPr>
                <w:sz w:val="20"/>
                <w:szCs w:val="20"/>
                <w:color w:val="auto"/>
              </w:rPr>
            </w:pPr>
            <w:r>
              <w:rPr>
                <w:rFonts w:ascii="Arial" w:cs="Arial" w:eastAsia="Arial" w:hAnsi="Arial"/>
                <w:sz w:val="12"/>
                <w:szCs w:val="12"/>
                <w:b w:val="1"/>
                <w:bCs w:val="1"/>
                <w:color w:val="00AE4F"/>
              </w:rPr>
              <w:t>(b)</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AE4F"/>
                <w:w w:val="95"/>
              </w:rPr>
              <w:t>(c)</w:t>
            </w:r>
          </w:p>
        </w:tc>
        <w:tc>
          <w:tcPr>
            <w:tcW w:w="740" w:type="dxa"/>
            <w:vAlign w:val="bottom"/>
            <w:gridSpan w:val="2"/>
          </w:tcPr>
          <w:p>
            <w:pPr>
              <w:ind w:left="260"/>
              <w:spacing w:after="0"/>
              <w:rPr>
                <w:sz w:val="20"/>
                <w:szCs w:val="20"/>
                <w:color w:val="auto"/>
              </w:rPr>
            </w:pPr>
            <w:r>
              <w:rPr>
                <w:rFonts w:ascii="Arial" w:cs="Arial" w:eastAsia="Arial" w:hAnsi="Arial"/>
                <w:sz w:val="12"/>
                <w:szCs w:val="12"/>
                <w:b w:val="1"/>
                <w:bCs w:val="1"/>
                <w:color w:val="00AE4F"/>
              </w:rPr>
              <w:t>(d)</w:t>
            </w:r>
          </w:p>
        </w:tc>
        <w:tc>
          <w:tcPr>
            <w:tcW w:w="8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2"/>
                <w:szCs w:val="12"/>
                <w:b w:val="1"/>
                <w:bCs w:val="1"/>
                <w:color w:val="00AE4F"/>
              </w:rPr>
              <w:t>(e)</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00AE4F"/>
                <w:w w:val="99"/>
              </w:rPr>
              <w:t>(f)</w:t>
            </w:r>
          </w:p>
        </w:tc>
        <w:tc>
          <w:tcPr>
            <w:tcW w:w="440" w:type="dxa"/>
            <w:vAlign w:val="bottom"/>
          </w:tcPr>
          <w:p>
            <w:pPr>
              <w:spacing w:after="0"/>
              <w:rPr>
                <w:sz w:val="14"/>
                <w:szCs w:val="14"/>
                <w:color w:val="auto"/>
              </w:rPr>
            </w:pPr>
          </w:p>
        </w:tc>
        <w:tc>
          <w:tcPr>
            <w:tcW w:w="840" w:type="dxa"/>
            <w:vAlign w:val="bottom"/>
          </w:tcPr>
          <w:p>
            <w:pPr>
              <w:jc w:val="center"/>
              <w:ind w:right="260"/>
              <w:spacing w:after="0"/>
              <w:rPr>
                <w:sz w:val="20"/>
                <w:szCs w:val="20"/>
                <w:color w:val="auto"/>
              </w:rPr>
            </w:pPr>
            <w:r>
              <w:rPr>
                <w:rFonts w:ascii="Arial" w:cs="Arial" w:eastAsia="Arial" w:hAnsi="Arial"/>
                <w:sz w:val="12"/>
                <w:szCs w:val="12"/>
                <w:b w:val="1"/>
                <w:bCs w:val="1"/>
                <w:color w:val="00AE4F"/>
              </w:rPr>
              <w:t>(g)</w:t>
            </w:r>
          </w:p>
        </w:tc>
        <w:tc>
          <w:tcPr>
            <w:tcW w:w="740" w:type="dxa"/>
            <w:vAlign w:val="bottom"/>
          </w:tcPr>
          <w:p>
            <w:pPr>
              <w:jc w:val="right"/>
              <w:ind w:right="195"/>
              <w:spacing w:after="0"/>
              <w:rPr>
                <w:sz w:val="20"/>
                <w:szCs w:val="20"/>
                <w:color w:val="auto"/>
              </w:rPr>
            </w:pPr>
            <w:r>
              <w:rPr>
                <w:rFonts w:ascii="Arial" w:cs="Arial" w:eastAsia="Arial" w:hAnsi="Arial"/>
                <w:sz w:val="12"/>
                <w:szCs w:val="12"/>
                <w:b w:val="1"/>
                <w:bCs w:val="1"/>
                <w:color w:val="00AE4F"/>
              </w:rPr>
              <w:t>(h)</w:t>
            </w:r>
          </w:p>
        </w:tc>
        <w:tc>
          <w:tcPr>
            <w:tcW w:w="140" w:type="dxa"/>
            <w:vAlign w:val="bottom"/>
          </w:tcPr>
          <w:p>
            <w:pPr>
              <w:spacing w:after="0"/>
              <w:rPr>
                <w:sz w:val="14"/>
                <w:szCs w:val="14"/>
                <w:color w:val="auto"/>
              </w:rPr>
            </w:pPr>
          </w:p>
        </w:tc>
        <w:tc>
          <w:tcPr>
            <w:tcW w:w="440" w:type="dxa"/>
            <w:vAlign w:val="bottom"/>
          </w:tcPr>
          <w:p>
            <w:pPr>
              <w:jc w:val="right"/>
              <w:ind w:right="195"/>
              <w:spacing w:after="0"/>
              <w:rPr>
                <w:sz w:val="20"/>
                <w:szCs w:val="20"/>
                <w:color w:val="auto"/>
              </w:rPr>
            </w:pPr>
            <w:r>
              <w:rPr>
                <w:rFonts w:ascii="Arial" w:cs="Arial" w:eastAsia="Arial" w:hAnsi="Arial"/>
                <w:sz w:val="12"/>
                <w:szCs w:val="12"/>
                <w:b w:val="1"/>
                <w:bCs w:val="1"/>
                <w:color w:val="00AE4F"/>
              </w:rPr>
              <w:t>(i)</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00AE4F"/>
                <w:w w:val="87"/>
              </w:rPr>
              <w:t>(j)</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00AE4F"/>
              </w:rPr>
              <w:t>(k)</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00AE4F"/>
              </w:rPr>
              <w:t>(l)</w:t>
            </w:r>
          </w:p>
        </w:tc>
        <w:tc>
          <w:tcPr>
            <w:tcW w:w="0" w:type="dxa"/>
            <w:vAlign w:val="bottom"/>
          </w:tcPr>
          <w:p>
            <w:pPr>
              <w:spacing w:after="0"/>
              <w:rPr>
                <w:sz w:val="1"/>
                <w:szCs w:val="1"/>
                <w:color w:val="auto"/>
              </w:rPr>
            </w:pPr>
          </w:p>
        </w:tc>
      </w:tr>
      <w:tr>
        <w:trPr>
          <w:trHeight w:val="175"/>
        </w:trPr>
        <w:tc>
          <w:tcPr>
            <w:tcW w:w="1420" w:type="dxa"/>
            <w:vAlign w:val="bottom"/>
            <w:tcBorders>
              <w:top w:val="single" w:sz="8" w:color="33302B"/>
              <w:bottom w:val="single" w:sz="8" w:color="7F7F7F"/>
            </w:tcBorders>
          </w:tcPr>
          <w:p>
            <w:pPr>
              <w:jc w:val="right"/>
              <w:ind w:right="995"/>
              <w:spacing w:after="0"/>
              <w:rPr>
                <w:sz w:val="20"/>
                <w:szCs w:val="20"/>
                <w:color w:val="auto"/>
              </w:rPr>
            </w:pPr>
            <w:r>
              <w:rPr>
                <w:rFonts w:ascii="Arial" w:cs="Arial" w:eastAsia="Arial" w:hAnsi="Arial"/>
                <w:sz w:val="13"/>
                <w:szCs w:val="13"/>
                <w:color w:val="auto"/>
              </w:rPr>
              <w:t>2025</w:t>
            </w:r>
          </w:p>
        </w:tc>
        <w:tc>
          <w:tcPr>
            <w:tcW w:w="60" w:type="dxa"/>
            <w:vAlign w:val="bottom"/>
            <w:tcBorders>
              <w:top w:val="single" w:sz="8" w:color="33302B"/>
              <w:bottom w:val="single" w:sz="8" w:color="7F7F7F"/>
            </w:tcBorders>
          </w:tcPr>
          <w:p>
            <w:pPr>
              <w:spacing w:after="0"/>
              <w:rPr>
                <w:sz w:val="15"/>
                <w:szCs w:val="15"/>
                <w:color w:val="auto"/>
              </w:rPr>
            </w:pPr>
          </w:p>
        </w:tc>
        <w:tc>
          <w:tcPr>
            <w:tcW w:w="6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3"/>
                <w:szCs w:val="13"/>
                <w:color w:val="auto"/>
                <w:w w:val="98"/>
              </w:rPr>
              <w:t>$5,207,696</w:t>
            </w:r>
          </w:p>
        </w:tc>
        <w:tc>
          <w:tcPr>
            <w:tcW w:w="60" w:type="dxa"/>
            <w:vAlign w:val="bottom"/>
            <w:tcBorders>
              <w:top w:val="single" w:sz="8" w:color="33302B"/>
              <w:bottom w:val="single" w:sz="8" w:color="7F7F7F"/>
            </w:tcBorders>
          </w:tcPr>
          <w:p>
            <w:pPr>
              <w:spacing w:after="0"/>
              <w:rPr>
                <w:sz w:val="15"/>
                <w:szCs w:val="15"/>
                <w:color w:val="auto"/>
              </w:rPr>
            </w:pPr>
          </w:p>
        </w:tc>
        <w:tc>
          <w:tcPr>
            <w:tcW w:w="680" w:type="dxa"/>
            <w:vAlign w:val="bottom"/>
            <w:tcBorders>
              <w:top w:val="single" w:sz="8" w:color="auto"/>
              <w:bottom w:val="single" w:sz="8" w:color="7F7F7F"/>
            </w:tcBorders>
          </w:tcPr>
          <w:p>
            <w:pPr>
              <w:jc w:val="center"/>
              <w:spacing w:after="0"/>
              <w:rPr>
                <w:sz w:val="20"/>
                <w:szCs w:val="20"/>
                <w:color w:val="auto"/>
              </w:rPr>
            </w:pPr>
            <w:r>
              <w:rPr>
                <w:rFonts w:ascii="Arial" w:cs="Arial" w:eastAsia="Arial" w:hAnsi="Arial"/>
                <w:sz w:val="13"/>
                <w:szCs w:val="13"/>
                <w:color w:val="auto"/>
              </w:rPr>
              <w:t>$3,327,152</w:t>
            </w:r>
          </w:p>
        </w:tc>
        <w:tc>
          <w:tcPr>
            <w:tcW w:w="60" w:type="dxa"/>
            <w:vAlign w:val="bottom"/>
            <w:tcBorders>
              <w:top w:val="single" w:sz="8" w:color="33302B"/>
              <w:bottom w:val="single" w:sz="8" w:color="7F7F7F"/>
            </w:tcBorders>
          </w:tcPr>
          <w:p>
            <w:pPr>
              <w:spacing w:after="0"/>
              <w:rPr>
                <w:sz w:val="15"/>
                <w:szCs w:val="15"/>
                <w:color w:val="auto"/>
              </w:rPr>
            </w:pPr>
          </w:p>
        </w:tc>
        <w:tc>
          <w:tcPr>
            <w:tcW w:w="6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3"/>
                <w:szCs w:val="13"/>
                <w:color w:val="auto"/>
              </w:rPr>
              <w:t>$3,728,739</w:t>
            </w:r>
          </w:p>
        </w:tc>
        <w:tc>
          <w:tcPr>
            <w:tcW w:w="60" w:type="dxa"/>
            <w:vAlign w:val="bottom"/>
            <w:tcBorders>
              <w:top w:val="single" w:sz="8" w:color="33302B"/>
              <w:bottom w:val="single" w:sz="8" w:color="7F7F7F"/>
            </w:tcBorders>
          </w:tcPr>
          <w:p>
            <w:pPr>
              <w:spacing w:after="0"/>
              <w:rPr>
                <w:sz w:val="15"/>
                <w:szCs w:val="15"/>
                <w:color w:val="auto"/>
              </w:rPr>
            </w:pPr>
          </w:p>
        </w:tc>
        <w:tc>
          <w:tcPr>
            <w:tcW w:w="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3"/>
                <w:szCs w:val="13"/>
                <w:color w:val="auto"/>
              </w:rPr>
              <w:t>947,848</w:t>
            </w:r>
          </w:p>
        </w:tc>
        <w:tc>
          <w:tcPr>
            <w:tcW w:w="1400" w:type="dxa"/>
            <w:vAlign w:val="bottom"/>
            <w:tcBorders>
              <w:top w:val="single" w:sz="8" w:color="33302B"/>
              <w:bottom w:val="single" w:sz="8" w:color="7F7F7F"/>
            </w:tcBorders>
          </w:tcPr>
          <w:p>
            <w:pPr>
              <w:jc w:val="center"/>
              <w:spacing w:after="0"/>
              <w:rPr>
                <w:sz w:val="20"/>
                <w:szCs w:val="20"/>
                <w:color w:val="auto"/>
              </w:rPr>
            </w:pPr>
            <w:r>
              <w:rPr>
                <w:rFonts w:ascii="Arial" w:cs="Arial" w:eastAsia="Arial" w:hAnsi="Arial"/>
                <w:sz w:val="13"/>
                <w:szCs w:val="13"/>
                <w:color w:val="auto"/>
              </w:rPr>
              <w:t>$1,223,008</w:t>
            </w:r>
          </w:p>
        </w:tc>
        <w:tc>
          <w:tcPr>
            <w:tcW w:w="440" w:type="dxa"/>
            <w:vAlign w:val="bottom"/>
            <w:tcBorders>
              <w:top w:val="single" w:sz="8" w:color="33302B"/>
              <w:bottom w:val="single" w:sz="8" w:color="7F7F7F"/>
            </w:tcBorders>
          </w:tcPr>
          <w:p>
            <w:pPr>
              <w:ind w:left="360"/>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33302B"/>
              <w:bottom w:val="single" w:sz="8" w:color="7F7F7F"/>
            </w:tcBorders>
          </w:tcPr>
          <w:p>
            <w:pPr>
              <w:jc w:val="right"/>
              <w:ind w:right="180"/>
              <w:spacing w:after="0"/>
              <w:rPr>
                <w:sz w:val="20"/>
                <w:szCs w:val="20"/>
                <w:color w:val="auto"/>
              </w:rPr>
            </w:pPr>
            <w:r>
              <w:rPr>
                <w:rFonts w:ascii="Arial" w:cs="Arial" w:eastAsia="Arial" w:hAnsi="Arial"/>
                <w:sz w:val="13"/>
                <w:szCs w:val="13"/>
                <w:color w:val="auto"/>
              </w:rPr>
              <w:t>648,211</w:t>
            </w:r>
          </w:p>
        </w:tc>
        <w:tc>
          <w:tcPr>
            <w:tcW w:w="740" w:type="dxa"/>
            <w:vAlign w:val="bottom"/>
            <w:tcBorders>
              <w:top w:val="single" w:sz="8" w:color="33302B"/>
              <w:bottom w:val="single" w:sz="8" w:color="7F7F7F"/>
            </w:tcBorders>
          </w:tcPr>
          <w:p>
            <w:pPr>
              <w:jc w:val="right"/>
              <w:spacing w:after="0"/>
              <w:rPr>
                <w:sz w:val="20"/>
                <w:szCs w:val="20"/>
                <w:color w:val="auto"/>
              </w:rPr>
            </w:pPr>
            <w:r>
              <w:rPr>
                <w:rFonts w:ascii="Arial" w:cs="Arial" w:eastAsia="Arial" w:hAnsi="Arial"/>
                <w:sz w:val="13"/>
                <w:szCs w:val="13"/>
                <w:color w:val="auto"/>
              </w:rPr>
              <w:t>$46.20</w:t>
            </w:r>
          </w:p>
        </w:tc>
        <w:tc>
          <w:tcPr>
            <w:tcW w:w="140" w:type="dxa"/>
            <w:vAlign w:val="bottom"/>
            <w:tcBorders>
              <w:top w:val="single" w:sz="8" w:color="33302B"/>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33302B"/>
              <w:bottom w:val="single" w:sz="8" w:color="7F7F7F"/>
            </w:tcBorders>
          </w:tcPr>
          <w:p>
            <w:pPr>
              <w:jc w:val="right"/>
              <w:spacing w:after="0"/>
              <w:rPr>
                <w:sz w:val="20"/>
                <w:szCs w:val="20"/>
                <w:color w:val="auto"/>
              </w:rPr>
            </w:pPr>
            <w:r>
              <w:rPr>
                <w:rFonts w:ascii="Arial" w:cs="Arial" w:eastAsia="Arial" w:hAnsi="Arial"/>
                <w:sz w:val="13"/>
                <w:szCs w:val="13"/>
                <w:color w:val="auto"/>
              </w:rPr>
              <w:t>45.97</w:t>
            </w:r>
          </w:p>
        </w:tc>
        <w:tc>
          <w:tcPr>
            <w:tcW w:w="540" w:type="dxa"/>
            <w:vAlign w:val="bottom"/>
            <w:tcBorders>
              <w:top w:val="single" w:sz="8" w:color="33302B"/>
              <w:bottom w:val="single" w:sz="8" w:color="7F7F7F"/>
            </w:tcBorders>
          </w:tcPr>
          <w:p>
            <w:pPr>
              <w:jc w:val="center"/>
              <w:spacing w:after="0"/>
              <w:rPr>
                <w:sz w:val="20"/>
                <w:szCs w:val="20"/>
                <w:color w:val="auto"/>
              </w:rPr>
            </w:pPr>
            <w:r>
              <w:rPr>
                <w:rFonts w:ascii="Arial" w:cs="Arial" w:eastAsia="Arial" w:hAnsi="Arial"/>
                <w:sz w:val="13"/>
                <w:szCs w:val="13"/>
                <w:color w:val="auto"/>
              </w:rPr>
              <w:t>$121.68</w:t>
            </w:r>
          </w:p>
        </w:tc>
        <w:tc>
          <w:tcPr>
            <w:tcW w:w="600" w:type="dxa"/>
            <w:vAlign w:val="bottom"/>
            <w:tcBorders>
              <w:top w:val="single" w:sz="8" w:color="33302B"/>
              <w:bottom w:val="single" w:sz="8" w:color="7F7F7F"/>
            </w:tcBorders>
          </w:tcPr>
          <w:p>
            <w:pPr>
              <w:jc w:val="right"/>
              <w:spacing w:after="0"/>
              <w:rPr>
                <w:sz w:val="20"/>
                <w:szCs w:val="20"/>
                <w:color w:val="auto"/>
              </w:rPr>
            </w:pPr>
            <w:r>
              <w:rPr>
                <w:rFonts w:ascii="Arial" w:cs="Arial" w:eastAsia="Arial" w:hAnsi="Arial"/>
                <w:sz w:val="13"/>
                <w:szCs w:val="13"/>
                <w:color w:val="auto"/>
              </w:rPr>
              <w:t>($0.6)</w:t>
            </w:r>
          </w:p>
        </w:tc>
        <w:tc>
          <w:tcPr>
            <w:tcW w:w="620" w:type="dxa"/>
            <w:vAlign w:val="bottom"/>
            <w:tcBorders>
              <w:top w:val="single" w:sz="8" w:color="33302B"/>
              <w:bottom w:val="single" w:sz="8" w:color="7F7F7F"/>
            </w:tcBorders>
          </w:tcPr>
          <w:p>
            <w:pPr>
              <w:jc w:val="center"/>
              <w:ind w:left="116"/>
              <w:spacing w:after="0"/>
              <w:rPr>
                <w:sz w:val="20"/>
                <w:szCs w:val="20"/>
                <w:color w:val="auto"/>
              </w:rPr>
            </w:pPr>
            <w:r>
              <w:rPr>
                <w:rFonts w:ascii="Arial" w:cs="Arial" w:eastAsia="Arial" w:hAnsi="Arial"/>
                <w:sz w:val="13"/>
                <w:szCs w:val="13"/>
                <w:color w:val="auto"/>
              </w:rPr>
              <w:t>$143.5</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7F7F7F"/>
            </w:tcBorders>
          </w:tcPr>
          <w:p>
            <w:pPr>
              <w:jc w:val="right"/>
              <w:ind w:right="995"/>
              <w:spacing w:after="0"/>
              <w:rPr>
                <w:sz w:val="20"/>
                <w:szCs w:val="20"/>
                <w:color w:val="auto"/>
              </w:rPr>
            </w:pPr>
            <w:r>
              <w:rPr>
                <w:rFonts w:ascii="Arial" w:cs="Arial" w:eastAsia="Arial" w:hAnsi="Arial"/>
                <w:sz w:val="13"/>
                <w:szCs w:val="13"/>
                <w:color w:val="auto"/>
              </w:rPr>
              <w:t>2024</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80"/>
              <w:spacing w:after="0"/>
              <w:rPr>
                <w:sz w:val="20"/>
                <w:szCs w:val="20"/>
                <w:color w:val="auto"/>
              </w:rPr>
            </w:pPr>
            <w:r>
              <w:rPr>
                <w:rFonts w:ascii="Arial" w:cs="Arial" w:eastAsia="Arial" w:hAnsi="Arial"/>
                <w:sz w:val="13"/>
                <w:szCs w:val="13"/>
                <w:color w:val="auto"/>
              </w:rPr>
              <w:t>n/a</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$4,128,439</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60"/>
              <w:spacing w:after="0"/>
              <w:rPr>
                <w:sz w:val="20"/>
                <w:szCs w:val="20"/>
                <w:color w:val="auto"/>
              </w:rPr>
            </w:pPr>
            <w:r>
              <w:rPr>
                <w:rFonts w:ascii="Arial" w:cs="Arial" w:eastAsia="Arial" w:hAnsi="Arial"/>
                <w:sz w:val="13"/>
                <w:szCs w:val="13"/>
                <w:color w:val="auto"/>
              </w:rPr>
              <w:t>n/a</w:t>
            </w:r>
          </w:p>
        </w:tc>
        <w:tc>
          <w:tcPr>
            <w:tcW w:w="8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1,118,668</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$1,980,551</w:t>
            </w:r>
          </w:p>
        </w:tc>
        <w:tc>
          <w:tcPr>
            <w:tcW w:w="440" w:type="dxa"/>
            <w:vAlign w:val="bottom"/>
            <w:tcBorders>
              <w:bottom w:val="single" w:sz="8" w:color="7F7F7F"/>
            </w:tcBorders>
          </w:tcPr>
          <w:p>
            <w:pPr>
              <w:ind w:left="36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7F7F7F"/>
            </w:tcBorders>
          </w:tcPr>
          <w:p>
            <w:pPr>
              <w:jc w:val="right"/>
              <w:ind w:right="180"/>
              <w:spacing w:after="0"/>
              <w:rPr>
                <w:sz w:val="20"/>
                <w:szCs w:val="20"/>
                <w:color w:val="auto"/>
              </w:rPr>
            </w:pPr>
            <w:r>
              <w:rPr>
                <w:rFonts w:ascii="Arial" w:cs="Arial" w:eastAsia="Arial" w:hAnsi="Arial"/>
                <w:sz w:val="13"/>
                <w:szCs w:val="13"/>
                <w:color w:val="auto"/>
              </w:rPr>
              <w:t>1,100,670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$65.24</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67.64</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$143.93</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($0.6)</w:t>
            </w:r>
          </w:p>
        </w:tc>
        <w:tc>
          <w:tcPr>
            <w:tcW w:w="620" w:type="dxa"/>
            <w:vAlign w:val="bottom"/>
            <w:tcBorders>
              <w:bottom w:val="single" w:sz="8" w:color="7F7F7F"/>
            </w:tcBorders>
          </w:tcPr>
          <w:p>
            <w:pPr>
              <w:jc w:val="center"/>
              <w:ind w:left="116"/>
              <w:spacing w:after="0"/>
              <w:rPr>
                <w:sz w:val="20"/>
                <w:szCs w:val="20"/>
                <w:color w:val="auto"/>
              </w:rPr>
            </w:pPr>
            <w:r>
              <w:rPr>
                <w:rFonts w:ascii="Arial" w:cs="Arial" w:eastAsia="Arial" w:hAnsi="Arial"/>
                <w:sz w:val="13"/>
                <w:szCs w:val="13"/>
                <w:color w:val="auto"/>
              </w:rPr>
              <w:t>$143.5</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7F7F7F"/>
            </w:tcBorders>
          </w:tcPr>
          <w:p>
            <w:pPr>
              <w:jc w:val="right"/>
              <w:ind w:right="995"/>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80"/>
              <w:spacing w:after="0"/>
              <w:rPr>
                <w:sz w:val="20"/>
                <w:szCs w:val="20"/>
                <w:color w:val="auto"/>
              </w:rPr>
            </w:pPr>
            <w:r>
              <w:rPr>
                <w:rFonts w:ascii="Arial" w:cs="Arial" w:eastAsia="Arial" w:hAnsi="Arial"/>
                <w:sz w:val="13"/>
                <w:szCs w:val="13"/>
                <w:color w:val="auto"/>
              </w:rPr>
              <w:t>n/a</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$4,163,424</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60"/>
              <w:spacing w:after="0"/>
              <w:rPr>
                <w:sz w:val="20"/>
                <w:szCs w:val="20"/>
                <w:color w:val="auto"/>
              </w:rPr>
            </w:pPr>
            <w:r>
              <w:rPr>
                <w:rFonts w:ascii="Arial" w:cs="Arial" w:eastAsia="Arial" w:hAnsi="Arial"/>
                <w:sz w:val="13"/>
                <w:szCs w:val="13"/>
                <w:color w:val="auto"/>
              </w:rPr>
              <w:t>n/a</w:t>
            </w:r>
          </w:p>
        </w:tc>
        <w:tc>
          <w:tcPr>
            <w:tcW w:w="8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4,313,597</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$1,407,120</w:t>
            </w:r>
          </w:p>
        </w:tc>
        <w:tc>
          <w:tcPr>
            <w:tcW w:w="440" w:type="dxa"/>
            <w:vAlign w:val="bottom"/>
            <w:tcBorders>
              <w:bottom w:val="single" w:sz="8" w:color="7F7F7F"/>
            </w:tcBorders>
          </w:tcPr>
          <w:p>
            <w:pPr>
              <w:ind w:left="36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7F7F7F"/>
            </w:tcBorders>
          </w:tcPr>
          <w:p>
            <w:pPr>
              <w:jc w:val="right"/>
              <w:ind w:right="180"/>
              <w:spacing w:after="0"/>
              <w:rPr>
                <w:sz w:val="20"/>
                <w:szCs w:val="20"/>
                <w:color w:val="auto"/>
              </w:rPr>
            </w:pPr>
            <w:r>
              <w:rPr>
                <w:rFonts w:ascii="Arial" w:cs="Arial" w:eastAsia="Arial" w:hAnsi="Arial"/>
                <w:sz w:val="13"/>
                <w:szCs w:val="13"/>
                <w:color w:val="auto"/>
              </w:rPr>
              <w:t>1,555,635</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$99.65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w w:val="95"/>
              </w:rPr>
              <w:t>103.53</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$121.22</w:t>
            </w:r>
          </w:p>
        </w:tc>
        <w:tc>
          <w:tcPr>
            <w:tcW w:w="600" w:type="dxa"/>
            <w:vAlign w:val="bottom"/>
            <w:tcBorders>
              <w:bottom w:val="single" w:sz="8" w:color="7F7F7F"/>
            </w:tcBorders>
          </w:tcPr>
          <w:p>
            <w:pPr>
              <w:jc w:val="right"/>
              <w:ind w:right="16"/>
              <w:spacing w:after="0"/>
              <w:rPr>
                <w:sz w:val="20"/>
                <w:szCs w:val="20"/>
                <w:color w:val="auto"/>
              </w:rPr>
            </w:pPr>
            <w:r>
              <w:rPr>
                <w:rFonts w:ascii="Arial" w:cs="Arial" w:eastAsia="Arial" w:hAnsi="Arial"/>
                <w:sz w:val="13"/>
                <w:szCs w:val="13"/>
                <w:color w:val="auto"/>
              </w:rPr>
              <w:t>$36.4</w:t>
            </w:r>
          </w:p>
        </w:tc>
        <w:tc>
          <w:tcPr>
            <w:tcW w:w="620" w:type="dxa"/>
            <w:vAlign w:val="bottom"/>
            <w:tcBorders>
              <w:bottom w:val="single" w:sz="8" w:color="7F7F7F"/>
            </w:tcBorders>
          </w:tcPr>
          <w:p>
            <w:pPr>
              <w:jc w:val="center"/>
              <w:ind w:left="116"/>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7F7F7F"/>
            </w:tcBorders>
          </w:tcPr>
          <w:p>
            <w:pPr>
              <w:jc w:val="right"/>
              <w:ind w:right="995"/>
              <w:spacing w:after="0"/>
              <w:rPr>
                <w:sz w:val="20"/>
                <w:szCs w:val="20"/>
                <w:color w:val="auto"/>
              </w:rPr>
            </w:pPr>
            <w:r>
              <w:rPr>
                <w:rFonts w:ascii="Arial" w:cs="Arial" w:eastAsia="Arial" w:hAnsi="Arial"/>
                <w:sz w:val="13"/>
                <w:szCs w:val="13"/>
                <w:color w:val="auto"/>
              </w:rPr>
              <w:t>2022</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80"/>
              <w:spacing w:after="0"/>
              <w:rPr>
                <w:sz w:val="20"/>
                <w:szCs w:val="20"/>
                <w:color w:val="auto"/>
              </w:rPr>
            </w:pPr>
            <w:r>
              <w:rPr>
                <w:rFonts w:ascii="Arial" w:cs="Arial" w:eastAsia="Arial" w:hAnsi="Arial"/>
                <w:sz w:val="13"/>
                <w:szCs w:val="13"/>
                <w:color w:val="auto"/>
              </w:rPr>
              <w:t>n/a</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$3,535,281</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60"/>
              <w:spacing w:after="0"/>
              <w:rPr>
                <w:sz w:val="20"/>
                <w:szCs w:val="20"/>
                <w:color w:val="auto"/>
              </w:rPr>
            </w:pPr>
            <w:r>
              <w:rPr>
                <w:rFonts w:ascii="Arial" w:cs="Arial" w:eastAsia="Arial" w:hAnsi="Arial"/>
                <w:sz w:val="13"/>
                <w:szCs w:val="13"/>
                <w:color w:val="auto"/>
              </w:rPr>
              <w:t>n/a</w:t>
            </w:r>
          </w:p>
        </w:tc>
        <w:tc>
          <w:tcPr>
            <w:tcW w:w="8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2,762,629</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$1,331,744</w:t>
            </w:r>
          </w:p>
        </w:tc>
        <w:tc>
          <w:tcPr>
            <w:tcW w:w="440" w:type="dxa"/>
            <w:vAlign w:val="bottom"/>
            <w:tcBorders>
              <w:bottom w:val="single" w:sz="8" w:color="7F7F7F"/>
            </w:tcBorders>
          </w:tcPr>
          <w:p>
            <w:pPr>
              <w:ind w:left="36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7F7F7F"/>
            </w:tcBorders>
          </w:tcPr>
          <w:p>
            <w:pPr>
              <w:jc w:val="right"/>
              <w:ind w:right="180"/>
              <w:spacing w:after="0"/>
              <w:rPr>
                <w:sz w:val="20"/>
                <w:szCs w:val="20"/>
                <w:color w:val="auto"/>
              </w:rPr>
            </w:pPr>
            <w:r>
              <w:rPr>
                <w:rFonts w:ascii="Arial" w:cs="Arial" w:eastAsia="Arial" w:hAnsi="Arial"/>
                <w:sz w:val="13"/>
                <w:szCs w:val="13"/>
                <w:color w:val="auto"/>
              </w:rPr>
              <w:t>1,150,597</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$76.65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81.19</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w w:val="94"/>
              </w:rPr>
              <w:t>$ 113.87</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($62.5)</w:t>
            </w:r>
          </w:p>
        </w:tc>
        <w:tc>
          <w:tcPr>
            <w:tcW w:w="620" w:type="dxa"/>
            <w:vAlign w:val="bottom"/>
            <w:tcBorders>
              <w:bottom w:val="single" w:sz="8" w:color="7F7F7F"/>
            </w:tcBorders>
          </w:tcPr>
          <w:p>
            <w:pPr>
              <w:jc w:val="center"/>
              <w:ind w:left="116"/>
              <w:spacing w:after="0"/>
              <w:rPr>
                <w:sz w:val="20"/>
                <w:szCs w:val="20"/>
                <w:color w:val="auto"/>
              </w:rPr>
            </w:pPr>
            <w:r>
              <w:rPr>
                <w:rFonts w:ascii="Arial" w:cs="Arial" w:eastAsia="Arial" w:hAnsi="Arial"/>
                <w:sz w:val="13"/>
                <w:szCs w:val="13"/>
                <w:color w:val="auto"/>
              </w:rPr>
              <w:t>$105.6</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7F7F7F"/>
            </w:tcBorders>
          </w:tcPr>
          <w:p>
            <w:pPr>
              <w:jc w:val="right"/>
              <w:ind w:right="995"/>
              <w:spacing w:after="0"/>
              <w:rPr>
                <w:sz w:val="20"/>
                <w:szCs w:val="20"/>
                <w:color w:val="auto"/>
              </w:rPr>
            </w:pPr>
            <w:r>
              <w:rPr>
                <w:rFonts w:ascii="Arial" w:cs="Arial" w:eastAsia="Arial" w:hAnsi="Arial"/>
                <w:sz w:val="13"/>
                <w:szCs w:val="13"/>
                <w:color w:val="auto"/>
              </w:rPr>
              <w:t>2021</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80"/>
              <w:spacing w:after="0"/>
              <w:rPr>
                <w:sz w:val="20"/>
                <w:szCs w:val="20"/>
                <w:color w:val="auto"/>
              </w:rPr>
            </w:pPr>
            <w:r>
              <w:rPr>
                <w:rFonts w:ascii="Arial" w:cs="Arial" w:eastAsia="Arial" w:hAnsi="Arial"/>
                <w:sz w:val="13"/>
                <w:szCs w:val="13"/>
                <w:color w:val="auto"/>
              </w:rPr>
              <w:t>n/a</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$3,938,608</w:t>
            </w:r>
          </w:p>
        </w:tc>
        <w:tc>
          <w:tcPr>
            <w:tcW w:w="6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gridSpan w:val="2"/>
          </w:tcPr>
          <w:p>
            <w:pPr>
              <w:jc w:val="right"/>
              <w:ind w:right="260"/>
              <w:spacing w:after="0"/>
              <w:rPr>
                <w:sz w:val="20"/>
                <w:szCs w:val="20"/>
                <w:color w:val="auto"/>
              </w:rPr>
            </w:pPr>
            <w:r>
              <w:rPr>
                <w:rFonts w:ascii="Arial" w:cs="Arial" w:eastAsia="Arial" w:hAnsi="Arial"/>
                <w:sz w:val="13"/>
                <w:szCs w:val="13"/>
                <w:color w:val="auto"/>
              </w:rPr>
              <w:t>n/a</w:t>
            </w:r>
          </w:p>
        </w:tc>
        <w:tc>
          <w:tcPr>
            <w:tcW w:w="8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2,864,364</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$1,640,264</w:t>
            </w:r>
          </w:p>
        </w:tc>
        <w:tc>
          <w:tcPr>
            <w:tcW w:w="440" w:type="dxa"/>
            <w:vAlign w:val="bottom"/>
            <w:tcBorders>
              <w:bottom w:val="single" w:sz="8" w:color="7F7F7F"/>
            </w:tcBorders>
          </w:tcPr>
          <w:p>
            <w:pPr>
              <w:ind w:left="36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7F7F7F"/>
            </w:tcBorders>
          </w:tcPr>
          <w:p>
            <w:pPr>
              <w:jc w:val="right"/>
              <w:ind w:right="180"/>
              <w:spacing w:after="0"/>
              <w:rPr>
                <w:sz w:val="20"/>
                <w:szCs w:val="20"/>
                <w:color w:val="auto"/>
              </w:rPr>
            </w:pPr>
            <w:r>
              <w:rPr>
                <w:rFonts w:ascii="Arial" w:cs="Arial" w:eastAsia="Arial" w:hAnsi="Arial"/>
                <w:sz w:val="13"/>
                <w:szCs w:val="13"/>
                <w:color w:val="auto"/>
              </w:rPr>
              <w:t>1,362,908</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$74.94</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78.78</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$152.43</w:t>
            </w:r>
          </w:p>
        </w:tc>
        <w:tc>
          <w:tcPr>
            <w:tcW w:w="600" w:type="dxa"/>
            <w:vAlign w:val="bottom"/>
            <w:tcBorders>
              <w:bottom w:val="single" w:sz="8" w:color="7F7F7F"/>
            </w:tcBorders>
          </w:tcPr>
          <w:p>
            <w:pPr>
              <w:jc w:val="right"/>
              <w:ind w:right="16"/>
              <w:spacing w:after="0"/>
              <w:rPr>
                <w:sz w:val="20"/>
                <w:szCs w:val="20"/>
                <w:color w:val="auto"/>
              </w:rPr>
            </w:pPr>
            <w:r>
              <w:rPr>
                <w:rFonts w:ascii="Arial" w:cs="Arial" w:eastAsia="Arial" w:hAnsi="Arial"/>
                <w:sz w:val="13"/>
                <w:szCs w:val="13"/>
                <w:color w:val="auto"/>
              </w:rPr>
              <w:t>$156.1</w:t>
            </w:r>
          </w:p>
        </w:tc>
        <w:tc>
          <w:tcPr>
            <w:tcW w:w="620" w:type="dxa"/>
            <w:vAlign w:val="bottom"/>
            <w:tcBorders>
              <w:bottom w:val="single" w:sz="8" w:color="7F7F7F"/>
            </w:tcBorders>
          </w:tcPr>
          <w:p>
            <w:pPr>
              <w:jc w:val="center"/>
              <w:ind w:left="116"/>
              <w:spacing w:after="0"/>
              <w:rPr>
                <w:sz w:val="20"/>
                <w:szCs w:val="20"/>
                <w:color w:val="auto"/>
              </w:rPr>
            </w:pPr>
            <w:r>
              <w:rPr>
                <w:rFonts w:ascii="Arial" w:cs="Arial" w:eastAsia="Arial" w:hAnsi="Arial"/>
                <w:sz w:val="13"/>
                <w:szCs w:val="13"/>
                <w:color w:val="auto"/>
                <w:w w:val="98"/>
              </w:rPr>
              <w:t>$84.1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860" w:right="20" w:hanging="296"/>
        <w:spacing w:after="0" w:line="227" w:lineRule="auto"/>
        <w:tabs>
          <w:tab w:leader="none" w:pos="8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SEC rules require certain adjustments to be made to the Summary Compensation Table totals to determine compensation actually paid as reported in the Pay versus Performance Table. Compensation actually paid, generally, is calculated as Summary Compensation Table total compensation adjusted to include the fair market value of equity awards as of the end of the fiscal year for the applicable year or, if earlier, the vesting date (rather than the grant date). We do not offer pension plan benefits; therefore, there was no change in pension value for any of the years reflective in this table. To calculate CAP, the following amounts were deducted from and added to SCT total compensation:</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CEO, Former CEO and Non-CEO NEOs SCT Total for CAP Reconciliation:</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00AE4F"/>
              </w:rPr>
              <w:t>2025</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bottom w:val="single" w:sz="8" w:color="auto"/>
            </w:tcBorders>
            <w:gridSpan w:val="2"/>
          </w:tcPr>
          <w:p>
            <w:pPr>
              <w:jc w:val="right"/>
              <w:ind w:right="598"/>
              <w:spacing w:after="0"/>
              <w:rPr>
                <w:sz w:val="20"/>
                <w:szCs w:val="20"/>
                <w:color w:val="auto"/>
              </w:rPr>
            </w:pPr>
            <w:r>
              <w:rPr>
                <w:rFonts w:ascii="Arial" w:cs="Arial" w:eastAsia="Arial" w:hAnsi="Arial"/>
                <w:sz w:val="12"/>
                <w:szCs w:val="12"/>
                <w:b w:val="1"/>
                <w:bCs w:val="1"/>
                <w:color w:val="00AE4F"/>
              </w:rPr>
              <w:t>2024</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00AE4F"/>
              </w:rPr>
              <w:t>2023</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00AE4F"/>
              </w:rPr>
              <w:t>2022</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2"/>
                <w:szCs w:val="12"/>
                <w:b w:val="1"/>
                <w:bCs w:val="1"/>
                <w:color w:val="00AE4F"/>
              </w:rPr>
              <w:t>2021</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jc w:val="right"/>
              <w:ind w:right="178"/>
              <w:spacing w:after="0" w:line="117" w:lineRule="exact"/>
              <w:rPr>
                <w:sz w:val="20"/>
                <w:szCs w:val="20"/>
                <w:color w:val="auto"/>
              </w:rPr>
            </w:pPr>
            <w:r>
              <w:rPr>
                <w:rFonts w:ascii="Arial" w:cs="Arial" w:eastAsia="Arial" w:hAnsi="Arial"/>
                <w:sz w:val="12"/>
                <w:szCs w:val="12"/>
                <w:b w:val="1"/>
                <w:bCs w:val="1"/>
                <w:color w:val="00AE4F"/>
              </w:rPr>
              <w:t>Former</w:t>
            </w:r>
          </w:p>
        </w:tc>
        <w:tc>
          <w:tcPr>
            <w:tcW w:w="700" w:type="dxa"/>
            <w:vAlign w:val="bottom"/>
          </w:tcPr>
          <w:p>
            <w:pPr>
              <w:jc w:val="right"/>
              <w:spacing w:after="0" w:line="117" w:lineRule="exact"/>
              <w:rPr>
                <w:sz w:val="20"/>
                <w:szCs w:val="20"/>
                <w:color w:val="auto"/>
              </w:rPr>
            </w:pPr>
            <w:r>
              <w:rPr>
                <w:rFonts w:ascii="Arial" w:cs="Arial" w:eastAsia="Arial" w:hAnsi="Arial"/>
                <w:sz w:val="12"/>
                <w:szCs w:val="12"/>
                <w:b w:val="1"/>
                <w:bCs w:val="1"/>
                <w:color w:val="00AE4F"/>
              </w:rPr>
              <w:t>Non-CEO</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jc w:val="right"/>
              <w:ind w:right="38"/>
              <w:spacing w:after="0" w:line="117" w:lineRule="exact"/>
              <w:rPr>
                <w:sz w:val="20"/>
                <w:szCs w:val="20"/>
                <w:color w:val="auto"/>
              </w:rPr>
            </w:pPr>
            <w:r>
              <w:rPr>
                <w:rFonts w:ascii="Arial" w:cs="Arial" w:eastAsia="Arial" w:hAnsi="Arial"/>
                <w:sz w:val="12"/>
                <w:szCs w:val="12"/>
                <w:b w:val="1"/>
                <w:bCs w:val="1"/>
                <w:color w:val="00AE4F"/>
              </w:rPr>
              <w:t>Non-CEO</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Arial" w:cs="Arial" w:eastAsia="Arial" w:hAnsi="Arial"/>
                <w:sz w:val="12"/>
                <w:szCs w:val="12"/>
                <w:b w:val="1"/>
                <w:bCs w:val="1"/>
                <w:color w:val="00AE4F"/>
              </w:rPr>
              <w:t>Non-CEO</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Arial" w:cs="Arial" w:eastAsia="Arial" w:hAnsi="Arial"/>
                <w:sz w:val="12"/>
                <w:szCs w:val="12"/>
                <w:b w:val="1"/>
                <w:bCs w:val="1"/>
                <w:color w:val="00AE4F"/>
              </w:rPr>
              <w:t>Non-CEO</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gridSpan w:val="4"/>
          </w:tcPr>
          <w:p>
            <w:pPr>
              <w:jc w:val="right"/>
              <w:spacing w:after="0" w:line="117" w:lineRule="exact"/>
              <w:rPr>
                <w:sz w:val="20"/>
                <w:szCs w:val="20"/>
                <w:color w:val="auto"/>
              </w:rPr>
            </w:pPr>
            <w:r>
              <w:rPr>
                <w:rFonts w:ascii="Arial" w:cs="Arial" w:eastAsia="Arial" w:hAnsi="Arial"/>
                <w:sz w:val="12"/>
                <w:szCs w:val="12"/>
                <w:b w:val="1"/>
                <w:bCs w:val="1"/>
                <w:color w:val="00AE4F"/>
              </w:rPr>
              <w:t>Non-CEO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00AE4F"/>
              </w:rPr>
              <w:t>CEO</w:t>
            </w: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00AE4F"/>
              </w:rPr>
              <w:t>CEO</w:t>
            </w: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00AE4F"/>
              </w:rPr>
              <w:t>NEOs</w:t>
            </w: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00AE4F"/>
              </w:rPr>
              <w:t>CEO</w:t>
            </w: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00AE4F"/>
              </w:rPr>
              <w:t>NEOs</w:t>
            </w: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00AE4F"/>
              </w:rPr>
              <w:t>CEO</w:t>
            </w: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00AE4F"/>
              </w:rPr>
              <w:t>NEOs</w:t>
            </w: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00AE4F"/>
              </w:rPr>
              <w:t>CEO</w:t>
            </w: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00AE4F"/>
              </w:rPr>
              <w:t>NEOs</w:t>
            </w: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00AE4F"/>
              </w:rPr>
              <w:t>CEO</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00AE4F"/>
              </w:rPr>
              <w:t>NEOs</w:t>
            </w:r>
          </w:p>
        </w:tc>
        <w:tc>
          <w:tcPr>
            <w:tcW w:w="0" w:type="dxa"/>
            <w:vAlign w:val="bottom"/>
          </w:tcPr>
          <w:p>
            <w:pPr>
              <w:spacing w:after="0"/>
              <w:rPr>
                <w:sz w:val="1"/>
                <w:szCs w:val="1"/>
                <w:color w:val="auto"/>
              </w:rPr>
            </w:pPr>
          </w:p>
        </w:tc>
      </w:tr>
      <w:tr>
        <w:trPr>
          <w:trHeight w:val="130"/>
        </w:trPr>
        <w:tc>
          <w:tcPr>
            <w:tcW w:w="980" w:type="dxa"/>
            <w:vAlign w:val="bottom"/>
          </w:tcPr>
          <w:p>
            <w:pPr>
              <w:ind w:left="60"/>
              <w:spacing w:after="0" w:line="130" w:lineRule="exact"/>
              <w:rPr>
                <w:sz w:val="20"/>
                <w:szCs w:val="20"/>
                <w:color w:val="auto"/>
              </w:rPr>
            </w:pPr>
            <w:r>
              <w:rPr>
                <w:rFonts w:ascii="Arial" w:cs="Arial" w:eastAsia="Arial" w:hAnsi="Arial"/>
                <w:sz w:val="12"/>
                <w:szCs w:val="12"/>
                <w:color w:val="auto"/>
              </w:rPr>
              <w:t>Summary</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Table Total</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$5,207,696</w:t>
            </w:r>
          </w:p>
        </w:tc>
        <w:tc>
          <w:tcPr>
            <w:tcW w:w="84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$3,327,152</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$1,223,008</w:t>
            </w:r>
          </w:p>
        </w:tc>
        <w:tc>
          <w:tcPr>
            <w:tcW w:w="14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58"/>
              <w:spacing w:after="0"/>
              <w:rPr>
                <w:sz w:val="20"/>
                <w:szCs w:val="20"/>
                <w:color w:val="auto"/>
              </w:rPr>
            </w:pPr>
            <w:r>
              <w:rPr>
                <w:rFonts w:ascii="Arial" w:cs="Arial" w:eastAsia="Arial" w:hAnsi="Arial"/>
                <w:sz w:val="12"/>
                <w:szCs w:val="12"/>
                <w:color w:val="auto"/>
              </w:rPr>
              <w:t>$4,128,439</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$1,980,551</w:t>
            </w:r>
          </w:p>
        </w:tc>
        <w:tc>
          <w:tcPr>
            <w:tcW w:w="140" w:type="dxa"/>
            <w:vAlign w:val="bottom"/>
            <w:tcBorders>
              <w:bottom w:val="single" w:sz="8" w:color="7F7F7F"/>
            </w:tcBorders>
          </w:tcPr>
          <w:p>
            <w:pPr>
              <w:spacing w:after="0"/>
              <w:rPr>
                <w:sz w:val="14"/>
                <w:szCs w:val="14"/>
                <w:color w:val="auto"/>
              </w:rPr>
            </w:pP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$4,163,424</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w w:val="99"/>
              </w:rPr>
              <w:t>$1,407,120</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$3,535,281</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w w:val="99"/>
              </w:rPr>
              <w:t>$1,331,744</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60"/>
              <w:spacing w:after="0"/>
              <w:rPr>
                <w:sz w:val="20"/>
                <w:szCs w:val="20"/>
                <w:color w:val="auto"/>
              </w:rPr>
            </w:pPr>
            <w:r>
              <w:rPr>
                <w:rFonts w:ascii="Arial" w:cs="Arial" w:eastAsia="Arial" w:hAnsi="Arial"/>
                <w:sz w:val="12"/>
                <w:szCs w:val="12"/>
                <w:color w:val="auto"/>
              </w:rPr>
              <w:t>$3,938,608</w:t>
            </w:r>
          </w:p>
        </w:tc>
        <w:tc>
          <w:tcPr>
            <w:tcW w:w="700" w:type="dxa"/>
            <w:vAlign w:val="bottom"/>
            <w:tcBorders>
              <w:bottom w:val="single" w:sz="8" w:color="7F7F7F"/>
            </w:tcBorders>
            <w:gridSpan w:val="4"/>
          </w:tcPr>
          <w:p>
            <w:pPr>
              <w:jc w:val="right"/>
              <w:spacing w:after="0"/>
              <w:rPr>
                <w:sz w:val="20"/>
                <w:szCs w:val="20"/>
                <w:color w:val="auto"/>
              </w:rPr>
            </w:pPr>
            <w:r>
              <w:rPr>
                <w:rFonts w:ascii="Arial" w:cs="Arial" w:eastAsia="Arial" w:hAnsi="Arial"/>
                <w:sz w:val="12"/>
                <w:szCs w:val="12"/>
                <w:color w:val="auto"/>
              </w:rPr>
              <w:t>$1,640,264</w:t>
            </w:r>
          </w:p>
        </w:tc>
        <w:tc>
          <w:tcPr>
            <w:tcW w:w="100" w:type="dxa"/>
            <w:vAlign w:val="bottom"/>
            <w:tcBorders>
              <w:bottom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Summary</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Table Stock</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Awards</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($4,000,003)</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($2,321,887)</w:t>
            </w:r>
          </w:p>
        </w:tc>
        <w:tc>
          <w:tcPr>
            <w:tcW w:w="8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($665,739)</w:t>
            </w:r>
          </w:p>
        </w:tc>
        <w:tc>
          <w:tcPr>
            <w:tcW w:w="8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($2,381,060)</w:t>
            </w:r>
          </w:p>
        </w:tc>
        <w:tc>
          <w:tcPr>
            <w:tcW w:w="8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($1,012,030)</w:t>
            </w:r>
          </w:p>
        </w:tc>
        <w:tc>
          <w:tcPr>
            <w:tcW w:w="900" w:type="dxa"/>
            <w:vAlign w:val="bottom"/>
            <w:tcBorders>
              <w:bottom w:val="single" w:sz="8" w:color="7F7F7F"/>
            </w:tcBorders>
          </w:tcPr>
          <w:p>
            <w:pPr>
              <w:jc w:val="right"/>
              <w:ind w:right="98"/>
              <w:spacing w:after="0"/>
              <w:rPr>
                <w:sz w:val="20"/>
                <w:szCs w:val="20"/>
                <w:color w:val="auto"/>
              </w:rPr>
            </w:pPr>
            <w:r>
              <w:rPr>
                <w:rFonts w:ascii="Arial" w:cs="Arial" w:eastAsia="Arial" w:hAnsi="Arial"/>
                <w:sz w:val="12"/>
                <w:szCs w:val="12"/>
                <w:color w:val="auto"/>
              </w:rPr>
              <w:t>($2,160,522)</w:t>
            </w:r>
          </w:p>
        </w:tc>
        <w:tc>
          <w:tcPr>
            <w:tcW w:w="7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($555,116)</w:t>
            </w:r>
          </w:p>
        </w:tc>
        <w:tc>
          <w:tcPr>
            <w:tcW w:w="880" w:type="dxa"/>
            <w:vAlign w:val="bottom"/>
            <w:tcBorders>
              <w:bottom w:val="single" w:sz="8" w:color="7F7F7F"/>
            </w:tcBorders>
          </w:tcPr>
          <w:p>
            <w:pPr>
              <w:jc w:val="right"/>
              <w:ind w:right="98"/>
              <w:spacing w:after="0"/>
              <w:rPr>
                <w:sz w:val="20"/>
                <w:szCs w:val="20"/>
                <w:color w:val="auto"/>
              </w:rPr>
            </w:pPr>
            <w:r>
              <w:rPr>
                <w:rFonts w:ascii="Arial" w:cs="Arial" w:eastAsia="Arial" w:hAnsi="Arial"/>
                <w:sz w:val="12"/>
                <w:szCs w:val="12"/>
                <w:color w:val="auto"/>
              </w:rPr>
              <w:t>($1,811,085)</w:t>
            </w:r>
          </w:p>
        </w:tc>
        <w:tc>
          <w:tcPr>
            <w:tcW w:w="7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($524,293)</w:t>
            </w:r>
          </w:p>
        </w:tc>
        <w:tc>
          <w:tcPr>
            <w:tcW w:w="820" w:type="dxa"/>
            <w:vAlign w:val="bottom"/>
            <w:tcBorders>
              <w:bottom w:val="single" w:sz="8" w:color="7F7F7F"/>
            </w:tcBorders>
          </w:tcPr>
          <w:p>
            <w:pPr>
              <w:jc w:val="right"/>
              <w:ind w:right="20"/>
              <w:spacing w:after="0"/>
              <w:rPr>
                <w:sz w:val="20"/>
                <w:szCs w:val="20"/>
                <w:color w:val="auto"/>
              </w:rPr>
            </w:pPr>
            <w:r>
              <w:rPr>
                <w:rFonts w:ascii="Arial" w:cs="Arial" w:eastAsia="Arial" w:hAnsi="Arial"/>
                <w:sz w:val="12"/>
                <w:szCs w:val="12"/>
                <w:color w:val="auto"/>
              </w:rPr>
              <w:t>($2,734,149)</w:t>
            </w:r>
          </w:p>
        </w:tc>
        <w:tc>
          <w:tcPr>
            <w:tcW w:w="800" w:type="dxa"/>
            <w:vAlign w:val="bottom"/>
            <w:tcBorders>
              <w:bottom w:val="single" w:sz="8" w:color="7F7F7F"/>
            </w:tcBorders>
            <w:gridSpan w:val="5"/>
          </w:tcPr>
          <w:p>
            <w:pPr>
              <w:jc w:val="right"/>
              <w:ind w:right="60"/>
              <w:spacing w:after="0"/>
              <w:rPr>
                <w:sz w:val="20"/>
                <w:szCs w:val="20"/>
                <w:color w:val="auto"/>
              </w:rPr>
            </w:pPr>
            <w:r>
              <w:rPr>
                <w:rFonts w:ascii="Arial" w:cs="Arial" w:eastAsia="Arial" w:hAnsi="Arial"/>
                <w:sz w:val="12"/>
                <w:szCs w:val="12"/>
                <w:color w:val="auto"/>
              </w:rPr>
              <w:t>($974,762)</w:t>
            </w: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FYE value of</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unvested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awards granted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during current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year</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$2,499,276</w:t>
            </w:r>
          </w:p>
        </w:tc>
        <w:tc>
          <w:tcPr>
            <w:tcW w:w="84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$1,118,538</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$355,073</w:t>
            </w:r>
          </w:p>
        </w:tc>
        <w:tc>
          <w:tcPr>
            <w:tcW w:w="14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58"/>
              <w:spacing w:after="0"/>
              <w:rPr>
                <w:sz w:val="20"/>
                <w:szCs w:val="20"/>
                <w:color w:val="auto"/>
              </w:rPr>
            </w:pPr>
            <w:r>
              <w:rPr>
                <w:rFonts w:ascii="Arial" w:cs="Arial" w:eastAsia="Arial" w:hAnsi="Arial"/>
                <w:sz w:val="12"/>
                <w:szCs w:val="12"/>
                <w:color w:val="auto"/>
              </w:rPr>
              <w:t>$1,167,277</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$605,532</w:t>
            </w:r>
          </w:p>
        </w:tc>
        <w:tc>
          <w:tcPr>
            <w:tcW w:w="140" w:type="dxa"/>
            <w:vAlign w:val="bottom"/>
            <w:tcBorders>
              <w:bottom w:val="single" w:sz="8" w:color="7F7F7F"/>
            </w:tcBorders>
          </w:tcPr>
          <w:p>
            <w:pPr>
              <w:spacing w:after="0"/>
              <w:rPr>
                <w:sz w:val="14"/>
                <w:szCs w:val="14"/>
                <w:color w:val="auto"/>
              </w:rPr>
            </w:pP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$2,236,679</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$617,264</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$1,052,644</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$334,843</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60"/>
              <w:spacing w:after="0"/>
              <w:rPr>
                <w:sz w:val="20"/>
                <w:szCs w:val="20"/>
                <w:color w:val="auto"/>
              </w:rPr>
            </w:pPr>
            <w:r>
              <w:rPr>
                <w:rFonts w:ascii="Arial" w:cs="Arial" w:eastAsia="Arial" w:hAnsi="Arial"/>
                <w:sz w:val="12"/>
                <w:szCs w:val="12"/>
                <w:color w:val="auto"/>
              </w:rPr>
              <w:t>$2,045,752</w:t>
            </w:r>
          </w:p>
        </w:tc>
        <w:tc>
          <w:tcPr>
            <w:tcW w:w="180" w:type="dxa"/>
            <w:vAlign w:val="bottom"/>
            <w:tcBorders>
              <w:bottom w:val="single" w:sz="8" w:color="7F7F7F"/>
            </w:tcBorders>
          </w:tcPr>
          <w:p>
            <w:pPr>
              <w:spacing w:after="0"/>
              <w:rPr>
                <w:sz w:val="14"/>
                <w:szCs w:val="14"/>
                <w:color w:val="auto"/>
              </w:rPr>
            </w:pPr>
          </w:p>
        </w:tc>
        <w:tc>
          <w:tcPr>
            <w:tcW w:w="5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w w:val="99"/>
              </w:rPr>
              <w:t>$789,365</w:t>
            </w:r>
          </w:p>
        </w:tc>
        <w:tc>
          <w:tcPr>
            <w:tcW w:w="100" w:type="dxa"/>
            <w:vAlign w:val="bottom"/>
            <w:tcBorders>
              <w:bottom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Change in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value of</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unvested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awards from</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prior years</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($844,597)</w:t>
            </w:r>
          </w:p>
        </w:tc>
        <w:tc>
          <w:tcPr>
            <w:tcW w:w="8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($221,488)</w:t>
            </w:r>
          </w:p>
        </w:tc>
        <w:tc>
          <w:tcPr>
            <w:tcW w:w="8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($1,333,842)</w:t>
            </w:r>
          </w:p>
        </w:tc>
        <w:tc>
          <w:tcPr>
            <w:tcW w:w="8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($254,013)</w:t>
            </w: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$793,531</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$239,143</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$68,855</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$24,517</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20"/>
              <w:spacing w:after="0"/>
              <w:rPr>
                <w:sz w:val="20"/>
                <w:szCs w:val="20"/>
                <w:color w:val="auto"/>
              </w:rPr>
            </w:pPr>
            <w:r>
              <w:rPr>
                <w:rFonts w:ascii="Arial" w:cs="Arial" w:eastAsia="Arial" w:hAnsi="Arial"/>
                <w:sz w:val="12"/>
                <w:szCs w:val="12"/>
                <w:color w:val="auto"/>
              </w:rPr>
              <w:t>($167,781)</w:t>
            </w:r>
          </w:p>
        </w:tc>
        <w:tc>
          <w:tcPr>
            <w:tcW w:w="180" w:type="dxa"/>
            <w:vAlign w:val="bottom"/>
            <w:tcBorders>
              <w:bottom w:val="single" w:sz="8" w:color="7F7F7F"/>
            </w:tcBorders>
          </w:tcPr>
          <w:p>
            <w:pPr>
              <w:spacing w:after="0"/>
              <w:rPr>
                <w:sz w:val="14"/>
                <w:szCs w:val="14"/>
                <w:color w:val="auto"/>
              </w:rPr>
            </w:pPr>
          </w:p>
        </w:tc>
        <w:tc>
          <w:tcPr>
            <w:tcW w:w="620" w:type="dxa"/>
            <w:vAlign w:val="bottom"/>
            <w:tcBorders>
              <w:bottom w:val="single" w:sz="8" w:color="7F7F7F"/>
            </w:tcBorders>
            <w:gridSpan w:val="4"/>
          </w:tcPr>
          <w:p>
            <w:pPr>
              <w:jc w:val="right"/>
              <w:ind w:right="60"/>
              <w:spacing w:after="0"/>
              <w:rPr>
                <w:sz w:val="20"/>
                <w:szCs w:val="20"/>
                <w:color w:val="auto"/>
              </w:rPr>
            </w:pPr>
            <w:r>
              <w:rPr>
                <w:rFonts w:ascii="Arial" w:cs="Arial" w:eastAsia="Arial" w:hAnsi="Arial"/>
                <w:sz w:val="12"/>
                <w:szCs w:val="12"/>
                <w:color w:val="auto"/>
              </w:rPr>
              <w:t>($41,322)</w:t>
            </w: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Change in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value of</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awards vesting</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during current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year from the</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prior years</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$51,203</w:t>
            </w:r>
          </w:p>
        </w:tc>
        <w:tc>
          <w:tcPr>
            <w:tcW w:w="8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($9,770)</w:t>
            </w:r>
          </w:p>
        </w:tc>
        <w:tc>
          <w:tcPr>
            <w:tcW w:w="820" w:type="dxa"/>
            <w:vAlign w:val="bottom"/>
            <w:tcBorders>
              <w:bottom w:val="single" w:sz="8" w:color="7F7F7F"/>
            </w:tcBorders>
          </w:tcPr>
          <w:p>
            <w:pPr>
              <w:jc w:val="right"/>
              <w:ind w:right="58"/>
              <w:spacing w:after="0"/>
              <w:rPr>
                <w:sz w:val="20"/>
                <w:szCs w:val="20"/>
                <w:color w:val="auto"/>
              </w:rPr>
            </w:pPr>
            <w:r>
              <w:rPr>
                <w:rFonts w:ascii="Arial" w:cs="Arial" w:eastAsia="Arial" w:hAnsi="Arial"/>
                <w:sz w:val="12"/>
                <w:szCs w:val="12"/>
                <w:color w:val="auto"/>
              </w:rPr>
              <w:t>$57,231</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$13,275</w:t>
            </w:r>
          </w:p>
        </w:tc>
        <w:tc>
          <w:tcPr>
            <w:tcW w:w="140" w:type="dxa"/>
            <w:vAlign w:val="bottom"/>
            <w:tcBorders>
              <w:bottom w:val="single" w:sz="8" w:color="7F7F7F"/>
            </w:tcBorders>
          </w:tcPr>
          <w:p>
            <w:pPr>
              <w:spacing w:after="0"/>
              <w:rPr>
                <w:sz w:val="14"/>
                <w:szCs w:val="14"/>
                <w:color w:val="auto"/>
              </w:rPr>
            </w:pP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$66,830</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$20,763</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$98,065</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$22,069</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60"/>
              <w:spacing w:after="0"/>
              <w:rPr>
                <w:sz w:val="20"/>
                <w:szCs w:val="20"/>
                <w:color w:val="auto"/>
              </w:rPr>
            </w:pPr>
            <w:r>
              <w:rPr>
                <w:rFonts w:ascii="Arial" w:cs="Arial" w:eastAsia="Arial" w:hAnsi="Arial"/>
                <w:sz w:val="12"/>
                <w:szCs w:val="12"/>
                <w:color w:val="auto"/>
              </w:rPr>
              <w:t>$7,513</w:t>
            </w:r>
          </w:p>
        </w:tc>
        <w:tc>
          <w:tcPr>
            <w:tcW w:w="180" w:type="dxa"/>
            <w:vAlign w:val="bottom"/>
            <w:tcBorders>
              <w:bottom w:val="single" w:sz="8" w:color="7F7F7F"/>
            </w:tcBorders>
          </w:tcPr>
          <w:p>
            <w:pPr>
              <w:spacing w:after="0"/>
              <w:rPr>
                <w:sz w:val="14"/>
                <w:szCs w:val="14"/>
                <w:color w:val="auto"/>
              </w:rPr>
            </w:pPr>
          </w:p>
        </w:tc>
        <w:tc>
          <w:tcPr>
            <w:tcW w:w="5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$2,122</w:t>
            </w:r>
          </w:p>
        </w:tc>
        <w:tc>
          <w:tcPr>
            <w:tcW w:w="100" w:type="dxa"/>
            <w:vAlign w:val="bottom"/>
            <w:tcBorders>
              <w:bottom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Prior FYE</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value for</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awards not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meeting</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performance</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requirements</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($413,289)</w:t>
            </w:r>
          </w:p>
        </w:tc>
        <w:tc>
          <w:tcPr>
            <w:tcW w:w="8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($54,434)</w:t>
            </w:r>
          </w:p>
        </w:tc>
        <w:tc>
          <w:tcPr>
            <w:tcW w:w="8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($548,019)</w:t>
            </w:r>
          </w:p>
        </w:tc>
        <w:tc>
          <w:tcPr>
            <w:tcW w:w="8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($242,651)</w:t>
            </w:r>
          </w:p>
        </w:tc>
        <w:tc>
          <w:tcPr>
            <w:tcW w:w="900" w:type="dxa"/>
            <w:vAlign w:val="bottom"/>
            <w:tcBorders>
              <w:bottom w:val="single" w:sz="8" w:color="7F7F7F"/>
            </w:tcBorders>
          </w:tcPr>
          <w:p>
            <w:pPr>
              <w:jc w:val="right"/>
              <w:ind w:right="98"/>
              <w:spacing w:after="0"/>
              <w:rPr>
                <w:sz w:val="20"/>
                <w:szCs w:val="20"/>
                <w:color w:val="auto"/>
              </w:rPr>
            </w:pPr>
            <w:r>
              <w:rPr>
                <w:rFonts w:ascii="Arial" w:cs="Arial" w:eastAsia="Arial" w:hAnsi="Arial"/>
                <w:sz w:val="12"/>
                <w:szCs w:val="12"/>
                <w:color w:val="auto"/>
              </w:rPr>
              <w:t>($812,048)</w:t>
            </w:r>
          </w:p>
        </w:tc>
        <w:tc>
          <w:tcPr>
            <w:tcW w:w="7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($183,487)</w:t>
            </w:r>
          </w:p>
        </w:tc>
        <w:tc>
          <w:tcPr>
            <w:tcW w:w="880" w:type="dxa"/>
            <w:vAlign w:val="bottom"/>
            <w:tcBorders>
              <w:bottom w:val="single" w:sz="8" w:color="7F7F7F"/>
            </w:tcBorders>
          </w:tcPr>
          <w:p>
            <w:pPr>
              <w:jc w:val="right"/>
              <w:ind w:right="98"/>
              <w:spacing w:after="0"/>
              <w:rPr>
                <w:sz w:val="20"/>
                <w:szCs w:val="20"/>
                <w:color w:val="auto"/>
              </w:rPr>
            </w:pPr>
            <w:r>
              <w:rPr>
                <w:rFonts w:ascii="Arial" w:cs="Arial" w:eastAsia="Arial" w:hAnsi="Arial"/>
                <w:sz w:val="12"/>
                <w:szCs w:val="12"/>
                <w:color w:val="auto"/>
              </w:rPr>
              <w:t>($191,086)</w:t>
            </w:r>
          </w:p>
        </w:tc>
        <w:tc>
          <w:tcPr>
            <w:tcW w:w="78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2"/>
                <w:szCs w:val="12"/>
                <w:color w:val="auto"/>
              </w:rPr>
              <w:t>($41,686)</w:t>
            </w:r>
          </w:p>
        </w:tc>
        <w:tc>
          <w:tcPr>
            <w:tcW w:w="820" w:type="dxa"/>
            <w:vAlign w:val="bottom"/>
            <w:tcBorders>
              <w:bottom w:val="single" w:sz="8" w:color="7F7F7F"/>
            </w:tcBorders>
          </w:tcPr>
          <w:p>
            <w:pPr>
              <w:jc w:val="right"/>
              <w:ind w:right="20"/>
              <w:spacing w:after="0"/>
              <w:rPr>
                <w:sz w:val="20"/>
                <w:szCs w:val="20"/>
                <w:color w:val="auto"/>
              </w:rPr>
            </w:pPr>
            <w:r>
              <w:rPr>
                <w:rFonts w:ascii="Arial" w:cs="Arial" w:eastAsia="Arial" w:hAnsi="Arial"/>
                <w:sz w:val="12"/>
                <w:szCs w:val="12"/>
                <w:color w:val="auto"/>
              </w:rPr>
              <w:t>($227,577)</w:t>
            </w:r>
          </w:p>
        </w:tc>
        <w:tc>
          <w:tcPr>
            <w:tcW w:w="180" w:type="dxa"/>
            <w:vAlign w:val="bottom"/>
            <w:tcBorders>
              <w:bottom w:val="single" w:sz="8" w:color="7F7F7F"/>
            </w:tcBorders>
          </w:tcPr>
          <w:p>
            <w:pPr>
              <w:spacing w:after="0"/>
              <w:rPr>
                <w:sz w:val="14"/>
                <w:szCs w:val="14"/>
                <w:color w:val="auto"/>
              </w:rPr>
            </w:pPr>
          </w:p>
        </w:tc>
        <w:tc>
          <w:tcPr>
            <w:tcW w:w="620" w:type="dxa"/>
            <w:vAlign w:val="bottom"/>
            <w:tcBorders>
              <w:bottom w:val="single" w:sz="8" w:color="7F7F7F"/>
            </w:tcBorders>
            <w:gridSpan w:val="4"/>
          </w:tcPr>
          <w:p>
            <w:pPr>
              <w:jc w:val="right"/>
              <w:ind w:right="60"/>
              <w:spacing w:after="0"/>
              <w:rPr>
                <w:sz w:val="20"/>
                <w:szCs w:val="20"/>
                <w:color w:val="auto"/>
              </w:rPr>
            </w:pPr>
            <w:r>
              <w:rPr>
                <w:rFonts w:ascii="Arial" w:cs="Arial" w:eastAsia="Arial" w:hAnsi="Arial"/>
                <w:sz w:val="12"/>
                <w:szCs w:val="12"/>
                <w:color w:val="auto"/>
              </w:rPr>
              <w:t>($53,637)</w:t>
            </w: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Dividends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accrued on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unvested stock</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awards</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$21,771</w:t>
            </w:r>
          </w:p>
        </w:tc>
        <w:tc>
          <w:tcPr>
            <w:tcW w:w="84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$30,728</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$21,563</w:t>
            </w:r>
          </w:p>
        </w:tc>
        <w:tc>
          <w:tcPr>
            <w:tcW w:w="14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58"/>
              <w:spacing w:after="0"/>
              <w:rPr>
                <w:sz w:val="20"/>
                <w:szCs w:val="20"/>
                <w:color w:val="auto"/>
              </w:rPr>
            </w:pPr>
            <w:r>
              <w:rPr>
                <w:rFonts w:ascii="Arial" w:cs="Arial" w:eastAsia="Arial" w:hAnsi="Arial"/>
                <w:sz w:val="12"/>
                <w:szCs w:val="12"/>
                <w:color w:val="auto"/>
              </w:rPr>
              <w:t>$28,642</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$10,006</w:t>
            </w:r>
          </w:p>
        </w:tc>
        <w:tc>
          <w:tcPr>
            <w:tcW w:w="140" w:type="dxa"/>
            <w:vAlign w:val="bottom"/>
            <w:tcBorders>
              <w:bottom w:val="single" w:sz="8" w:color="7F7F7F"/>
            </w:tcBorders>
          </w:tcPr>
          <w:p>
            <w:pPr>
              <w:spacing w:after="0"/>
              <w:rPr>
                <w:sz w:val="14"/>
                <w:szCs w:val="14"/>
                <w:color w:val="auto"/>
              </w:rPr>
            </w:pP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$25,703</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$9,948</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$9,957</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$3,404</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60"/>
              <w:spacing w:after="0"/>
              <w:rPr>
                <w:sz w:val="20"/>
                <w:szCs w:val="20"/>
                <w:color w:val="auto"/>
              </w:rPr>
            </w:pPr>
            <w:r>
              <w:rPr>
                <w:rFonts w:ascii="Arial" w:cs="Arial" w:eastAsia="Arial" w:hAnsi="Arial"/>
                <w:sz w:val="12"/>
                <w:szCs w:val="12"/>
                <w:color w:val="auto"/>
              </w:rPr>
              <w:t>$1,998</w:t>
            </w:r>
          </w:p>
        </w:tc>
        <w:tc>
          <w:tcPr>
            <w:tcW w:w="180" w:type="dxa"/>
            <w:vAlign w:val="bottom"/>
            <w:tcBorders>
              <w:bottom w:val="single" w:sz="8" w:color="7F7F7F"/>
            </w:tcBorders>
          </w:tcPr>
          <w:p>
            <w:pPr>
              <w:spacing w:after="0"/>
              <w:rPr>
                <w:sz w:val="14"/>
                <w:szCs w:val="14"/>
                <w:color w:val="auto"/>
              </w:rPr>
            </w:pPr>
          </w:p>
        </w:tc>
        <w:tc>
          <w:tcPr>
            <w:tcW w:w="5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$877</w:t>
            </w:r>
          </w:p>
        </w:tc>
        <w:tc>
          <w:tcPr>
            <w:tcW w:w="100" w:type="dxa"/>
            <w:vAlign w:val="bottom"/>
            <w:tcBorders>
              <w:bottom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Actually Paid</w:t>
            </w:r>
          </w:p>
        </w:tc>
        <w:tc>
          <w:tcPr>
            <w:tcW w:w="8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$3,728,739</w:t>
            </w:r>
          </w:p>
        </w:tc>
        <w:tc>
          <w:tcPr>
            <w:tcW w:w="84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rPr>
              <w:t>$947,848</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$648,211</w:t>
            </w:r>
          </w:p>
        </w:tc>
        <w:tc>
          <w:tcPr>
            <w:tcW w:w="14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58"/>
              <w:spacing w:after="0"/>
              <w:rPr>
                <w:sz w:val="20"/>
                <w:szCs w:val="20"/>
                <w:color w:val="auto"/>
              </w:rPr>
            </w:pPr>
            <w:r>
              <w:rPr>
                <w:rFonts w:ascii="Arial" w:cs="Arial" w:eastAsia="Arial" w:hAnsi="Arial"/>
                <w:sz w:val="12"/>
                <w:szCs w:val="12"/>
                <w:color w:val="auto"/>
              </w:rPr>
              <w:t>$1,118,668</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$1,100,670</w:t>
            </w:r>
          </w:p>
        </w:tc>
        <w:tc>
          <w:tcPr>
            <w:tcW w:w="140" w:type="dxa"/>
            <w:vAlign w:val="bottom"/>
            <w:tcBorders>
              <w:bottom w:val="single" w:sz="8" w:color="7F7F7F"/>
            </w:tcBorders>
          </w:tcPr>
          <w:p>
            <w:pPr>
              <w:spacing w:after="0"/>
              <w:rPr>
                <w:sz w:val="14"/>
                <w:szCs w:val="14"/>
                <w:color w:val="auto"/>
              </w:rPr>
            </w:pPr>
          </w:p>
        </w:tc>
        <w:tc>
          <w:tcPr>
            <w:tcW w:w="90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$4,313,597</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w w:val="99"/>
              </w:rPr>
              <w:t>$1,555,635</w:t>
            </w:r>
          </w:p>
        </w:tc>
        <w:tc>
          <w:tcPr>
            <w:tcW w:w="1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jc w:val="right"/>
              <w:ind w:right="138"/>
              <w:spacing w:after="0"/>
              <w:rPr>
                <w:sz w:val="20"/>
                <w:szCs w:val="20"/>
                <w:color w:val="auto"/>
              </w:rPr>
            </w:pPr>
            <w:r>
              <w:rPr>
                <w:rFonts w:ascii="Arial" w:cs="Arial" w:eastAsia="Arial" w:hAnsi="Arial"/>
                <w:sz w:val="12"/>
                <w:szCs w:val="12"/>
                <w:color w:val="auto"/>
              </w:rPr>
              <w:t>$2,762,629</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w w:val="99"/>
              </w:rPr>
              <w:t>$1,150,597</w:t>
            </w:r>
          </w:p>
        </w:tc>
        <w:tc>
          <w:tcPr>
            <w:tcW w:w="160" w:type="dxa"/>
            <w:vAlign w:val="bottom"/>
            <w:tcBorders>
              <w:bottom w:val="single" w:sz="8" w:color="7F7F7F"/>
            </w:tcBorders>
          </w:tcPr>
          <w:p>
            <w:pPr>
              <w:spacing w:after="0"/>
              <w:rPr>
                <w:sz w:val="14"/>
                <w:szCs w:val="14"/>
                <w:color w:val="auto"/>
              </w:rPr>
            </w:pPr>
          </w:p>
        </w:tc>
        <w:tc>
          <w:tcPr>
            <w:tcW w:w="820" w:type="dxa"/>
            <w:vAlign w:val="bottom"/>
            <w:tcBorders>
              <w:bottom w:val="single" w:sz="8" w:color="7F7F7F"/>
            </w:tcBorders>
          </w:tcPr>
          <w:p>
            <w:pPr>
              <w:jc w:val="right"/>
              <w:ind w:right="60"/>
              <w:spacing w:after="0"/>
              <w:rPr>
                <w:sz w:val="20"/>
                <w:szCs w:val="20"/>
                <w:color w:val="auto"/>
              </w:rPr>
            </w:pPr>
            <w:r>
              <w:rPr>
                <w:rFonts w:ascii="Arial" w:cs="Arial" w:eastAsia="Arial" w:hAnsi="Arial"/>
                <w:sz w:val="12"/>
                <w:szCs w:val="12"/>
                <w:color w:val="auto"/>
              </w:rPr>
              <w:t>$2,864,364</w:t>
            </w:r>
          </w:p>
        </w:tc>
        <w:tc>
          <w:tcPr>
            <w:tcW w:w="700" w:type="dxa"/>
            <w:vAlign w:val="bottom"/>
            <w:tcBorders>
              <w:bottom w:val="single" w:sz="8" w:color="7F7F7F"/>
            </w:tcBorders>
            <w:gridSpan w:val="4"/>
          </w:tcPr>
          <w:p>
            <w:pPr>
              <w:jc w:val="right"/>
              <w:spacing w:after="0"/>
              <w:rPr>
                <w:sz w:val="20"/>
                <w:szCs w:val="20"/>
                <w:color w:val="auto"/>
              </w:rPr>
            </w:pPr>
            <w:r>
              <w:rPr>
                <w:rFonts w:ascii="Arial" w:cs="Arial" w:eastAsia="Arial" w:hAnsi="Arial"/>
                <w:sz w:val="12"/>
                <w:szCs w:val="12"/>
                <w:color w:val="auto"/>
              </w:rPr>
              <w:t>$1,362,908</w:t>
            </w:r>
          </w:p>
        </w:tc>
        <w:tc>
          <w:tcPr>
            <w:tcW w:w="100" w:type="dxa"/>
            <w:vAlign w:val="bottom"/>
            <w:tcBorders>
              <w:bottom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680"/>
              <w:spacing w:after="0"/>
              <w:rPr>
                <w:sz w:val="20"/>
                <w:szCs w:val="20"/>
                <w:color w:val="auto"/>
              </w:rPr>
            </w:pPr>
            <w:r>
              <w:rPr>
                <w:rFonts w:ascii="Arial" w:cs="Arial" w:eastAsia="Arial" w:hAnsi="Arial"/>
                <w:sz w:val="8"/>
                <w:szCs w:val="8"/>
                <w:color w:val="auto"/>
                <w:w w:val="74"/>
              </w:rPr>
              <w:t>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73"/>
              </w:rPr>
              <w:t>  </w:t>
            </w:r>
          </w:p>
        </w:tc>
        <w:tc>
          <w:tcPr>
            <w:tcW w:w="1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-212090</wp:posOffset>
            </wp:positionV>
            <wp:extent cx="377825" cy="1809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Pay vs. Performance</w:t>
      </w:r>
    </w:p>
    <w:p>
      <w:pPr>
        <w:spacing w:after="0" w:line="132" w:lineRule="exact"/>
        <w:rPr>
          <w:sz w:val="20"/>
          <w:szCs w:val="20"/>
          <w:color w:val="auto"/>
        </w:rPr>
      </w:pPr>
    </w:p>
    <w:p>
      <w:pPr>
        <w:ind w:left="860" w:right="60" w:hanging="296"/>
        <w:spacing w:after="0" w:line="225" w:lineRule="auto"/>
        <w:tabs>
          <w:tab w:leader="none" w:pos="8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Compensation for the non-principal executive officer (“CEO”) and average compensation for non-CEO named executive officers (“NEOs”) reflected in columns (c) and (e) represent the following individuals for the years shown: 2025 – Christopher D. Layden, Peter W. Quigley (Former CEO), Troy R. Anderson, Tammy L. Browning, Vanessa P. Williams, and Nicola M. Soares, 2024 – Peter W. Quigley, Troy R. Anderson, Vanessa P. Williams, Daniel H. Malan, Nicola M. Soares, Olivier G. Thirot (former CFO), and Dinette Koolhaas (former Executive), 2023 – Peter W. Quigley, Olivier G. Thirot, Daniel H. Malan, Vanessa P. Williams and Dinette Koolhaas, 2022 – Peter W. Quigley, Olivier G. Thirot, Dinette Koolhaas, Vanessa P. Williams, and Darren L. Simons, 2021 – Peter W. Quigley, Olivier G. Thirot, Dinette Koolhaas, Tammy L. Browning, and Timothy L. Dupree.</w:t>
      </w:r>
    </w:p>
    <w:p>
      <w:pPr>
        <w:spacing w:after="0" w:line="47" w:lineRule="exact"/>
        <w:rPr>
          <w:rFonts w:ascii="Arial" w:cs="Arial" w:eastAsia="Arial" w:hAnsi="Arial"/>
          <w:sz w:val="12"/>
          <w:szCs w:val="12"/>
          <w:color w:val="auto"/>
        </w:rPr>
      </w:pPr>
    </w:p>
    <w:p>
      <w:pPr>
        <w:ind w:left="860" w:right="200" w:hanging="296"/>
        <w:spacing w:after="0" w:line="227" w:lineRule="auto"/>
        <w:tabs>
          <w:tab w:leader="none" w:pos="8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As permitted by SEC rules, the peer group referenced for purpose of the TSR comparison is the group of companies included in the S&amp;P 1500 Human Resources and Employment Services Index, which is the industry peer group used for purposes of item 201(e) of Regulation S-K as well as used in the Company’s Annual Report on Form 10-K for the year ended December 28, 2025. TSR is cumulative (assuming $100 was invested on December 31, 2020) for the measurement period ending December 31, 2020 and ending on December 31 of 2025, 2024, 2023, 2022, 2021, respectively.</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following amounts are the reconciliation of the CSM, EBITDA (in millions):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2440" w:type="dxa"/>
            <w:vAlign w:val="bottom"/>
          </w:tcPr>
          <w:p>
            <w:pPr>
              <w:jc w:val="right"/>
              <w:ind w:right="194"/>
              <w:spacing w:after="0"/>
              <w:rPr>
                <w:sz w:val="20"/>
                <w:szCs w:val="20"/>
                <w:color w:val="auto"/>
              </w:rPr>
            </w:pPr>
            <w:r>
              <w:rPr>
                <w:rFonts w:ascii="Arial" w:cs="Arial" w:eastAsia="Arial" w:hAnsi="Arial"/>
                <w:sz w:val="13"/>
                <w:szCs w:val="13"/>
                <w:b w:val="1"/>
                <w:bCs w:val="1"/>
                <w:color w:val="00AE4F"/>
              </w:rPr>
              <w:t>2025</w:t>
            </w:r>
          </w:p>
        </w:tc>
        <w:tc>
          <w:tcPr>
            <w:tcW w:w="700" w:type="dxa"/>
            <w:vAlign w:val="bottom"/>
          </w:tcPr>
          <w:p>
            <w:pPr>
              <w:jc w:val="right"/>
              <w:ind w:right="154"/>
              <w:spacing w:after="0"/>
              <w:rPr>
                <w:sz w:val="20"/>
                <w:szCs w:val="20"/>
                <w:color w:val="auto"/>
              </w:rPr>
            </w:pPr>
            <w:r>
              <w:rPr>
                <w:rFonts w:ascii="Arial" w:cs="Arial" w:eastAsia="Arial" w:hAnsi="Arial"/>
                <w:sz w:val="13"/>
                <w:szCs w:val="13"/>
                <w:b w:val="1"/>
                <w:bCs w:val="1"/>
                <w:color w:val="00AE4F"/>
              </w:rPr>
              <w:t>2024</w:t>
            </w:r>
          </w:p>
        </w:tc>
        <w:tc>
          <w:tcPr>
            <w:tcW w:w="720" w:type="dxa"/>
            <w:vAlign w:val="bottom"/>
          </w:tcPr>
          <w:p>
            <w:pPr>
              <w:jc w:val="right"/>
              <w:ind w:right="174"/>
              <w:spacing w:after="0"/>
              <w:rPr>
                <w:sz w:val="20"/>
                <w:szCs w:val="20"/>
                <w:color w:val="auto"/>
              </w:rPr>
            </w:pPr>
            <w:r>
              <w:rPr>
                <w:rFonts w:ascii="Arial" w:cs="Arial" w:eastAsia="Arial" w:hAnsi="Arial"/>
                <w:sz w:val="13"/>
                <w:szCs w:val="13"/>
                <w:b w:val="1"/>
                <w:bCs w:val="1"/>
                <w:color w:val="00AE4F"/>
              </w:rPr>
              <w:t>2023</w:t>
            </w:r>
          </w:p>
        </w:tc>
        <w:tc>
          <w:tcPr>
            <w:tcW w:w="740" w:type="dxa"/>
            <w:vAlign w:val="bottom"/>
          </w:tcPr>
          <w:p>
            <w:pPr>
              <w:jc w:val="right"/>
              <w:ind w:right="174"/>
              <w:spacing w:after="0"/>
              <w:rPr>
                <w:sz w:val="20"/>
                <w:szCs w:val="20"/>
                <w:color w:val="auto"/>
              </w:rPr>
            </w:pPr>
            <w:r>
              <w:rPr>
                <w:rFonts w:ascii="Arial" w:cs="Arial" w:eastAsia="Arial" w:hAnsi="Arial"/>
                <w:sz w:val="13"/>
                <w:szCs w:val="13"/>
                <w:b w:val="1"/>
                <w:bCs w:val="1"/>
                <w:color w:val="00AE4F"/>
              </w:rPr>
              <w:t>2022</w:t>
            </w:r>
          </w:p>
        </w:tc>
        <w:tc>
          <w:tcPr>
            <w:tcW w:w="620" w:type="dxa"/>
            <w:vAlign w:val="bottom"/>
          </w:tcPr>
          <w:p>
            <w:pPr>
              <w:jc w:val="right"/>
              <w:ind w:right="74"/>
              <w:spacing w:after="0"/>
              <w:rPr>
                <w:sz w:val="20"/>
                <w:szCs w:val="20"/>
                <w:color w:val="auto"/>
              </w:rPr>
            </w:pPr>
            <w:r>
              <w:rPr>
                <w:rFonts w:ascii="Arial" w:cs="Arial" w:eastAsia="Arial" w:hAnsi="Arial"/>
                <w:sz w:val="13"/>
                <w:szCs w:val="13"/>
                <w:b w:val="1"/>
                <w:bCs w:val="1"/>
                <w:color w:val="00AE4F"/>
              </w:rPr>
              <w:t>2021</w:t>
            </w:r>
          </w:p>
        </w:tc>
      </w:tr>
      <w:tr>
        <w:trPr>
          <w:trHeight w:val="39"/>
        </w:trPr>
        <w:tc>
          <w:tcPr>
            <w:tcW w:w="4920" w:type="dxa"/>
            <w:vAlign w:val="bottom"/>
            <w:tcBorders>
              <w:bottom w:val="single" w:sz="8" w:color="33302B"/>
            </w:tcBorders>
          </w:tcPr>
          <w:p>
            <w:pPr>
              <w:spacing w:after="0"/>
              <w:rPr>
                <w:sz w:val="3"/>
                <w:szCs w:val="3"/>
                <w:color w:val="auto"/>
              </w:rPr>
            </w:pPr>
          </w:p>
        </w:tc>
        <w:tc>
          <w:tcPr>
            <w:tcW w:w="2440" w:type="dxa"/>
            <w:vAlign w:val="bottom"/>
            <w:tcBorders>
              <w:bottom w:val="single" w:sz="8" w:color="33302B"/>
            </w:tcBorders>
          </w:tcPr>
          <w:p>
            <w:pPr>
              <w:spacing w:after="0"/>
              <w:rPr>
                <w:sz w:val="3"/>
                <w:szCs w:val="3"/>
                <w:color w:val="auto"/>
              </w:rPr>
            </w:pPr>
          </w:p>
        </w:tc>
        <w:tc>
          <w:tcPr>
            <w:tcW w:w="700" w:type="dxa"/>
            <w:vAlign w:val="bottom"/>
            <w:tcBorders>
              <w:bottom w:val="single" w:sz="8" w:color="33302B"/>
            </w:tcBorders>
          </w:tcPr>
          <w:p>
            <w:pPr>
              <w:spacing w:after="0"/>
              <w:rPr>
                <w:sz w:val="3"/>
                <w:szCs w:val="3"/>
                <w:color w:val="auto"/>
              </w:rPr>
            </w:pPr>
          </w:p>
        </w:tc>
        <w:tc>
          <w:tcPr>
            <w:tcW w:w="720" w:type="dxa"/>
            <w:vAlign w:val="bottom"/>
            <w:tcBorders>
              <w:bottom w:val="single" w:sz="8" w:color="33302B"/>
            </w:tcBorders>
          </w:tcPr>
          <w:p>
            <w:pPr>
              <w:spacing w:after="0"/>
              <w:rPr>
                <w:sz w:val="3"/>
                <w:szCs w:val="3"/>
                <w:color w:val="auto"/>
              </w:rPr>
            </w:pPr>
          </w:p>
        </w:tc>
        <w:tc>
          <w:tcPr>
            <w:tcW w:w="740" w:type="dxa"/>
            <w:vAlign w:val="bottom"/>
            <w:tcBorders>
              <w:bottom w:val="single" w:sz="8" w:color="33302B"/>
            </w:tcBorders>
          </w:tcPr>
          <w:p>
            <w:pPr>
              <w:spacing w:after="0"/>
              <w:rPr>
                <w:sz w:val="3"/>
                <w:szCs w:val="3"/>
                <w:color w:val="auto"/>
              </w:rPr>
            </w:pPr>
          </w:p>
        </w:tc>
        <w:tc>
          <w:tcPr>
            <w:tcW w:w="620" w:type="dxa"/>
            <w:vAlign w:val="bottom"/>
            <w:tcBorders>
              <w:bottom w:val="single" w:sz="8" w:color="33302B"/>
            </w:tcBorders>
          </w:tcPr>
          <w:p>
            <w:pPr>
              <w:spacing w:after="0"/>
              <w:rPr>
                <w:sz w:val="3"/>
                <w:szCs w:val="3"/>
                <w:color w:val="auto"/>
              </w:rPr>
            </w:pPr>
          </w:p>
        </w:tc>
      </w:tr>
      <w:tr>
        <w:trPr>
          <w:trHeight w:val="175"/>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Net earnings (loss)</w:t>
            </w:r>
          </w:p>
        </w:tc>
        <w:tc>
          <w:tcPr>
            <w:tcW w:w="24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($254.1)</w:t>
            </w: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($0.6)</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$36.4</w:t>
            </w:r>
          </w:p>
        </w:tc>
        <w:tc>
          <w:tcPr>
            <w:tcW w:w="7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($62.5)</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$156.1</w:t>
            </w:r>
          </w:p>
        </w:tc>
      </w:tr>
      <w:tr>
        <w:trPr>
          <w:trHeight w:val="178"/>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Other (income) expense, net</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8.6</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3.3</w:t>
            </w:r>
          </w:p>
        </w:tc>
        <w:tc>
          <w:tcPr>
            <w:tcW w:w="72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(4.2)</w:t>
            </w:r>
          </w:p>
        </w:tc>
        <w:tc>
          <w:tcPr>
            <w:tcW w:w="7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(1.6)</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3.6</w:t>
            </w:r>
          </w:p>
        </w:tc>
      </w:tr>
      <w:tr>
        <w:trPr>
          <w:trHeight w:val="178"/>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Income tax expense (benefit)</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175.3</w:t>
            </w: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(21.3)</w:t>
            </w:r>
          </w:p>
        </w:tc>
        <w:tc>
          <w:tcPr>
            <w:tcW w:w="72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(11.5)</w:t>
            </w:r>
          </w:p>
        </w:tc>
        <w:tc>
          <w:tcPr>
            <w:tcW w:w="7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(7.9)</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35.1</w:t>
            </w:r>
          </w:p>
        </w:tc>
      </w:tr>
      <w:tr>
        <w:trPr>
          <w:trHeight w:val="178"/>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Depreciation and amortization</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51.0</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51.5</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40.1</w:t>
            </w: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37.1</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31.4</w:t>
            </w:r>
          </w:p>
        </w:tc>
      </w:tr>
      <w:tr>
        <w:trPr>
          <w:trHeight w:val="182"/>
        </w:trPr>
        <w:tc>
          <w:tcPr>
            <w:tcW w:w="4920" w:type="dxa"/>
            <w:vAlign w:val="bottom"/>
            <w:tcBorders>
              <w:bottom w:val="single" w:sz="8" w:color="7F7F7F"/>
            </w:tcBorders>
          </w:tcPr>
          <w:p>
            <w:pPr>
              <w:ind w:left="60"/>
              <w:spacing w:after="0" w:line="182" w:lineRule="exact"/>
              <w:rPr>
                <w:sz w:val="20"/>
                <w:szCs w:val="20"/>
                <w:color w:val="auto"/>
              </w:rPr>
            </w:pPr>
            <w:r>
              <w:rPr>
                <w:rFonts w:ascii="Arial" w:cs="Arial" w:eastAsia="Arial" w:hAnsi="Arial"/>
                <w:sz w:val="13"/>
                <w:szCs w:val="13"/>
                <w:color w:val="auto"/>
              </w:rPr>
              <w:t>Goodwill impairment charge</w:t>
            </w:r>
            <w:r>
              <w:rPr>
                <w:rFonts w:ascii="Arial" w:cs="Arial" w:eastAsia="Arial" w:hAnsi="Arial"/>
                <w:sz w:val="16"/>
                <w:szCs w:val="16"/>
                <w:color w:val="auto"/>
                <w:vertAlign w:val="superscript"/>
              </w:rPr>
              <w:t>(1)</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102.0</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72.8</w:t>
            </w: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41.0</w:t>
            </w: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Asset impairment charge</w:t>
            </w:r>
            <w:r>
              <w:rPr>
                <w:rFonts w:ascii="Arial" w:cs="Arial" w:eastAsia="Arial" w:hAnsi="Arial"/>
                <w:sz w:val="16"/>
                <w:szCs w:val="16"/>
                <w:color w:val="auto"/>
                <w:vertAlign w:val="superscript"/>
              </w:rPr>
              <w:t>(2)</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0.0</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13.5</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2.4</w:t>
            </w: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Integration, realignment and restructuring charges</w:t>
            </w:r>
            <w:r>
              <w:rPr>
                <w:rFonts w:ascii="Arial" w:cs="Arial" w:eastAsia="Arial" w:hAnsi="Arial"/>
                <w:sz w:val="16"/>
                <w:szCs w:val="16"/>
                <w:color w:val="auto"/>
                <w:vertAlign w:val="superscript"/>
              </w:rPr>
              <w:t>(3)</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27.8</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16.1</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35.5</w:t>
            </w: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4.0</w:t>
            </w: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Executive transition costs</w:t>
            </w:r>
            <w:r>
              <w:rPr>
                <w:rFonts w:ascii="Arial" w:cs="Arial" w:eastAsia="Arial" w:hAnsi="Arial"/>
                <w:sz w:val="16"/>
                <w:szCs w:val="16"/>
                <w:color w:val="auto"/>
                <w:vertAlign w:val="superscript"/>
              </w:rPr>
              <w:t>(4)</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2.7</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2.3</w:t>
            </w: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on equity securities</w:t>
            </w:r>
            <w:r>
              <w:rPr>
                <w:rFonts w:ascii="Arial" w:cs="Arial" w:eastAsia="Arial" w:hAnsi="Arial"/>
                <w:sz w:val="16"/>
                <w:szCs w:val="16"/>
                <w:color w:val="auto"/>
                <w:vertAlign w:val="superscript"/>
              </w:rPr>
              <w:t>(5)</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0.0</w:t>
            </w: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(3.8)</w:t>
            </w: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Transaction costs</w:t>
            </w:r>
            <w:r>
              <w:rPr>
                <w:rFonts w:ascii="Arial" w:cs="Arial" w:eastAsia="Arial" w:hAnsi="Arial"/>
                <w:sz w:val="16"/>
                <w:szCs w:val="16"/>
                <w:color w:val="auto"/>
                <w:vertAlign w:val="superscript"/>
              </w:rPr>
              <w:t>(6)</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1.2</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17.9</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6.9</w:t>
            </w: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on sale of assets</w:t>
            </w:r>
            <w:r>
              <w:rPr>
                <w:rFonts w:ascii="Arial" w:cs="Arial" w:eastAsia="Arial" w:hAnsi="Arial"/>
                <w:sz w:val="16"/>
                <w:szCs w:val="16"/>
                <w:color w:val="auto"/>
                <w:vertAlign w:val="superscript"/>
              </w:rPr>
              <w:t>(7)</w:t>
            </w:r>
          </w:p>
        </w:tc>
        <w:tc>
          <w:tcPr>
            <w:tcW w:w="24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(1.0)</w:t>
            </w: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(5.4)</w:t>
            </w: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(6.2)</w:t>
            </w: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on sale of EMEA staffing operations</w:t>
            </w:r>
            <w:r>
              <w:rPr>
                <w:rFonts w:ascii="Arial" w:cs="Arial" w:eastAsia="Arial" w:hAnsi="Arial"/>
                <w:sz w:val="16"/>
                <w:szCs w:val="16"/>
                <w:color w:val="auto"/>
                <w:vertAlign w:val="superscript"/>
              </w:rPr>
              <w:t>(8)</w:t>
            </w:r>
          </w:p>
        </w:tc>
        <w:tc>
          <w:tcPr>
            <w:tcW w:w="24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(4.1)</w:t>
            </w: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(1.6)</w:t>
            </w: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loss on forward contract</w:t>
            </w:r>
            <w:r>
              <w:rPr>
                <w:rFonts w:ascii="Arial" w:cs="Arial" w:eastAsia="Arial" w:hAnsi="Arial"/>
                <w:sz w:val="16"/>
                <w:szCs w:val="16"/>
                <w:color w:val="auto"/>
                <w:vertAlign w:val="superscript"/>
              </w:rPr>
              <w:t>(9)</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jc w:val="right"/>
              <w:ind w:right="54"/>
              <w:spacing w:after="0"/>
              <w:rPr>
                <w:sz w:val="20"/>
                <w:szCs w:val="20"/>
                <w:color w:val="auto"/>
              </w:rPr>
            </w:pPr>
            <w:r>
              <w:rPr>
                <w:rFonts w:ascii="Arial" w:cs="Arial" w:eastAsia="Arial" w:hAnsi="Arial"/>
                <w:sz w:val="13"/>
                <w:szCs w:val="13"/>
                <w:color w:val="auto"/>
              </w:rPr>
              <w:t>(1.2)</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3.6</w:t>
            </w: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Loss on investment in Persol Holdings</w:t>
            </w:r>
            <w:r>
              <w:rPr>
                <w:rFonts w:ascii="Arial" w:cs="Arial" w:eastAsia="Arial" w:hAnsi="Arial"/>
                <w:sz w:val="16"/>
                <w:szCs w:val="16"/>
                <w:color w:val="auto"/>
                <w:vertAlign w:val="superscript"/>
              </w:rPr>
              <w:t>(10)</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67.2</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(121.8)</w:t>
            </w: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Loss on foreign currency matters</w:t>
            </w:r>
            <w:r>
              <w:rPr>
                <w:rFonts w:ascii="Arial" w:cs="Arial" w:eastAsia="Arial" w:hAnsi="Arial"/>
                <w:sz w:val="16"/>
                <w:szCs w:val="16"/>
                <w:color w:val="auto"/>
                <w:vertAlign w:val="superscript"/>
              </w:rPr>
              <w:t>(11)</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20.4</w:t>
            </w: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Loss on disposal</w:t>
            </w:r>
            <w:r>
              <w:rPr>
                <w:rFonts w:ascii="Arial" w:cs="Arial" w:eastAsia="Arial" w:hAnsi="Arial"/>
                <w:sz w:val="16"/>
                <w:szCs w:val="16"/>
                <w:color w:val="auto"/>
                <w:vertAlign w:val="superscript"/>
              </w:rPr>
              <w:t>(12)</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18.7</w:t>
            </w: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Gain on insurance settlement</w:t>
            </w:r>
            <w:r>
              <w:rPr>
                <w:rFonts w:ascii="Arial" w:cs="Arial" w:eastAsia="Arial" w:hAnsi="Arial"/>
                <w:sz w:val="16"/>
                <w:szCs w:val="16"/>
                <w:color w:val="auto"/>
                <w:vertAlign w:val="superscript"/>
              </w:rPr>
              <w:t>(13)</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(19.0)</w:t>
            </w: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Customer dispute</w:t>
            </w:r>
            <w:r>
              <w:rPr>
                <w:rFonts w:ascii="Arial" w:cs="Arial" w:eastAsia="Arial" w:hAnsi="Arial"/>
                <w:sz w:val="16"/>
                <w:szCs w:val="16"/>
                <w:color w:val="auto"/>
                <w:vertAlign w:val="superscript"/>
              </w:rPr>
              <w:t>(14)</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spacing w:after="0"/>
              <w:rPr>
                <w:sz w:val="15"/>
                <w:szCs w:val="15"/>
                <w:color w:val="auto"/>
              </w:rPr>
            </w:pPr>
          </w:p>
        </w:tc>
        <w:tc>
          <w:tcPr>
            <w:tcW w:w="620" w:type="dxa"/>
            <w:vAlign w:val="bottom"/>
            <w:tcBorders>
              <w:bottom w:val="single" w:sz="8" w:color="7F7F7F"/>
            </w:tcBorders>
          </w:tcPr>
          <w:p>
            <w:pPr>
              <w:spacing w:after="0"/>
              <w:rPr>
                <w:sz w:val="15"/>
                <w:szCs w:val="15"/>
                <w:color w:val="auto"/>
              </w:rPr>
            </w:pPr>
          </w:p>
        </w:tc>
      </w:tr>
      <w:tr>
        <w:trPr>
          <w:trHeight w:val="178"/>
        </w:trPr>
        <w:tc>
          <w:tcPr>
            <w:tcW w:w="4920" w:type="dxa"/>
            <w:vAlign w:val="bottom"/>
            <w:tcBorders>
              <w:bottom w:val="single" w:sz="8" w:color="7F7F7F"/>
            </w:tcBorders>
          </w:tcPr>
          <w:p>
            <w:pPr>
              <w:ind w:left="60"/>
              <w:spacing w:after="0" w:line="178" w:lineRule="exact"/>
              <w:rPr>
                <w:sz w:val="20"/>
                <w:szCs w:val="20"/>
                <w:color w:val="auto"/>
              </w:rPr>
            </w:pPr>
            <w:r>
              <w:rPr>
                <w:rFonts w:ascii="Arial" w:cs="Arial" w:eastAsia="Arial" w:hAnsi="Arial"/>
                <w:sz w:val="13"/>
                <w:szCs w:val="13"/>
                <w:color w:val="auto"/>
              </w:rPr>
              <w:t>Equity in net earnings of affiliate</w:t>
            </w:r>
            <w:r>
              <w:rPr>
                <w:rFonts w:ascii="Arial" w:cs="Arial" w:eastAsia="Arial" w:hAnsi="Arial"/>
                <w:sz w:val="16"/>
                <w:szCs w:val="16"/>
                <w:color w:val="auto"/>
                <w:vertAlign w:val="superscript"/>
              </w:rPr>
              <w:t>(15)</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740" w:type="dxa"/>
            <w:vAlign w:val="bottom"/>
            <w:tcBorders>
              <w:bottom w:val="single" w:sz="8" w:color="7F7F7F"/>
            </w:tcBorders>
          </w:tcPr>
          <w:p>
            <w:pPr>
              <w:jc w:val="right"/>
              <w:ind w:right="74"/>
              <w:spacing w:after="0"/>
              <w:rPr>
                <w:sz w:val="20"/>
                <w:szCs w:val="20"/>
                <w:color w:val="auto"/>
              </w:rPr>
            </w:pPr>
            <w:r>
              <w:rPr>
                <w:rFonts w:ascii="Arial" w:cs="Arial" w:eastAsia="Arial" w:hAnsi="Arial"/>
                <w:sz w:val="13"/>
                <w:szCs w:val="13"/>
                <w:color w:val="auto"/>
              </w:rPr>
              <w:t>(0.8)</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(5.4)</w:t>
            </w:r>
          </w:p>
        </w:tc>
      </w:tr>
      <w:tr>
        <w:trPr>
          <w:trHeight w:val="175"/>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Other, net</w:t>
            </w:r>
          </w:p>
        </w:tc>
        <w:tc>
          <w:tcPr>
            <w:tcW w:w="2440" w:type="dxa"/>
            <w:vAlign w:val="bottom"/>
            <w:tcBorders>
              <w:bottom w:val="single" w:sz="8" w:color="7F7F7F"/>
            </w:tcBorders>
          </w:tcPr>
          <w:p>
            <w:pPr>
              <w:spacing w:after="0"/>
              <w:rPr>
                <w:sz w:val="15"/>
                <w:szCs w:val="15"/>
                <w:color w:val="auto"/>
              </w:rPr>
            </w:pPr>
          </w:p>
        </w:tc>
        <w:tc>
          <w:tcPr>
            <w:tcW w:w="70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0.2</w:t>
            </w: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0.2</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0.1</w:t>
            </w:r>
          </w:p>
        </w:tc>
      </w:tr>
      <w:tr>
        <w:trPr>
          <w:trHeight w:val="178"/>
        </w:trPr>
        <w:tc>
          <w:tcPr>
            <w:tcW w:w="49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Adjusted</w:t>
            </w:r>
          </w:p>
        </w:tc>
        <w:tc>
          <w:tcPr>
            <w:tcW w:w="24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$109.4</w:t>
            </w:r>
          </w:p>
        </w:tc>
        <w:tc>
          <w:tcPr>
            <w:tcW w:w="700" w:type="dxa"/>
            <w:vAlign w:val="bottom"/>
            <w:tcBorders>
              <w:bottom w:val="single" w:sz="8" w:color="7F7F7F"/>
            </w:tcBorders>
          </w:tcPr>
          <w:p>
            <w:pPr>
              <w:jc w:val="right"/>
              <w:ind w:right="94"/>
              <w:spacing w:after="0"/>
              <w:rPr>
                <w:sz w:val="20"/>
                <w:szCs w:val="20"/>
                <w:color w:val="auto"/>
              </w:rPr>
            </w:pPr>
            <w:r>
              <w:rPr>
                <w:rFonts w:ascii="Arial" w:cs="Arial" w:eastAsia="Arial" w:hAnsi="Arial"/>
                <w:sz w:val="13"/>
                <w:szCs w:val="13"/>
                <w:color w:val="auto"/>
              </w:rPr>
              <w:t>$143.5</w:t>
            </w:r>
          </w:p>
        </w:tc>
        <w:tc>
          <w:tcPr>
            <w:tcW w:w="72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$109.4</w:t>
            </w:r>
          </w:p>
        </w:tc>
        <w:tc>
          <w:tcPr>
            <w:tcW w:w="740" w:type="dxa"/>
            <w:vAlign w:val="bottom"/>
            <w:tcBorders>
              <w:bottom w:val="single" w:sz="8" w:color="7F7F7F"/>
            </w:tcBorders>
          </w:tcPr>
          <w:p>
            <w:pPr>
              <w:jc w:val="right"/>
              <w:ind w:right="114"/>
              <w:spacing w:after="0"/>
              <w:rPr>
                <w:sz w:val="20"/>
                <w:szCs w:val="20"/>
                <w:color w:val="auto"/>
              </w:rPr>
            </w:pPr>
            <w:r>
              <w:rPr>
                <w:rFonts w:ascii="Arial" w:cs="Arial" w:eastAsia="Arial" w:hAnsi="Arial"/>
                <w:sz w:val="13"/>
                <w:szCs w:val="13"/>
                <w:color w:val="auto"/>
              </w:rPr>
              <w:t>$105.6</w:t>
            </w:r>
          </w:p>
        </w:tc>
        <w:tc>
          <w:tcPr>
            <w:tcW w:w="620" w:type="dxa"/>
            <w:vAlign w:val="bottom"/>
            <w:tcBorders>
              <w:bottom w:val="single" w:sz="8" w:color="7F7F7F"/>
            </w:tcBorders>
          </w:tcPr>
          <w:p>
            <w:pPr>
              <w:jc w:val="right"/>
              <w:ind w:right="14"/>
              <w:spacing w:after="0"/>
              <w:rPr>
                <w:sz w:val="20"/>
                <w:szCs w:val="20"/>
                <w:color w:val="auto"/>
              </w:rPr>
            </w:pPr>
            <w:r>
              <w:rPr>
                <w:rFonts w:ascii="Arial" w:cs="Arial" w:eastAsia="Arial" w:hAnsi="Arial"/>
                <w:sz w:val="13"/>
                <w:szCs w:val="13"/>
                <w:color w:val="auto"/>
              </w:rPr>
              <w:t>$84.1</w:t>
            </w:r>
          </w:p>
        </w:tc>
      </w:tr>
    </w:tbl>
    <w:p>
      <w:pPr>
        <w:spacing w:after="0" w:line="96" w:lineRule="exact"/>
        <w:rPr>
          <w:sz w:val="20"/>
          <w:szCs w:val="20"/>
          <w:color w:val="auto"/>
        </w:rPr>
      </w:pPr>
    </w:p>
    <w:p>
      <w:pPr>
        <w:ind w:left="860" w:right="40" w:hanging="296"/>
        <w:spacing w:after="0" w:line="296" w:lineRule="auto"/>
        <w:tabs>
          <w:tab w:leader="none" w:pos="86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Goodwill impairment charge in 2024 is driven by changes in market conditions and the result of the Company’s annual impairment test related to Softworld. Goodwill impairment charge in 2022 is the result of interim impairment tests the Company performed related to RocketPower due to triggering events caused by changes in market conditions. Goodwill impairment charge in 2020 is a result of an interim impairment test the Company performed during the first quarter of 2020, due to a triggering event caused by a decline in the Company’s common stock price.</w:t>
      </w:r>
    </w:p>
    <w:p>
      <w:pPr>
        <w:spacing w:after="0" w:line="21" w:lineRule="exact"/>
        <w:rPr>
          <w:rFonts w:ascii="Arial" w:cs="Arial" w:eastAsia="Arial" w:hAnsi="Arial"/>
          <w:sz w:val="10"/>
          <w:szCs w:val="10"/>
          <w:color w:val="auto"/>
        </w:rPr>
      </w:pPr>
    </w:p>
    <w:p>
      <w:pPr>
        <w:ind w:left="860" w:right="440" w:hanging="296"/>
        <w:spacing w:after="0" w:line="238"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Asset impairment charge in 2024 for certain right-of-use assets related to our leased headquarters facility reflects adjustments to how we are utilizing the building as part of our ongoing transformation efforts. Asset impairment charge in 2023 represents the impairment of right-of-use assets related to an unoccupied existing office space lease.</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Integration costs in 2024 reflect various initiatives aimed at both integrating the MRP acquisition and further aligning processes and technology across the Company.</w:t>
      </w:r>
    </w:p>
    <w:p>
      <w:pPr>
        <w:spacing w:after="0" w:line="60" w:lineRule="exact"/>
        <w:rPr>
          <w:rFonts w:ascii="Arial" w:cs="Arial" w:eastAsia="Arial" w:hAnsi="Arial"/>
          <w:sz w:val="12"/>
          <w:szCs w:val="12"/>
          <w:color w:val="auto"/>
        </w:rPr>
      </w:pPr>
    </w:p>
    <w:p>
      <w:pPr>
        <w:ind w:left="860" w:hanging="296"/>
        <w:spacing w:after="0"/>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Executive transition costs represent non-recurring expenses associated with our CFO transition in the fourth quarter of 2024.</w:t>
      </w:r>
    </w:p>
    <w:p>
      <w:pPr>
        <w:spacing w:after="0" w:line="60" w:lineRule="exact"/>
        <w:rPr>
          <w:rFonts w:ascii="Arial" w:cs="Arial" w:eastAsia="Arial" w:hAnsi="Arial"/>
          <w:sz w:val="12"/>
          <w:szCs w:val="12"/>
          <w:color w:val="auto"/>
        </w:rPr>
      </w:pPr>
    </w:p>
    <w:p>
      <w:pPr>
        <w:ind w:left="860" w:right="280" w:hanging="296"/>
        <w:spacing w:after="0" w:line="238"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Gain on equity securities includes a $0.6 million realized gain from the partial sale of our securities and a $3.2 million unrealized gain from the mark-to-market adjustment on our remaining shares in 2024.</w:t>
      </w:r>
    </w:p>
    <w:p>
      <w:pPr>
        <w:spacing w:after="0" w:line="48" w:lineRule="exact"/>
        <w:rPr>
          <w:rFonts w:ascii="Arial" w:cs="Arial" w:eastAsia="Arial" w:hAnsi="Arial"/>
          <w:sz w:val="12"/>
          <w:szCs w:val="12"/>
          <w:color w:val="auto"/>
        </w:rPr>
      </w:pPr>
    </w:p>
    <w:p>
      <w:pPr>
        <w:ind w:left="860" w:right="40" w:hanging="296"/>
        <w:spacing w:after="0" w:line="225"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Transaction costs in 2024 includes employee termination costs and transition costs related to the sale of the EMEA staffing operations, costs and adjustments related to the acquisition of MRP and an adjustment to the indemnification related to our former Brazil operations. Costs related to the sale of the EMEA staffing operations were $12.0 million for the year ended 2024. Transaction costs related to the acquisitions of MRP and CTC were $6.6 million for the year ended 2024, net of a $3.4 million earnout liability write-off. In the fourth quarter of 2024, there was a $0.7 million reduction in the indemnification liability related to the sale of our Brazil operations in 2020. Transaction costs in 2023, which included employee termination costs, were related to the 2024 sale of the EMEA staffing operations.</w:t>
      </w:r>
    </w:p>
    <w:p>
      <w:pPr>
        <w:spacing w:after="0" w:line="47" w:lineRule="exact"/>
        <w:rPr>
          <w:rFonts w:ascii="Arial" w:cs="Arial" w:eastAsia="Arial" w:hAnsi="Arial"/>
          <w:sz w:val="12"/>
          <w:szCs w:val="12"/>
          <w:color w:val="auto"/>
        </w:rPr>
      </w:pPr>
    </w:p>
    <w:p>
      <w:pPr>
        <w:ind w:left="860" w:right="60" w:hanging="296"/>
        <w:spacing w:after="0" w:line="225" w:lineRule="auto"/>
        <w:tabs>
          <w:tab w:leader="none" w:pos="8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Restructuring charges of $6.1 million in 2024 represent a continuation of the comprehensive transformation initiative that started in the second quarter of 2023 that will further streamline the Company’s operating model to enhance organizational efficiency and effectiveness. 2023 restructuring charges of $35.5 million represent severance costs, costs to execute a transformation initiative, lease terminations, and other costs to further cost management efforts in response to current demand levels and reflect a repositioning of our P&amp;I staffing business to better capitalize on opportunities in local markets in the first quarter and to further streamline the Company’s operating model to enhance organizational efficiency and effectiveness as part of the comprehensive transformation initiative which started in the second</w:t>
      </w:r>
    </w:p>
    <w:p>
      <w:pPr>
        <w:spacing w:after="0" w:line="46"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74 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9460"/>
        <w:spacing w:after="0"/>
        <w:rPr>
          <w:sz w:val="20"/>
          <w:szCs w:val="20"/>
          <w:color w:val="auto"/>
        </w:rPr>
      </w:pPr>
      <w:r>
        <w:rPr>
          <w:rFonts w:ascii="Arial" w:cs="Arial" w:eastAsia="Arial" w:hAnsi="Arial"/>
          <w:sz w:val="12"/>
          <w:szCs w:val="12"/>
          <w:b w:val="1"/>
          <w:bCs w:val="1"/>
          <w:color w:val="auto"/>
        </w:rPr>
        <w:t>Pay vs. Performance</w:t>
      </w:r>
    </w:p>
    <w:p>
      <w:pPr>
        <w:spacing w:after="0" w:line="132" w:lineRule="exact"/>
        <w:rPr>
          <w:sz w:val="20"/>
          <w:szCs w:val="20"/>
          <w:color w:val="auto"/>
        </w:rPr>
      </w:pPr>
    </w:p>
    <w:p>
      <w:pPr>
        <w:ind w:left="860" w:right="180"/>
        <w:spacing w:after="0" w:line="227" w:lineRule="auto"/>
        <w:rPr>
          <w:sz w:val="20"/>
          <w:szCs w:val="20"/>
          <w:color w:val="auto"/>
        </w:rPr>
      </w:pPr>
      <w:r>
        <w:rPr>
          <w:rFonts w:ascii="Arial" w:cs="Arial" w:eastAsia="Arial" w:hAnsi="Arial"/>
          <w:sz w:val="12"/>
          <w:szCs w:val="12"/>
          <w:color w:val="auto"/>
        </w:rPr>
        <w:t>quarter of 2023. 2021 restructuring charges of $4.0 million represent severance costs as part of cost management actions designed to increase operational efficiencies within enterprise functions that provide centralized support to operating units. 2020 restructuring charges of $12.8 million represent severance costs and lease terminations in the first quarter of 2020 in preparation for the new operating model adopted in the third quarter of 2020 and additional severance costs in the fourth quarter of 2020 to provide sustainable cost reductions as a result of the continuing COVID-19 demand disruption;</w:t>
      </w:r>
    </w:p>
    <w:p>
      <w:pPr>
        <w:spacing w:after="0" w:line="48" w:lineRule="exact"/>
        <w:rPr>
          <w:sz w:val="20"/>
          <w:szCs w:val="20"/>
          <w:color w:val="auto"/>
        </w:rPr>
      </w:pPr>
    </w:p>
    <w:p>
      <w:pPr>
        <w:ind w:left="860" w:right="20" w:hanging="296"/>
        <w:spacing w:after="0" w:line="231"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Gain on sale of assets represents the sale of Ayers Group in the second quarter of 2024. Gain on sale of assets in 2022 is related to the sale of real property in the fourth quarter, under-utilized real property in the second quarter, and other real property sold in the first quarter of 2022. Gain on sale of assets in 2020 primarily represents the excess of proceeds over the cost of the headquarters properties sold during the first quarter of 2020.</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Gain on sale of EMEA staffing operations represents the gain as a result of the sale in January 2024.</w:t>
      </w:r>
    </w:p>
    <w:p>
      <w:pPr>
        <w:spacing w:after="0" w:line="60" w:lineRule="exact"/>
        <w:rPr>
          <w:rFonts w:ascii="Arial" w:cs="Arial" w:eastAsia="Arial" w:hAnsi="Arial"/>
          <w:sz w:val="12"/>
          <w:szCs w:val="12"/>
          <w:color w:val="auto"/>
        </w:rPr>
      </w:pPr>
    </w:p>
    <w:p>
      <w:pPr>
        <w:ind w:left="860" w:right="60" w:hanging="296"/>
        <w:spacing w:after="0" w:line="231"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Gain on forward contract in 2024 represents the settlement of the foreign currency forward contract in January 2024 relating to the sale of our EMEA staffing operations. Loss on forward contract in 2023 represents the unrealized mark-to-market losses on the foreign currency forward contract the Company entered into in the fourth quarter of 2023 to mitigate the exchange rate risk associated with the future cash proceeds for the sale of the EMEA staffing operations.</w:t>
      </w:r>
    </w:p>
    <w:p>
      <w:pPr>
        <w:spacing w:after="0" w:line="48" w:lineRule="exact"/>
        <w:rPr>
          <w:rFonts w:ascii="Arial" w:cs="Arial" w:eastAsia="Arial" w:hAnsi="Arial"/>
          <w:sz w:val="12"/>
          <w:szCs w:val="12"/>
          <w:color w:val="auto"/>
        </w:rPr>
      </w:pPr>
    </w:p>
    <w:p>
      <w:pPr>
        <w:ind w:left="860" w:right="80" w:hanging="296"/>
        <w:spacing w:after="0" w:line="231"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 2022, the loss on the investment in Persol Holdings represents the change in fair value up until the date of the sale of the investment on February 15, 2022 as well as the loss on the sale of the investment during the period presented and the related tax benefit. In 2021 and 2020, the gain and loss on the investment in Persol Holdings represents the change in fair value of the investment during the periods presented and the related tax expense.</w:t>
      </w:r>
    </w:p>
    <w:p>
      <w:pPr>
        <w:spacing w:after="0" w:line="48" w:lineRule="exact"/>
        <w:rPr>
          <w:rFonts w:ascii="Arial" w:cs="Arial" w:eastAsia="Arial" w:hAnsi="Arial"/>
          <w:sz w:val="12"/>
          <w:szCs w:val="12"/>
          <w:color w:val="auto"/>
        </w:rPr>
      </w:pPr>
    </w:p>
    <w:p>
      <w:pPr>
        <w:ind w:left="860" w:right="160" w:hanging="296"/>
        <w:spacing w:after="0" w:line="231"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 2022, the loss on foreign currency matters includes a $20.4 million loss on currency translation resulting from the substantially complete liquidation of the Company’s Japan entity, partially offset by a $5.5 million foreign exchange gain on the Japan entity’s USD-denominated cash balance. The foreign exchange gain is included in other (income) expense, net in the EBITDA calculation.</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Loss on disposal in 2022 represents the write-off of the net assets of our Russian operations that were sold in the third quarter of 2022.</w:t>
      </w:r>
    </w:p>
    <w:p>
      <w:pPr>
        <w:spacing w:after="0" w:line="60" w:lineRule="exact"/>
        <w:rPr>
          <w:rFonts w:ascii="Arial" w:cs="Arial" w:eastAsia="Arial" w:hAnsi="Arial"/>
          <w:sz w:val="12"/>
          <w:szCs w:val="12"/>
          <w:color w:val="auto"/>
        </w:rPr>
      </w:pPr>
    </w:p>
    <w:p>
      <w:pPr>
        <w:ind w:left="860" w:right="560" w:hanging="296"/>
        <w:spacing w:after="0" w:line="238"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Gain on insurance settlement represents a payment received in the fourth quarter of 2021 related to the settlement of claims under a representations and warranties insurance policy purchased by the Company in connection with the acquisition of Softworld.</w:t>
      </w:r>
    </w:p>
    <w:p>
      <w:pPr>
        <w:spacing w:after="0" w:line="48" w:lineRule="exact"/>
        <w:rPr>
          <w:rFonts w:ascii="Arial" w:cs="Arial" w:eastAsia="Arial" w:hAnsi="Arial"/>
          <w:sz w:val="12"/>
          <w:szCs w:val="12"/>
          <w:color w:val="auto"/>
        </w:rPr>
      </w:pPr>
    </w:p>
    <w:p>
      <w:pPr>
        <w:ind w:left="860" w:right="340" w:hanging="296"/>
        <w:spacing w:after="0" w:line="238"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Customer dispute in 2020 represents a non-cash charge in Mexico to increase the reserve against a long-term receivable from a former customer based on an updated probability of loss assessment.</w:t>
      </w:r>
    </w:p>
    <w:p>
      <w:pPr>
        <w:spacing w:after="0" w:line="48" w:lineRule="exact"/>
        <w:rPr>
          <w:rFonts w:ascii="Arial" w:cs="Arial" w:eastAsia="Arial" w:hAnsi="Arial"/>
          <w:sz w:val="12"/>
          <w:szCs w:val="12"/>
          <w:color w:val="auto"/>
        </w:rPr>
      </w:pPr>
    </w:p>
    <w:p>
      <w:pPr>
        <w:ind w:left="860" w:hanging="296"/>
        <w:spacing w:after="0"/>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Equity in net earnings of affiliate represents the Company’s proportional share of the operating results of the equity affiliate.</w:t>
      </w:r>
    </w:p>
    <w:p>
      <w:pPr>
        <w:spacing w:after="0" w:line="188" w:lineRule="exact"/>
        <w:rPr>
          <w:sz w:val="20"/>
          <w:szCs w:val="20"/>
          <w:color w:val="auto"/>
        </w:rPr>
      </w:pPr>
    </w:p>
    <w:p>
      <w:pPr>
        <w:ind w:left="560" w:right="520"/>
        <w:spacing w:after="0" w:line="275" w:lineRule="auto"/>
        <w:rPr>
          <w:sz w:val="20"/>
          <w:szCs w:val="20"/>
          <w:color w:val="auto"/>
        </w:rPr>
      </w:pPr>
      <w:r>
        <w:rPr>
          <w:rFonts w:ascii="Arial" w:cs="Arial" w:eastAsia="Arial" w:hAnsi="Arial"/>
          <w:sz w:val="15"/>
          <w:szCs w:val="15"/>
          <w:color w:val="auto"/>
        </w:rPr>
        <w:t>As discussed in the CD&amp;A section of this Proxy Statement, the five items listed below represent the most important financial measures we used to determine CAP for FY 2025.</w:t>
      </w:r>
    </w:p>
    <w:p>
      <w:pPr>
        <w:spacing w:after="0" w:line="180" w:lineRule="exact"/>
        <w:rPr>
          <w:sz w:val="20"/>
          <w:szCs w:val="20"/>
          <w:color w:val="auto"/>
        </w:rPr>
      </w:pPr>
    </w:p>
    <w:p>
      <w:pPr>
        <w:jc w:val="center"/>
        <w:ind w:right="5220"/>
        <w:spacing w:after="0"/>
        <w:rPr>
          <w:sz w:val="20"/>
          <w:szCs w:val="20"/>
          <w:color w:val="auto"/>
        </w:rPr>
      </w:pPr>
      <w:r>
        <w:rPr>
          <w:rFonts w:ascii="Arial" w:cs="Arial" w:eastAsia="Arial" w:hAnsi="Arial"/>
          <w:sz w:val="13"/>
          <w:szCs w:val="13"/>
          <w:b w:val="1"/>
          <w:bCs w:val="1"/>
          <w:color w:val="00AE4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43815</wp:posOffset>
            </wp:positionV>
            <wp:extent cx="275653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66" w:lineRule="exact"/>
        <w:rPr>
          <w:sz w:val="20"/>
          <w:szCs w:val="20"/>
          <w:color w:val="auto"/>
        </w:rPr>
      </w:pPr>
    </w:p>
    <w:p>
      <w:pPr>
        <w:jc w:val="center"/>
        <w:ind w:right="5140"/>
        <w:spacing w:after="0"/>
        <w:rPr>
          <w:sz w:val="20"/>
          <w:szCs w:val="20"/>
          <w:color w:val="auto"/>
        </w:rPr>
      </w:pPr>
      <w:r>
        <w:rPr>
          <w:rFonts w:ascii="Arial" w:cs="Arial" w:eastAsia="Arial" w:hAnsi="Arial"/>
          <w:sz w:val="13"/>
          <w:szCs w:val="13"/>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275653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29" w:lineRule="exact"/>
        <w:rPr>
          <w:sz w:val="20"/>
          <w:szCs w:val="20"/>
          <w:color w:val="auto"/>
        </w:rPr>
      </w:pPr>
    </w:p>
    <w:p>
      <w:pPr>
        <w:jc w:val="center"/>
        <w:ind w:right="5140"/>
        <w:spacing w:after="0"/>
        <w:rPr>
          <w:sz w:val="20"/>
          <w:szCs w:val="20"/>
          <w:color w:val="auto"/>
        </w:rPr>
      </w:pPr>
      <w:r>
        <w:rPr>
          <w:rFonts w:ascii="Arial" w:cs="Arial" w:eastAsia="Arial" w:hAnsi="Arial"/>
          <w:sz w:val="13"/>
          <w:szCs w:val="13"/>
          <w:color w:val="auto"/>
        </w:rPr>
        <w:t>EBITDA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275653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29" w:lineRule="exact"/>
        <w:rPr>
          <w:sz w:val="20"/>
          <w:szCs w:val="20"/>
          <w:color w:val="auto"/>
        </w:rPr>
      </w:pPr>
    </w:p>
    <w:p>
      <w:pPr>
        <w:jc w:val="center"/>
        <w:ind w:right="5140"/>
        <w:spacing w:after="0"/>
        <w:rPr>
          <w:sz w:val="20"/>
          <w:szCs w:val="20"/>
          <w:color w:val="auto"/>
        </w:rPr>
      </w:pPr>
      <w:r>
        <w:rPr>
          <w:rFonts w:ascii="Arial" w:cs="Arial" w:eastAsia="Arial" w:hAnsi="Arial"/>
          <w:sz w:val="13"/>
          <w:szCs w:val="13"/>
          <w:color w:val="auto"/>
        </w:rPr>
        <w:t>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275653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29" w:lineRule="exact"/>
        <w:rPr>
          <w:sz w:val="20"/>
          <w:szCs w:val="20"/>
          <w:color w:val="auto"/>
        </w:rPr>
      </w:pPr>
    </w:p>
    <w:p>
      <w:pPr>
        <w:jc w:val="center"/>
        <w:ind w:right="5140"/>
        <w:spacing w:after="0"/>
        <w:rPr>
          <w:sz w:val="20"/>
          <w:szCs w:val="20"/>
          <w:color w:val="auto"/>
        </w:rPr>
      </w:pPr>
      <w:r>
        <w:rPr>
          <w:rFonts w:ascii="Arial" w:cs="Arial" w:eastAsia="Arial" w:hAnsi="Arial"/>
          <w:sz w:val="13"/>
          <w:szCs w:val="13"/>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275653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29" w:lineRule="exact"/>
        <w:rPr>
          <w:sz w:val="20"/>
          <w:szCs w:val="20"/>
          <w:color w:val="auto"/>
        </w:rPr>
      </w:pPr>
    </w:p>
    <w:p>
      <w:pPr>
        <w:jc w:val="center"/>
        <w:ind w:right="5140"/>
        <w:spacing w:after="0"/>
        <w:rPr>
          <w:sz w:val="20"/>
          <w:szCs w:val="20"/>
          <w:color w:val="auto"/>
        </w:rPr>
      </w:pPr>
      <w:r>
        <w:rPr>
          <w:rFonts w:ascii="Arial" w:cs="Arial" w:eastAsia="Arial" w:hAnsi="Arial"/>
          <w:sz w:val="13"/>
          <w:szCs w:val="13"/>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20320</wp:posOffset>
            </wp:positionV>
            <wp:extent cx="275653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56535" cy="7620"/>
                    </a:xfrm>
                    <a:prstGeom prst="rect">
                      <a:avLst/>
                    </a:prstGeom>
                    <a:noFill/>
                  </pic:spPr>
                </pic:pic>
              </a:graphicData>
            </a:graphic>
          </wp:anchor>
        </w:drawing>
      </w:r>
    </w:p>
    <w:p>
      <w:pPr>
        <w:spacing w:after="0" w:line="210" w:lineRule="exact"/>
        <w:rPr>
          <w:sz w:val="20"/>
          <w:szCs w:val="20"/>
          <w:color w:val="auto"/>
        </w:rPr>
      </w:pPr>
    </w:p>
    <w:p>
      <w:pPr>
        <w:ind w:left="560" w:right="120"/>
        <w:spacing w:after="0" w:line="258" w:lineRule="auto"/>
        <w:rPr>
          <w:sz w:val="20"/>
          <w:szCs w:val="20"/>
          <w:color w:val="auto"/>
        </w:rPr>
      </w:pPr>
      <w:r>
        <w:rPr>
          <w:rFonts w:ascii="Arial" w:cs="Arial" w:eastAsia="Arial" w:hAnsi="Arial"/>
          <w:sz w:val="15"/>
          <w:szCs w:val="15"/>
          <w:color w:val="auto"/>
        </w:rPr>
        <w:t>The charts below show, for the past five years, the relationship of the Company’s TSR relative to the S&amp;P 1500 Human Resources and Employment Services index, which reflects the Company’s industry sector, as well as the relationship between the CEO and non-CEO CAP and the Company’s TSR; the Company’s net earnings; and the Company’s non-GAAP adjusted EBITDA.</w:t>
      </w:r>
    </w:p>
    <w:p>
      <w:pPr>
        <w:spacing w:after="0" w:line="87"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w:t>
      </w:r>
      <w:r>
        <w:rPr>
          <w:sz w:val="20"/>
          <w:szCs w:val="20"/>
          <w:color w:val="auto"/>
        </w:rPr>
        <w:tab/>
      </w:r>
      <w:r>
        <w:rPr>
          <w:rFonts w:ascii="Arial" w:cs="Arial" w:eastAsia="Arial" w:hAnsi="Arial"/>
          <w:sz w:val="29"/>
          <w:szCs w:val="29"/>
          <w:color w:val="auto"/>
          <w:vertAlign w:val="superscript"/>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Pay vs. Performance</w:t>
      </w:r>
    </w:p>
    <w:p>
      <w:pPr>
        <w:spacing w:after="0" w:line="122" w:lineRule="exact"/>
        <w:rPr>
          <w:sz w:val="20"/>
          <w:szCs w:val="20"/>
          <w:color w:val="auto"/>
        </w:rPr>
      </w:pPr>
    </w:p>
    <w:p>
      <w:pPr>
        <w:jc w:val="right"/>
        <w:ind w:right="7619"/>
        <w:spacing w:after="0"/>
        <w:rPr>
          <w:sz w:val="20"/>
          <w:szCs w:val="20"/>
          <w:color w:val="auto"/>
        </w:rPr>
      </w:pPr>
      <w:r>
        <w:rPr>
          <w:rFonts w:ascii="Arial" w:cs="Arial" w:eastAsia="Arial" w:hAnsi="Arial"/>
          <w:sz w:val="20"/>
          <w:szCs w:val="20"/>
          <w:b w:val="1"/>
          <w:bCs w:val="1"/>
          <w:color w:val="auto"/>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256540</wp:posOffset>
            </wp:positionV>
            <wp:extent cx="5946140" cy="13468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46140" cy="134683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2201545</wp:posOffset>
            </wp:positionV>
            <wp:extent cx="5915025" cy="12598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1502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76 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right="360"/>
        <w:spacing w:after="0" w:line="252" w:lineRule="auto"/>
        <w:rPr>
          <w:sz w:val="20"/>
          <w:szCs w:val="20"/>
          <w:color w:val="auto"/>
        </w:rPr>
      </w:pPr>
      <w:r>
        <w:rPr>
          <w:rFonts w:ascii="Arial" w:cs="Arial" w:eastAsia="Arial" w:hAnsi="Arial"/>
          <w:sz w:val="30"/>
          <w:szCs w:val="30"/>
          <w:b w:val="1"/>
          <w:bCs w:val="1"/>
          <w:color w:val="auto"/>
        </w:rPr>
        <w:t>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w:t>
      </w:r>
    </w:p>
    <w:p>
      <w:pPr>
        <w:spacing w:after="0" w:line="64" w:lineRule="exact"/>
        <w:rPr>
          <w:sz w:val="20"/>
          <w:szCs w:val="20"/>
          <w:color w:val="auto"/>
        </w:rPr>
      </w:pPr>
    </w:p>
    <w:p>
      <w:pPr>
        <w:jc w:val="both"/>
        <w:ind w:left="560" w:right="180"/>
        <w:spacing w:after="0" w:line="258" w:lineRule="auto"/>
        <w:rPr>
          <w:sz w:val="20"/>
          <w:szCs w:val="20"/>
          <w:color w:val="auto"/>
        </w:rPr>
      </w:pPr>
      <w:r>
        <w:rPr>
          <w:rFonts w:ascii="Arial" w:cs="Arial" w:eastAsia="Arial" w:hAnsi="Arial"/>
          <w:sz w:val="15"/>
          <w:szCs w:val="15"/>
          <w:color w:val="auto"/>
        </w:rPr>
        <w:t>As a general matter, the Board believes that our Restated Certificate of Incorporation should include governance provisions that are appropriate for the Company’s current ownership profile and that provide clarity and flexibility regarding the rights of stockholders and the powers and duties of the Board, consistent with applicable Delaware law.</w:t>
      </w:r>
    </w:p>
    <w:p>
      <w:pPr>
        <w:spacing w:after="0" w:line="39" w:lineRule="exact"/>
        <w:rPr>
          <w:sz w:val="20"/>
          <w:szCs w:val="20"/>
          <w:color w:val="auto"/>
        </w:rPr>
      </w:pPr>
    </w:p>
    <w:p>
      <w:pPr>
        <w:ind w:left="560" w:right="60"/>
        <w:spacing w:after="0" w:line="248" w:lineRule="auto"/>
        <w:rPr>
          <w:sz w:val="20"/>
          <w:szCs w:val="20"/>
          <w:color w:val="auto"/>
        </w:rPr>
      </w:pPr>
      <w:r>
        <w:rPr>
          <w:rFonts w:ascii="Arial" w:cs="Arial" w:eastAsia="Arial" w:hAnsi="Arial"/>
          <w:sz w:val="15"/>
          <w:szCs w:val="15"/>
          <w:color w:val="auto"/>
        </w:rPr>
        <w:t>On January 30, 2026, we entered into a letter agreement with Hunt Equity Opportunities, LLC (“Hunt”) (the “Letter Agreement”) in connection with Hunt’s acquisition of a controlling voting interest in the Company. The Letter Agreement provides that, subject to the Board’s fiduciary duties under applicable law, we will include in our proxy statement for the 2026 Annual Meeting a proposal recommending that stockholders approve an amendment to the Restated Certificate of Incorporation in the form attached to the Letter Agreement (the “Charter Amendment”), which was negotiated in connection with Hunt’s acquisition of voting control. Hunt has informed the Company that it intends to vote the shares of Class B Common Stock it beneficially owns in favor of this proposal, and, as a result, approval of this proposal is expected.</w:t>
      </w:r>
    </w:p>
    <w:p>
      <w:pPr>
        <w:spacing w:after="0" w:line="3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Board believes that the Charter Amendment is desirable because it would, among other things, (i) permit stockholder action by written consent,</w:t>
      </w:r>
    </w:p>
    <w:p>
      <w:pPr>
        <w:spacing w:after="0" w:line="15" w:lineRule="exact"/>
        <w:rPr>
          <w:sz w:val="20"/>
          <w:szCs w:val="20"/>
          <w:color w:val="auto"/>
        </w:rPr>
      </w:pPr>
    </w:p>
    <w:p>
      <w:pPr>
        <w:ind w:left="560" w:firstLine="4"/>
        <w:spacing w:after="0" w:line="248" w:lineRule="auto"/>
        <w:tabs>
          <w:tab w:leader="none" w:pos="7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expand who may call special meetings of stockholders to include the Chairperson of the Board and holders of at least a majority of the voting power of the Company’s Class B Common Stock (in addition to the Board or a duly authorized committee), and (iii) permit stockholders to fill vacancies or newly created directorships in any manner permitted by Delaware law (in addition to the Board’s ability to fill vacancies).</w:t>
      </w:r>
    </w:p>
    <w:p>
      <w:pPr>
        <w:spacing w:after="0" w:line="34" w:lineRule="exact"/>
        <w:rPr>
          <w:sz w:val="20"/>
          <w:szCs w:val="20"/>
          <w:color w:val="auto"/>
        </w:rPr>
      </w:pPr>
    </w:p>
    <w:p>
      <w:pPr>
        <w:ind w:left="560" w:right="220"/>
        <w:spacing w:after="0" w:line="258" w:lineRule="auto"/>
        <w:rPr>
          <w:sz w:val="20"/>
          <w:szCs w:val="20"/>
          <w:color w:val="auto"/>
        </w:rPr>
      </w:pPr>
      <w:r>
        <w:rPr>
          <w:rFonts w:ascii="Arial" w:cs="Arial" w:eastAsia="Arial" w:hAnsi="Arial"/>
          <w:sz w:val="15"/>
          <w:szCs w:val="15"/>
          <w:color w:val="auto"/>
        </w:rPr>
        <w:t>The Board also considered that the Charter Amendment would retain the Company’s dual-class voting structure under which, except where voting is required by Delaware law, holders of Class A Common Stock generally do not have voting rights and holders of Class B Common Stock are entitled to one vote per share (including for actions by written consent if this proposal is approved).</w:t>
      </w:r>
    </w:p>
    <w:p>
      <w:pPr>
        <w:spacing w:after="0" w:line="26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Effects of the Charter Amendment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If this proposal is approved and the Charter Amendment becomes effective:</w:t>
      </w:r>
    </w:p>
    <w:p>
      <w:pPr>
        <w:spacing w:after="0" w:line="76" w:lineRule="exact"/>
        <w:rPr>
          <w:sz w:val="20"/>
          <w:szCs w:val="20"/>
          <w:color w:val="auto"/>
        </w:rPr>
      </w:pPr>
    </w:p>
    <w:p>
      <w:pPr>
        <w:ind w:left="560"/>
        <w:spacing w:after="0" w:line="250" w:lineRule="auto"/>
        <w:rPr>
          <w:sz w:val="20"/>
          <w:szCs w:val="20"/>
          <w:color w:val="auto"/>
        </w:rPr>
      </w:pPr>
      <w:r>
        <w:rPr>
          <w:rFonts w:ascii="Arial" w:cs="Arial" w:eastAsia="Arial" w:hAnsi="Arial"/>
          <w:sz w:val="15"/>
          <w:szCs w:val="15"/>
          <w:i w:val="1"/>
          <w:iCs w:val="1"/>
          <w:color w:val="auto"/>
        </w:rPr>
        <w:t>Stockholder action by written consent would be permitted</w:t>
      </w:r>
      <w:r>
        <w:rPr>
          <w:rFonts w:ascii="Arial" w:cs="Arial" w:eastAsia="Arial" w:hAnsi="Arial"/>
          <w:sz w:val="15"/>
          <w:szCs w:val="15"/>
          <w:color w:val="auto"/>
        </w:rPr>
        <w:t>. The Charter Amendment would allow any action required or permitted to be taken at an annual</w:t>
      </w:r>
      <w:r>
        <w:rPr>
          <w:rFonts w:ascii="Arial" w:cs="Arial" w:eastAsia="Arial" w:hAnsi="Arial"/>
          <w:sz w:val="15"/>
          <w:szCs w:val="15"/>
          <w:i w:val="1"/>
          <w:iCs w:val="1"/>
          <w:color w:val="auto"/>
        </w:rPr>
        <w:t xml:space="preserve"> </w:t>
      </w:r>
      <w:r>
        <w:rPr>
          <w:rFonts w:ascii="Arial" w:cs="Arial" w:eastAsia="Arial" w:hAnsi="Arial"/>
          <w:sz w:val="15"/>
          <w:szCs w:val="15"/>
          <w:color w:val="auto"/>
        </w:rPr>
        <w:t>or special meeting of stockholders to be taken without a meeting, without prior notice and without a vote, if written consents are signed by the holders of outstanding stock having not less than the minimum number of votes that would be necessary to authorize the action at a meeting at which all shares entitled to vote were present and voted, and such consents are delivered to the Company in the manner required by the Delaware General Corporation Law.</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Board believes this change would provide additional flexibility in circumstances where stockholders wish to act without convening a meeting.</w:t>
      </w:r>
    </w:p>
    <w:p>
      <w:pPr>
        <w:spacing w:after="0" w:line="63" w:lineRule="exact"/>
        <w:rPr>
          <w:sz w:val="20"/>
          <w:szCs w:val="20"/>
          <w:color w:val="auto"/>
        </w:rPr>
      </w:pPr>
    </w:p>
    <w:p>
      <w:pPr>
        <w:ind w:left="560" w:right="120"/>
        <w:spacing w:after="0" w:line="305" w:lineRule="auto"/>
        <w:rPr>
          <w:sz w:val="20"/>
          <w:szCs w:val="20"/>
          <w:color w:val="auto"/>
        </w:rPr>
      </w:pPr>
      <w:r>
        <w:rPr>
          <w:rFonts w:ascii="Arial" w:cs="Arial" w:eastAsia="Arial" w:hAnsi="Arial"/>
          <w:sz w:val="14"/>
          <w:szCs w:val="14"/>
          <w:i w:val="1"/>
          <w:iCs w:val="1"/>
          <w:color w:val="auto"/>
        </w:rPr>
        <w:t>Rights to call special meetings would be expanded</w:t>
      </w:r>
      <w:r>
        <w:rPr>
          <w:rFonts w:ascii="Arial" w:cs="Arial" w:eastAsia="Arial" w:hAnsi="Arial"/>
          <w:sz w:val="14"/>
          <w:szCs w:val="14"/>
          <w:color w:val="auto"/>
        </w:rPr>
        <w:t>. The Charter Amendment would provide that special meetings may be called only by (i) holders of at</w:t>
      </w:r>
      <w:r>
        <w:rPr>
          <w:rFonts w:ascii="Arial" w:cs="Arial" w:eastAsia="Arial" w:hAnsi="Arial"/>
          <w:sz w:val="14"/>
          <w:szCs w:val="14"/>
          <w:i w:val="1"/>
          <w:iCs w:val="1"/>
          <w:color w:val="auto"/>
        </w:rPr>
        <w:t xml:space="preserve"> </w:t>
      </w:r>
      <w:r>
        <w:rPr>
          <w:rFonts w:ascii="Arial" w:cs="Arial" w:eastAsia="Arial" w:hAnsi="Arial"/>
          <w:sz w:val="14"/>
          <w:szCs w:val="14"/>
          <w:color w:val="auto"/>
        </w:rPr>
        <w:t>least a majority of the voting power of the Class B Common Stock, (ii) the Board or a duly authorized committee, or (iii) the Chairperson of the Board.</w:t>
      </w:r>
    </w:p>
    <w:p>
      <w:pPr>
        <w:ind w:left="560" w:right="260"/>
        <w:spacing w:after="0" w:line="258" w:lineRule="auto"/>
        <w:rPr>
          <w:sz w:val="20"/>
          <w:szCs w:val="20"/>
          <w:color w:val="auto"/>
        </w:rPr>
      </w:pPr>
      <w:r>
        <w:rPr>
          <w:rFonts w:ascii="Arial" w:cs="Arial" w:eastAsia="Arial" w:hAnsi="Arial"/>
          <w:sz w:val="15"/>
          <w:szCs w:val="15"/>
          <w:color w:val="auto"/>
        </w:rPr>
        <w:t>The Board believes these changes would provide additional flexibility to convene a stockholder meeting when appropriate outside the annual meeting cycle. Because holders of a majority of the voting power of the Class B Common Stock may call special meetings, this provision may enable the controlling stockholder to cause a special meeting to be called when it determines it is appropriate.</w:t>
      </w:r>
    </w:p>
    <w:p>
      <w:pPr>
        <w:spacing w:after="0" w:line="39" w:lineRule="exact"/>
        <w:rPr>
          <w:sz w:val="20"/>
          <w:szCs w:val="20"/>
          <w:color w:val="auto"/>
        </w:rPr>
      </w:pPr>
    </w:p>
    <w:p>
      <w:pPr>
        <w:ind w:left="560" w:right="120"/>
        <w:spacing w:after="0" w:line="252" w:lineRule="auto"/>
        <w:rPr>
          <w:sz w:val="20"/>
          <w:szCs w:val="20"/>
          <w:color w:val="auto"/>
        </w:rPr>
      </w:pPr>
      <w:r>
        <w:rPr>
          <w:rFonts w:ascii="Arial" w:cs="Arial" w:eastAsia="Arial" w:hAnsi="Arial"/>
          <w:sz w:val="15"/>
          <w:szCs w:val="15"/>
          <w:i w:val="1"/>
          <w:iCs w:val="1"/>
          <w:color w:val="auto"/>
        </w:rPr>
        <w:t>Vacancies and newly created directorships could be filled by stockholders as permitted by law</w:t>
      </w:r>
      <w:r>
        <w:rPr>
          <w:rFonts w:ascii="Arial" w:cs="Arial" w:eastAsia="Arial" w:hAnsi="Arial"/>
          <w:sz w:val="15"/>
          <w:szCs w:val="15"/>
          <w:color w:val="auto"/>
        </w:rPr>
        <w:t>. The Charter Amendment would provide that vacancies</w:t>
      </w:r>
      <w:r>
        <w:rPr>
          <w:rFonts w:ascii="Arial" w:cs="Arial" w:eastAsia="Arial" w:hAnsi="Arial"/>
          <w:sz w:val="15"/>
          <w:szCs w:val="15"/>
          <w:i w:val="1"/>
          <w:iCs w:val="1"/>
          <w:color w:val="auto"/>
        </w:rPr>
        <w:t xml:space="preserve"> </w:t>
      </w:r>
      <w:r>
        <w:rPr>
          <w:rFonts w:ascii="Arial" w:cs="Arial" w:eastAsia="Arial" w:hAnsi="Arial"/>
          <w:sz w:val="15"/>
          <w:szCs w:val="15"/>
          <w:color w:val="auto"/>
        </w:rPr>
        <w:t>and newly created directorships may be filled by a majority of the directors then in office (even if less than a quorum), by a sole remaining director, or by stockholders in any manner permitted by applicable law, with directors so chosen holding office until the next annual meeting and until their successors are duly elected and qualified.</w:t>
      </w:r>
    </w:p>
    <w:p>
      <w:pPr>
        <w:spacing w:after="0" w:line="32" w:lineRule="exact"/>
        <w:rPr>
          <w:sz w:val="20"/>
          <w:szCs w:val="20"/>
          <w:color w:val="auto"/>
        </w:rPr>
      </w:pPr>
    </w:p>
    <w:p>
      <w:pPr>
        <w:ind w:left="560" w:right="320"/>
        <w:spacing w:after="0" w:line="275" w:lineRule="auto"/>
        <w:rPr>
          <w:sz w:val="20"/>
          <w:szCs w:val="20"/>
          <w:color w:val="auto"/>
        </w:rPr>
      </w:pPr>
      <w:r>
        <w:rPr>
          <w:rFonts w:ascii="Arial" w:cs="Arial" w:eastAsia="Arial" w:hAnsi="Arial"/>
          <w:sz w:val="15"/>
          <w:szCs w:val="15"/>
          <w:color w:val="auto"/>
        </w:rPr>
        <w:t>The Board considered that this flexibility could permit stockholders with sufficient voting power to influence the timing and outcome of the process for filling vacancies or newly created directorships, subject to applicable law.</w:t>
      </w:r>
    </w:p>
    <w:p>
      <w:pPr>
        <w:spacing w:after="0" w:line="75"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8097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40"/>
          </w:cols>
          <w:pgMar w:left="320" w:top="454" w:right="9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right="200"/>
        <w:spacing w:after="0" w:line="293" w:lineRule="auto"/>
        <w:rPr>
          <w:sz w:val="20"/>
          <w:szCs w:val="20"/>
          <w:color w:val="auto"/>
        </w:rPr>
      </w:pPr>
      <w:r>
        <w:rPr>
          <w:rFonts w:ascii="Arial" w:cs="Arial" w:eastAsia="Arial" w:hAnsi="Arial"/>
          <w:sz w:val="12"/>
          <w:szCs w:val="12"/>
          <w:b w:val="1"/>
          <w:bCs w:val="1"/>
          <w:color w:val="auto"/>
        </w:rPr>
        <w:t>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w:t>
      </w:r>
    </w:p>
    <w:p>
      <w:pPr>
        <w:spacing w:after="0" w:line="73" w:lineRule="exact"/>
        <w:rPr>
          <w:sz w:val="20"/>
          <w:szCs w:val="20"/>
          <w:color w:val="auto"/>
        </w:rPr>
      </w:pPr>
    </w:p>
    <w:p>
      <w:pPr>
        <w:ind w:left="560" w:right="180"/>
        <w:spacing w:after="0" w:line="258" w:lineRule="auto"/>
        <w:rPr>
          <w:sz w:val="20"/>
          <w:szCs w:val="20"/>
          <w:color w:val="auto"/>
        </w:rPr>
      </w:pPr>
      <w:r>
        <w:rPr>
          <w:rFonts w:ascii="Arial" w:cs="Arial" w:eastAsia="Arial" w:hAnsi="Arial"/>
          <w:sz w:val="15"/>
          <w:szCs w:val="15"/>
          <w:color w:val="auto"/>
        </w:rPr>
        <w:t>The Board has considered the effects of the Charter Amendment, including the additional flexibility provided by permitting action by written consent and expanding rights to call special meetings, as well as the governance updates described above, and has determined that approval of the Charter Amendment is advisable and in the best interests of the Company and its stockholders.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Board requests stockholders of the Company approve the following resolution:</w:t>
      </w:r>
    </w:p>
    <w:p>
      <w:pPr>
        <w:spacing w:after="0" w:line="63"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RESOLVED, that the Company’s stockholders approve an amendment to the Company’s Restated Certificate of Incorporation to revise Article FOURTH as follows:</w:t>
      </w:r>
    </w:p>
    <w:p>
      <w:pPr>
        <w:spacing w:after="0" w:line="26" w:lineRule="exact"/>
        <w:rPr>
          <w:sz w:val="20"/>
          <w:szCs w:val="20"/>
          <w:color w:val="auto"/>
        </w:rPr>
      </w:pPr>
    </w:p>
    <w:p>
      <w:pPr>
        <w:ind w:left="960" w:right="20"/>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Rights</w:t>
      </w:r>
      <w:r>
        <w:rPr>
          <w:rFonts w:ascii="Arial" w:cs="Arial" w:eastAsia="Arial" w:hAnsi="Arial"/>
          <w:sz w:val="15"/>
          <w:szCs w:val="15"/>
          <w:color w:val="auto"/>
        </w:rPr>
        <w:t>. Except on matters where their vote is required by Delaware law, the holders of the Class A Common Stock shall not be entitled to vote on any matter coming before the stockholders. The holders of the Class B Common Stock shall be entitled to one vote per share held as of the applicable record date for each meeting of stockholders (and actions by consent in lieu of meetings).”</w:t>
      </w:r>
    </w:p>
    <w:p>
      <w:pPr>
        <w:spacing w:after="0" w:line="27" w:lineRule="exact"/>
        <w:rPr>
          <w:sz w:val="20"/>
          <w:szCs w:val="20"/>
          <w:color w:val="auto"/>
        </w:rPr>
      </w:pPr>
    </w:p>
    <w:p>
      <w:pPr>
        <w:ind w:left="560" w:right="120"/>
        <w:spacing w:after="0" w:line="275" w:lineRule="auto"/>
        <w:rPr>
          <w:sz w:val="20"/>
          <w:szCs w:val="20"/>
          <w:color w:val="auto"/>
        </w:rPr>
      </w:pPr>
      <w:r>
        <w:rPr>
          <w:rFonts w:ascii="Arial" w:cs="Arial" w:eastAsia="Arial" w:hAnsi="Arial"/>
          <w:sz w:val="15"/>
          <w:szCs w:val="15"/>
          <w:color w:val="auto"/>
        </w:rPr>
        <w:t>RESOLVED, that the Company’s stockholders approve an amendment to the Company’s Restated Certificate of Incorporation to revise Article FIFTH as follows:</w:t>
      </w:r>
    </w:p>
    <w:p>
      <w:pPr>
        <w:spacing w:after="0" w:line="14" w:lineRule="exact"/>
        <w:rPr>
          <w:sz w:val="20"/>
          <w:szCs w:val="20"/>
          <w:color w:val="auto"/>
        </w:rPr>
      </w:pPr>
    </w:p>
    <w:p>
      <w:pPr>
        <w:ind w:left="960" w:right="10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FIFTH</w:t>
      </w:r>
      <w:r>
        <w:rPr>
          <w:rFonts w:ascii="Arial" w:cs="Arial" w:eastAsia="Arial" w:hAnsi="Arial"/>
          <w:sz w:val="15"/>
          <w:szCs w:val="15"/>
          <w:color w:val="auto"/>
        </w:rPr>
        <w:t>: The business, property and affairs of this corporation shall be managed by a Board of Directors consisting of no fewer than five (5) and no more than eleven (11) members, the exact number to be determined from time to time by resolution of the Board of Directors. At each annual meeting of the stockholders of the corporation, all director nominees shall stand for election to terms expiring at the next succeeding annual meeting, with each director to hold office until his successor is duly elected and qualified, subject, however, to prior death, resignation, retirement, disqualification or removal from office. The Board of Directors may exercise all such powers of the corporation and do all such lawful acts and things as are not by statute or by the certificate of incorporation or by the bylaws of the corporation (the “Bylaws”) directed or required to be exercised or done by the stockholders.</w:t>
      </w:r>
    </w:p>
    <w:p>
      <w:pPr>
        <w:spacing w:after="0" w:line="47" w:lineRule="exact"/>
        <w:rPr>
          <w:sz w:val="20"/>
          <w:szCs w:val="20"/>
          <w:color w:val="auto"/>
        </w:rPr>
      </w:pPr>
    </w:p>
    <w:p>
      <w:pPr>
        <w:ind w:left="960"/>
        <w:spacing w:after="0" w:line="248" w:lineRule="auto"/>
        <w:rPr>
          <w:sz w:val="20"/>
          <w:szCs w:val="20"/>
          <w:color w:val="auto"/>
        </w:rPr>
      </w:pPr>
      <w:r>
        <w:rPr>
          <w:rFonts w:ascii="Arial" w:cs="Arial" w:eastAsia="Arial" w:hAnsi="Arial"/>
          <w:sz w:val="15"/>
          <w:szCs w:val="15"/>
          <w:color w:val="auto"/>
        </w:rPr>
        <w:t>Newly created directorships resulting from any increase in the authorized number of directors and vacancies in the Board of Directors from death, resignation, retirement, disqualification, removal from office or other reason, may be filled by a majority vote of the directors then in office, although less than a quorum, or by a sole remaining director, or by the stockholders in any manner permitted by applicable law, and directors so chosen shall hold office for a term expiring at the next annual meeting of the stockholders of the corporation and until their successors are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34" w:lineRule="exact"/>
        <w:rPr>
          <w:sz w:val="20"/>
          <w:szCs w:val="20"/>
          <w:color w:val="auto"/>
        </w:rPr>
      </w:pPr>
    </w:p>
    <w:p>
      <w:pPr>
        <w:jc w:val="both"/>
        <w:ind w:left="960" w:right="20"/>
        <w:spacing w:after="0" w:line="258" w:lineRule="auto"/>
        <w:rPr>
          <w:sz w:val="20"/>
          <w:szCs w:val="20"/>
          <w:color w:val="auto"/>
        </w:rPr>
      </w:pPr>
      <w:r>
        <w:rPr>
          <w:rFonts w:ascii="Arial" w:cs="Arial" w:eastAsia="Arial" w:hAnsi="Arial"/>
          <w:sz w:val="15"/>
          <w:szCs w:val="15"/>
          <w:color w:val="auto"/>
        </w:rPr>
        <w:t>Any director, or the entire Board of Directors, may be removed at any time, with or without cause. The affirmative vote or consent of the holders of a majority of the voting power of all of the stock of this corporation entitled to vote in elections of directors shall be required to remove a director from office. The stockholders of the corporation are expressly prohibited from cumulating their votes in any election of directors of the corporation.”</w:t>
      </w:r>
    </w:p>
    <w:p>
      <w:pPr>
        <w:spacing w:after="0" w:line="27" w:lineRule="exact"/>
        <w:rPr>
          <w:sz w:val="20"/>
          <w:szCs w:val="20"/>
          <w:color w:val="auto"/>
        </w:rPr>
      </w:pPr>
    </w:p>
    <w:p>
      <w:pPr>
        <w:ind w:left="560" w:right="40"/>
        <w:spacing w:after="0" w:line="275" w:lineRule="auto"/>
        <w:rPr>
          <w:sz w:val="20"/>
          <w:szCs w:val="20"/>
          <w:color w:val="auto"/>
        </w:rPr>
      </w:pPr>
      <w:r>
        <w:rPr>
          <w:rFonts w:ascii="Arial" w:cs="Arial" w:eastAsia="Arial" w:hAnsi="Arial"/>
          <w:sz w:val="15"/>
          <w:szCs w:val="15"/>
          <w:color w:val="auto"/>
        </w:rPr>
        <w:t>RESOLVED, that the Company’s stockholders approve an amendment to the Company’s Restated Certificate of Incorporation to revise Article SEVENTH as follows:</w:t>
      </w:r>
    </w:p>
    <w:p>
      <w:pPr>
        <w:spacing w:after="0" w:line="14" w:lineRule="exact"/>
        <w:rPr>
          <w:sz w:val="20"/>
          <w:szCs w:val="20"/>
          <w:color w:val="auto"/>
        </w:rPr>
      </w:pPr>
    </w:p>
    <w:p>
      <w:pPr>
        <w:jc w:val="both"/>
        <w:ind w:left="960" w:right="80"/>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SEVENTH</w:t>
      </w:r>
      <w:r>
        <w:rPr>
          <w:rFonts w:ascii="Arial" w:cs="Arial" w:eastAsia="Arial" w:hAnsi="Arial"/>
          <w:sz w:val="14"/>
          <w:szCs w:val="14"/>
          <w:color w:val="auto"/>
        </w:rPr>
        <w:t>: Bylaws of the corporation may be adopted, amended, or repealed by the affirmative vote of a majority of the total number of directors or by the affirmative vote or consent of the holders of a majority of the voting power of all of the stock of this corporation entitled to vote in elections of directors. The Bylaws may contain any provision for the regulation and management of the affairs of the corporation and the rights or powers of its stockholders, directors, officers, or employees not inconsistent with the laws of the State of Delaware or this Certificate of Incorporation.”</w:t>
      </w:r>
    </w:p>
    <w:p>
      <w:pPr>
        <w:spacing w:after="0" w:line="28" w:lineRule="exact"/>
        <w:rPr>
          <w:sz w:val="20"/>
          <w:szCs w:val="20"/>
          <w:color w:val="auto"/>
        </w:rPr>
      </w:pPr>
    </w:p>
    <w:p>
      <w:pPr>
        <w:ind w:left="560" w:right="20"/>
        <w:spacing w:after="0" w:line="275" w:lineRule="auto"/>
        <w:rPr>
          <w:sz w:val="20"/>
          <w:szCs w:val="20"/>
          <w:color w:val="auto"/>
        </w:rPr>
      </w:pPr>
      <w:r>
        <w:rPr>
          <w:rFonts w:ascii="Arial" w:cs="Arial" w:eastAsia="Arial" w:hAnsi="Arial"/>
          <w:sz w:val="15"/>
          <w:szCs w:val="15"/>
          <w:color w:val="auto"/>
        </w:rPr>
        <w:t>RESOLVED, that the company’s stockholders approve an amendment to the Company’s Restated Certificate of Incorporation to revise Article EIGHTH as follows:</w:t>
      </w:r>
    </w:p>
    <w:p>
      <w:pPr>
        <w:spacing w:after="0" w:line="14" w:lineRule="exact"/>
        <w:rPr>
          <w:sz w:val="20"/>
          <w:szCs w:val="20"/>
          <w:color w:val="auto"/>
        </w:rPr>
      </w:pPr>
    </w:p>
    <w:p>
      <w:pPr>
        <w:ind w:left="960" w:right="80"/>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EIGHTH</w:t>
      </w:r>
      <w:r>
        <w:rPr>
          <w:rFonts w:ascii="Arial" w:cs="Arial" w:eastAsia="Arial" w:hAnsi="Arial"/>
          <w:sz w:val="15"/>
          <w:szCs w:val="15"/>
          <w:color w:val="auto"/>
        </w:rPr>
        <w:t>: Any action required to be taken at any annual or special meeting of the stockholders of this corporation, or any action which may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this corporation in the manner required by the General Corporation Law of the State of Delaware.”</w:t>
      </w:r>
    </w:p>
    <w:p>
      <w:pPr>
        <w:spacing w:after="0" w:line="3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78 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ind w:left="780"/>
        <w:spacing w:after="0" w:line="293" w:lineRule="auto"/>
        <w:rPr>
          <w:sz w:val="20"/>
          <w:szCs w:val="20"/>
          <w:color w:val="auto"/>
        </w:rPr>
      </w:pPr>
      <w:r>
        <w:rPr>
          <w:rFonts w:ascii="Arial" w:cs="Arial" w:eastAsia="Arial" w:hAnsi="Arial"/>
          <w:sz w:val="12"/>
          <w:szCs w:val="12"/>
          <w:b w:val="1"/>
          <w:bCs w:val="1"/>
          <w:color w:val="auto"/>
        </w:rPr>
        <w:t>Proposal 3 – Vote for the Amendment of the Company’s Restated Certificate of Incorporation to permit stockholder action by written consent, allow the Chairperson and majority Class B holders to call special meetings, and allow stockholders to fill Board vacancies and new directorships.</w:t>
      </w:r>
    </w:p>
    <w:p>
      <w:pPr>
        <w:spacing w:after="0" w:line="73" w:lineRule="exact"/>
        <w:rPr>
          <w:sz w:val="20"/>
          <w:szCs w:val="20"/>
          <w:color w:val="auto"/>
        </w:rPr>
      </w:pPr>
    </w:p>
    <w:p>
      <w:pPr>
        <w:ind w:left="560" w:right="80"/>
        <w:spacing w:after="0" w:line="275" w:lineRule="auto"/>
        <w:rPr>
          <w:sz w:val="20"/>
          <w:szCs w:val="20"/>
          <w:color w:val="auto"/>
        </w:rPr>
      </w:pPr>
      <w:r>
        <w:rPr>
          <w:rFonts w:ascii="Arial" w:cs="Arial" w:eastAsia="Arial" w:hAnsi="Arial"/>
          <w:sz w:val="15"/>
          <w:szCs w:val="15"/>
          <w:color w:val="auto"/>
        </w:rPr>
        <w:t>RESOLVED, that the company’s stockholders approve an amendment to the Company’s Restated Certificate of Incorporation to revise Article TENTH as follows:</w:t>
      </w:r>
    </w:p>
    <w:p>
      <w:pPr>
        <w:spacing w:after="0" w:line="14" w:lineRule="exact"/>
        <w:rPr>
          <w:sz w:val="20"/>
          <w:szCs w:val="20"/>
          <w:color w:val="auto"/>
        </w:rPr>
      </w:pPr>
    </w:p>
    <w:p>
      <w:pPr>
        <w:ind w:left="960" w:right="12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TENTH</w:t>
      </w:r>
      <w:r>
        <w:rPr>
          <w:rFonts w:ascii="Arial" w:cs="Arial" w:eastAsia="Arial" w:hAnsi="Arial"/>
          <w:sz w:val="15"/>
          <w:szCs w:val="15"/>
          <w:color w:val="auto"/>
        </w:rPr>
        <w:t>: Special meetings of the stockholders may be called only by (i) holders of at least a majority of the voting power of the Class B Common Stock; (ii) the Board of Directors or by a committee of the Board of Directors which has been duly designated by the Board of Directors and whose powers and authority, as provided in a resolution of the Board of Directors or in the Bylaws, include the power to call such meetings; or (iii) the chairperson of the Board of Directors.”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Effectiveness of the Amendment</w:t>
      </w:r>
    </w:p>
    <w:p>
      <w:pPr>
        <w:spacing w:after="0" w:line="106" w:lineRule="exact"/>
        <w:rPr>
          <w:sz w:val="20"/>
          <w:szCs w:val="20"/>
          <w:color w:val="auto"/>
        </w:rPr>
      </w:pPr>
    </w:p>
    <w:p>
      <w:pPr>
        <w:ind w:left="560" w:right="60"/>
        <w:spacing w:after="0" w:line="258" w:lineRule="auto"/>
        <w:rPr>
          <w:sz w:val="20"/>
          <w:szCs w:val="20"/>
          <w:color w:val="auto"/>
        </w:rPr>
      </w:pPr>
      <w:r>
        <w:rPr>
          <w:rFonts w:ascii="Arial" w:cs="Arial" w:eastAsia="Arial" w:hAnsi="Arial"/>
          <w:sz w:val="15"/>
          <w:szCs w:val="15"/>
          <w:color w:val="auto"/>
        </w:rPr>
        <w:t>Upon the approval of this proposal by our stockholders, the Company will file the Charter Amendment with the Delaware Secretary of State. Such filing is expected to occur as soon as reasonably practicable following the Annual Meeting. If this proposal is not approved by our stockholders, the Company’s Restated Certificate will not be further amended.</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Required Vote and Board Recommendation</w:t>
      </w:r>
    </w:p>
    <w:p>
      <w:pPr>
        <w:spacing w:after="0" w:line="69" w:lineRule="exact"/>
        <w:rPr>
          <w:sz w:val="20"/>
          <w:szCs w:val="20"/>
          <w:color w:val="auto"/>
        </w:rPr>
      </w:pPr>
    </w:p>
    <w:p>
      <w:pPr>
        <w:ind w:left="560" w:right="80"/>
        <w:spacing w:after="0" w:line="248" w:lineRule="auto"/>
        <w:rPr>
          <w:sz w:val="20"/>
          <w:szCs w:val="20"/>
          <w:color w:val="auto"/>
        </w:rPr>
      </w:pPr>
      <w:r>
        <w:rPr>
          <w:rFonts w:ascii="Arial" w:cs="Arial" w:eastAsia="Arial" w:hAnsi="Arial"/>
          <w:sz w:val="15"/>
          <w:szCs w:val="15"/>
          <w:color w:val="auto"/>
        </w:rPr>
        <w:t>The affirmative vote of the holders of a majority of the outstanding shares of our Class B Common Stock entitled to vote on this proposal is required to approve this proposal. Because Hunt beneficially owns a majority of the voting power of the Class B Common Stock, Hunt has sufficient voting power to approve this proposal without the vote of any other stockholder.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 Abstentions and broker non-votes will each be counted as present for purposes of determining the presence of a quorum but will have the same effect as a vote against this proposal.</w:t>
      </w:r>
    </w:p>
    <w:p>
      <w:pPr>
        <w:spacing w:after="0" w:line="47" w:lineRule="exact"/>
        <w:rPr>
          <w:sz w:val="20"/>
          <w:szCs w:val="20"/>
          <w:color w:val="auto"/>
        </w:rPr>
      </w:pPr>
    </w:p>
    <w:p>
      <w:pPr>
        <w:ind w:left="560" w:right="80"/>
        <w:spacing w:after="0" w:line="275" w:lineRule="auto"/>
        <w:rPr>
          <w:sz w:val="20"/>
          <w:szCs w:val="20"/>
          <w:color w:val="auto"/>
        </w:rPr>
      </w:pPr>
      <w:r>
        <w:rPr>
          <w:rFonts w:ascii="Arial" w:cs="Arial" w:eastAsia="Arial" w:hAnsi="Arial"/>
          <w:sz w:val="15"/>
          <w:szCs w:val="15"/>
          <w:color w:val="auto"/>
        </w:rPr>
        <w:t>The Board believes that the proposed amendment to our Restated Certificate is in the best interests of the Company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189865</wp:posOffset>
            </wp:positionV>
            <wp:extent cx="6457950" cy="4724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5795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377825" cy="17335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77825" cy="173355"/>
                    </a:xfrm>
                    <a:prstGeom prst="rect">
                      <a:avLst/>
                    </a:prstGeom>
                    <a:noFill/>
                    <a:ln>
                      <a:noFill/>
                    </a:ln>
                  </pic:spPr>
                </pic:pic>
              </a:graphicData>
            </a:graphic>
          </wp:inline>
        </w:drawing>
      </w:r>
      <w:r>
        <w:rPr>
          <w:rFonts w:ascii="Arial" w:cs="Arial" w:eastAsia="Arial" w:hAnsi="Arial"/>
          <w:sz w:val="20"/>
          <w:szCs w:val="20"/>
          <w:color w:val="auto"/>
        </w:rPr>
        <w:t xml:space="preserve">  </w:t>
      </w:r>
      <w:r>
        <w:rPr>
          <w:sz w:val="20"/>
          <w:szCs w:val="20"/>
          <w:color w:val="auto"/>
        </w:rPr>
        <w:tab/>
      </w:r>
      <w:r>
        <w:rPr>
          <w:rFonts w:ascii="Arial" w:cs="Arial" w:eastAsia="Arial" w:hAnsi="Arial"/>
          <w:sz w:val="29"/>
          <w:szCs w:val="29"/>
          <w:color w:val="auto"/>
          <w:vertAlign w:val="superscript"/>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-194945</wp:posOffset>
            </wp:positionV>
            <wp:extent cx="7620" cy="2127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right="1440"/>
        <w:spacing w:after="0" w:line="277" w:lineRule="auto"/>
        <w:rPr>
          <w:sz w:val="20"/>
          <w:szCs w:val="20"/>
          <w:color w:val="auto"/>
        </w:rPr>
      </w:pPr>
      <w:r>
        <w:rPr>
          <w:rFonts w:ascii="Arial" w:cs="Arial" w:eastAsia="Arial" w:hAnsi="Arial"/>
          <w:sz w:val="29"/>
          <w:szCs w:val="29"/>
          <w:b w:val="1"/>
          <w:bCs w:val="1"/>
          <w:color w:val="auto"/>
        </w:rPr>
        <w:t>Proposal 4 – Ratification of the Appointment of PricewaterhouseCoopers LLP as the Company’s Independent Registered Public Accounting Firm for the 2026 Fiscal Year</w:t>
      </w:r>
    </w:p>
    <w:p>
      <w:pPr>
        <w:spacing w:after="0" w:line="199" w:lineRule="exact"/>
        <w:rPr>
          <w:sz w:val="20"/>
          <w:szCs w:val="20"/>
          <w:color w:val="auto"/>
        </w:rPr>
      </w:pPr>
    </w:p>
    <w:p>
      <w:pPr>
        <w:ind w:left="560" w:right="80"/>
        <w:spacing w:after="0" w:line="250" w:lineRule="auto"/>
        <w:rPr>
          <w:sz w:val="20"/>
          <w:szCs w:val="20"/>
          <w:color w:val="auto"/>
        </w:rPr>
      </w:pPr>
      <w:r>
        <w:rPr>
          <w:rFonts w:ascii="Arial" w:cs="Arial" w:eastAsia="Arial" w:hAnsi="Arial"/>
          <w:sz w:val="15"/>
          <w:szCs w:val="15"/>
          <w:color w:val="auto"/>
        </w:rPr>
        <w:t>On an annual basis, the Audit Committee approves and appoints the independent registered public accounting firm. During its February 10, 2026, meeting, PricewaterhouseCoopers LLP (“PwC”) was appointed to audit the consolidated financial statements of the Company for the year ending January 3, 2027. This firm has served as the Company’s independent registered public accounting firm since 1960 and is considered to be well-qualified. The reappointment process for the independent registered public accounting firm includes an annual assessment that takes into consideration, but is not limited to, a review of the following:</w:t>
      </w:r>
    </w:p>
    <w:p>
      <w:pPr>
        <w:spacing w:after="0" w:line="168" w:lineRule="exact"/>
        <w:rPr>
          <w:sz w:val="20"/>
          <w:szCs w:val="20"/>
          <w:color w:val="auto"/>
        </w:rPr>
      </w:pPr>
    </w:p>
    <w:p>
      <w:pPr>
        <w:ind w:left="840" w:hanging="175"/>
        <w:spacing w:after="0"/>
        <w:tabs>
          <w:tab w:leader="none" w:pos="840" w:val="left"/>
        </w:tabs>
        <w:numPr>
          <w:ilvl w:val="1"/>
          <w:numId w:val="105"/>
        </w:numPr>
        <w:rPr>
          <w:rFonts w:ascii="Arial" w:cs="Arial" w:eastAsia="Arial" w:hAnsi="Arial"/>
          <w:sz w:val="15"/>
          <w:szCs w:val="15"/>
          <w:b w:val="1"/>
          <w:bCs w:val="1"/>
          <w:color w:val="00AE4F"/>
        </w:rPr>
      </w:pPr>
      <w:r>
        <w:rPr>
          <w:rFonts w:ascii="Arial" w:cs="Arial" w:eastAsia="Arial" w:hAnsi="Arial"/>
          <w:sz w:val="15"/>
          <w:szCs w:val="15"/>
          <w:b w:val="1"/>
          <w:bCs w:val="1"/>
          <w:color w:val="00AE4F"/>
        </w:rPr>
        <w:t>Quality of services and sufficiency of resources provided by the auditor</w:t>
      </w:r>
    </w:p>
    <w:p>
      <w:pPr>
        <w:spacing w:after="0" w:line="69" w:lineRule="exact"/>
        <w:rPr>
          <w:rFonts w:ascii="Arial" w:cs="Arial" w:eastAsia="Arial" w:hAnsi="Arial"/>
          <w:sz w:val="15"/>
          <w:szCs w:val="15"/>
          <w:b w:val="1"/>
          <w:bCs w:val="1"/>
          <w:color w:val="00AE4F"/>
        </w:rPr>
      </w:pPr>
    </w:p>
    <w:p>
      <w:pPr>
        <w:ind w:left="860" w:hanging="197"/>
        <w:spacing w:after="0"/>
        <w:tabs>
          <w:tab w:leader="none" w:pos="860" w:val="left"/>
        </w:tabs>
        <w:numPr>
          <w:ilvl w:val="0"/>
          <w:numId w:val="105"/>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Knowledge and skills to meet the Company’s audit requirements</w:t>
      </w:r>
    </w:p>
    <w:p>
      <w:pPr>
        <w:spacing w:after="0" w:line="65" w:lineRule="exact"/>
        <w:rPr>
          <w:rFonts w:ascii="Times New Roman" w:cs="Times New Roman" w:eastAsia="Times New Roman" w:hAnsi="Times New Roman"/>
          <w:sz w:val="23"/>
          <w:szCs w:val="23"/>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Partner rotation (every 5 years)</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Appropriate audit engagement partner</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Engagement letter compliance</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Industry experience</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Results of consultations</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Audit cost (fee negotiations included)</w:t>
      </w:r>
    </w:p>
    <w:p>
      <w:pPr>
        <w:spacing w:after="0" w:line="65"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5"/>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Long tenure and familiarity with the Company’s accounting policies</w:t>
      </w:r>
    </w:p>
    <w:p>
      <w:pPr>
        <w:spacing w:after="0" w:line="275" w:lineRule="exact"/>
        <w:rPr>
          <w:rFonts w:ascii="Times New Roman" w:cs="Times New Roman" w:eastAsia="Times New Roman" w:hAnsi="Times New Roman"/>
          <w:sz w:val="21"/>
          <w:szCs w:val="21"/>
          <w:color w:val="00AE4F"/>
          <w:vertAlign w:val="superscript"/>
        </w:rPr>
      </w:pPr>
    </w:p>
    <w:p>
      <w:pPr>
        <w:ind w:left="840" w:hanging="175"/>
        <w:spacing w:after="0"/>
        <w:tabs>
          <w:tab w:leader="none" w:pos="840" w:val="left"/>
        </w:tabs>
        <w:numPr>
          <w:ilvl w:val="1"/>
          <w:numId w:val="106"/>
        </w:numPr>
        <w:rPr>
          <w:rFonts w:ascii="Arial" w:cs="Arial" w:eastAsia="Arial" w:hAnsi="Arial"/>
          <w:sz w:val="15"/>
          <w:szCs w:val="15"/>
          <w:b w:val="1"/>
          <w:bCs w:val="1"/>
          <w:color w:val="00AE4F"/>
        </w:rPr>
      </w:pPr>
      <w:r>
        <w:rPr>
          <w:rFonts w:ascii="Arial" w:cs="Arial" w:eastAsia="Arial" w:hAnsi="Arial"/>
          <w:sz w:val="15"/>
          <w:szCs w:val="15"/>
          <w:b w:val="1"/>
          <w:bCs w:val="1"/>
          <w:color w:val="00AE4F"/>
        </w:rPr>
        <w:t>Communication and interaction during the engagements</w:t>
      </w:r>
    </w:p>
    <w:p>
      <w:pPr>
        <w:spacing w:after="0" w:line="69" w:lineRule="exact"/>
        <w:rPr>
          <w:rFonts w:ascii="Arial" w:cs="Arial" w:eastAsia="Arial" w:hAnsi="Arial"/>
          <w:sz w:val="15"/>
          <w:szCs w:val="15"/>
          <w:b w:val="1"/>
          <w:bCs w:val="1"/>
          <w:color w:val="00AE4F"/>
        </w:rPr>
      </w:pPr>
    </w:p>
    <w:p>
      <w:pPr>
        <w:ind w:left="860" w:hanging="197"/>
        <w:spacing w:after="0"/>
        <w:tabs>
          <w:tab w:leader="none" w:pos="860" w:val="left"/>
        </w:tabs>
        <w:numPr>
          <w:ilvl w:val="0"/>
          <w:numId w:val="106"/>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Professional and open dialog</w:t>
      </w:r>
    </w:p>
    <w:p>
      <w:pPr>
        <w:spacing w:after="0" w:line="102" w:lineRule="exact"/>
        <w:rPr>
          <w:rFonts w:ascii="Times New Roman" w:cs="Times New Roman" w:eastAsia="Times New Roman" w:hAnsi="Times New Roman"/>
          <w:sz w:val="23"/>
          <w:szCs w:val="23"/>
          <w:color w:val="00AE4F"/>
          <w:vertAlign w:val="superscript"/>
        </w:rPr>
      </w:pPr>
    </w:p>
    <w:p>
      <w:pPr>
        <w:ind w:left="860" w:hanging="197"/>
        <w:spacing w:after="0" w:line="181" w:lineRule="auto"/>
        <w:tabs>
          <w:tab w:leader="none" w:pos="860" w:val="left"/>
        </w:tabs>
        <w:numPr>
          <w:ilvl w:val="0"/>
          <w:numId w:val="106"/>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Accessibility</w:t>
      </w:r>
    </w:p>
    <w:p>
      <w:pPr>
        <w:spacing w:after="0" w:line="103" w:lineRule="exact"/>
        <w:rPr>
          <w:rFonts w:ascii="Times New Roman" w:cs="Times New Roman" w:eastAsia="Times New Roman" w:hAnsi="Times New Roman"/>
          <w:sz w:val="21"/>
          <w:szCs w:val="21"/>
          <w:color w:val="00AE4F"/>
          <w:vertAlign w:val="superscript"/>
        </w:rPr>
      </w:pPr>
    </w:p>
    <w:p>
      <w:pPr>
        <w:ind w:left="860" w:hanging="197"/>
        <w:spacing w:after="0" w:line="181" w:lineRule="auto"/>
        <w:tabs>
          <w:tab w:leader="none" w:pos="860" w:val="left"/>
        </w:tabs>
        <w:numPr>
          <w:ilvl w:val="0"/>
          <w:numId w:val="106"/>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Current accounting developments conversations</w:t>
      </w:r>
    </w:p>
    <w:p>
      <w:pPr>
        <w:spacing w:after="0" w:line="287" w:lineRule="exact"/>
        <w:rPr>
          <w:rFonts w:ascii="Times New Roman" w:cs="Times New Roman" w:eastAsia="Times New Roman" w:hAnsi="Times New Roman"/>
          <w:sz w:val="21"/>
          <w:szCs w:val="21"/>
          <w:color w:val="00AE4F"/>
          <w:vertAlign w:val="superscript"/>
        </w:rPr>
      </w:pPr>
    </w:p>
    <w:p>
      <w:pPr>
        <w:ind w:left="840" w:hanging="175"/>
        <w:spacing w:after="0"/>
        <w:tabs>
          <w:tab w:leader="none" w:pos="840" w:val="left"/>
        </w:tabs>
        <w:numPr>
          <w:ilvl w:val="1"/>
          <w:numId w:val="107"/>
        </w:numPr>
        <w:rPr>
          <w:rFonts w:ascii="Arial" w:cs="Arial" w:eastAsia="Arial" w:hAnsi="Arial"/>
          <w:sz w:val="15"/>
          <w:szCs w:val="15"/>
          <w:b w:val="1"/>
          <w:bCs w:val="1"/>
          <w:color w:val="00AE4F"/>
        </w:rPr>
      </w:pPr>
      <w:r>
        <w:rPr>
          <w:rFonts w:ascii="Arial" w:cs="Arial" w:eastAsia="Arial" w:hAnsi="Arial"/>
          <w:sz w:val="15"/>
          <w:szCs w:val="15"/>
          <w:b w:val="1"/>
          <w:bCs w:val="1"/>
          <w:color w:val="00AE4F"/>
        </w:rPr>
        <w:t>Independence, objectivity, and professional skepticism</w:t>
      </w:r>
    </w:p>
    <w:p>
      <w:pPr>
        <w:spacing w:after="0" w:line="69" w:lineRule="exact"/>
        <w:rPr>
          <w:rFonts w:ascii="Arial" w:cs="Arial" w:eastAsia="Arial" w:hAnsi="Arial"/>
          <w:sz w:val="15"/>
          <w:szCs w:val="15"/>
          <w:b w:val="1"/>
          <w:bCs w:val="1"/>
          <w:color w:val="00AE4F"/>
        </w:rPr>
      </w:pPr>
    </w:p>
    <w:p>
      <w:pPr>
        <w:ind w:left="860" w:hanging="197"/>
        <w:spacing w:after="0"/>
        <w:tabs>
          <w:tab w:leader="none" w:pos="860" w:val="left"/>
        </w:tabs>
        <w:numPr>
          <w:ilvl w:val="0"/>
          <w:numId w:val="107"/>
        </w:numPr>
        <w:rPr>
          <w:rFonts w:ascii="Times New Roman" w:cs="Times New Roman" w:eastAsia="Times New Roman" w:hAnsi="Times New Roman"/>
          <w:sz w:val="23"/>
          <w:szCs w:val="23"/>
          <w:color w:val="00AE4F"/>
          <w:vertAlign w:val="superscript"/>
        </w:rPr>
      </w:pPr>
      <w:r>
        <w:rPr>
          <w:rFonts w:ascii="Arial" w:cs="Arial" w:eastAsia="Arial" w:hAnsi="Arial"/>
          <w:sz w:val="15"/>
          <w:szCs w:val="15"/>
          <w:color w:val="auto"/>
        </w:rPr>
        <w:t>Assessment of audit evidence</w:t>
      </w:r>
    </w:p>
    <w:p>
      <w:pPr>
        <w:spacing w:after="0" w:line="102" w:lineRule="exact"/>
        <w:rPr>
          <w:rFonts w:ascii="Times New Roman" w:cs="Times New Roman" w:eastAsia="Times New Roman" w:hAnsi="Times New Roman"/>
          <w:sz w:val="23"/>
          <w:szCs w:val="23"/>
          <w:color w:val="00AE4F"/>
          <w:vertAlign w:val="superscript"/>
        </w:rPr>
      </w:pPr>
    </w:p>
    <w:p>
      <w:pPr>
        <w:ind w:left="860" w:hanging="197"/>
        <w:spacing w:after="0" w:line="181" w:lineRule="auto"/>
        <w:tabs>
          <w:tab w:leader="none" w:pos="860" w:val="left"/>
        </w:tabs>
        <w:numPr>
          <w:ilvl w:val="0"/>
          <w:numId w:val="107"/>
        </w:numPr>
        <w:rPr>
          <w:rFonts w:ascii="Times New Roman" w:cs="Times New Roman" w:eastAsia="Times New Roman" w:hAnsi="Times New Roman"/>
          <w:sz w:val="21"/>
          <w:szCs w:val="21"/>
          <w:color w:val="00AE4F"/>
          <w:vertAlign w:val="superscript"/>
        </w:rPr>
      </w:pPr>
      <w:r>
        <w:rPr>
          <w:rFonts w:ascii="Arial" w:cs="Arial" w:eastAsia="Arial" w:hAnsi="Arial"/>
          <w:sz w:val="14"/>
          <w:szCs w:val="14"/>
          <w:color w:val="auto"/>
        </w:rPr>
        <w:t>Internal Audit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-2794000</wp:posOffset>
            </wp:positionV>
            <wp:extent cx="642683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-1494155</wp:posOffset>
            </wp:positionV>
            <wp:extent cx="642683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-1187450</wp:posOffset>
            </wp:positionV>
            <wp:extent cx="642683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-628015</wp:posOffset>
            </wp:positionV>
            <wp:extent cx="642683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-328930</wp:posOffset>
            </wp:positionV>
            <wp:extent cx="642683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26835" cy="762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48895</wp:posOffset>
            </wp:positionV>
            <wp:extent cx="642683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26835" cy="7620"/>
                    </a:xfrm>
                    <a:prstGeom prst="rect">
                      <a:avLst/>
                    </a:prstGeom>
                    <a:noFill/>
                  </pic:spPr>
                </pic:pic>
              </a:graphicData>
            </a:graphic>
          </wp:anchor>
        </w:drawing>
      </w:r>
    </w:p>
    <w:p>
      <w:pPr>
        <w:spacing w:after="0" w:line="255" w:lineRule="exact"/>
        <w:rPr>
          <w:sz w:val="20"/>
          <w:szCs w:val="20"/>
          <w:color w:val="auto"/>
        </w:rPr>
      </w:pPr>
    </w:p>
    <w:p>
      <w:pPr>
        <w:ind w:left="560" w:right="300"/>
        <w:spacing w:after="0" w:line="275" w:lineRule="auto"/>
        <w:rPr>
          <w:sz w:val="20"/>
          <w:szCs w:val="20"/>
          <w:color w:val="auto"/>
        </w:rPr>
      </w:pPr>
      <w:r>
        <w:rPr>
          <w:rFonts w:ascii="Arial" w:cs="Arial" w:eastAsia="Arial" w:hAnsi="Arial"/>
          <w:sz w:val="15"/>
          <w:szCs w:val="15"/>
          <w:color w:val="auto"/>
        </w:rPr>
        <w:t>The Board of Directors seeks ratification of the appointment of PwC. The representatives of the firm are expected to be present at the Annual Meeting and will be available to respond to all appropriate questions.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Audit and Non-Audit Fees</w:t>
      </w:r>
    </w:p>
    <w:p>
      <w:pPr>
        <w:spacing w:after="0" w:line="81" w:lineRule="exact"/>
        <w:rPr>
          <w:sz w:val="20"/>
          <w:szCs w:val="20"/>
          <w:color w:val="auto"/>
        </w:rPr>
      </w:pPr>
    </w:p>
    <w:p>
      <w:pPr>
        <w:jc w:val="both"/>
        <w:ind w:left="560" w:right="320"/>
        <w:spacing w:after="0" w:line="252" w:lineRule="auto"/>
        <w:rPr>
          <w:sz w:val="20"/>
          <w:szCs w:val="20"/>
          <w:color w:val="auto"/>
        </w:rPr>
      </w:pPr>
      <w:r>
        <w:rPr>
          <w:rFonts w:ascii="Arial" w:cs="Arial" w:eastAsia="Arial" w:hAnsi="Arial"/>
          <w:sz w:val="15"/>
          <w:szCs w:val="15"/>
          <w:color w:val="auto"/>
        </w:rPr>
        <w:t xml:space="preserve">The Audit Committee is responsible for the compensation (including negotiations) of the independent registered public accounting firm and requires pre-approval of all audit and non-audit services prior to engagement by the Company. In conjunction with the pre-approval, the Committee considers whether non-audit services are consistent with the rules and regulations of the SEC on auditor independence. The authority of the Audit Committee is detailed in its charter, which is posted on the Company’s website at </w:t>
      </w:r>
      <w:r>
        <w:rPr>
          <w:rFonts w:ascii="Arial" w:cs="Arial" w:eastAsia="Arial" w:hAnsi="Arial"/>
          <w:sz w:val="15"/>
          <w:szCs w:val="15"/>
          <w:i w:val="1"/>
          <w:iCs w:val="1"/>
          <w:color w:val="auto"/>
        </w:rPr>
        <w:t>kellyservices.com</w:t>
      </w:r>
      <w:r>
        <w:rPr>
          <w:rFonts w:ascii="Arial" w:cs="Arial" w:eastAsia="Arial" w:hAnsi="Arial"/>
          <w:sz w:val="15"/>
          <w:szCs w:val="15"/>
          <w:color w:val="auto"/>
        </w:rPr>
        <w: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table below displays the fees incurred from the audit and non-audit services provided by PwC.</w:t>
      </w:r>
    </w:p>
    <w:p>
      <w:pPr>
        <w:spacing w:after="0" w:line="93"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49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00AE4F"/>
              </w:rPr>
              <w:t>2024 ($)</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00AE4F"/>
              </w:rPr>
              <w:t>2025 ($)</w:t>
            </w:r>
          </w:p>
        </w:tc>
      </w:tr>
      <w:tr>
        <w:trPr>
          <w:trHeight w:val="209"/>
        </w:trPr>
        <w:tc>
          <w:tcPr>
            <w:tcW w:w="4900" w:type="dxa"/>
            <w:vAlign w:val="bottom"/>
          </w:tcPr>
          <w:p>
            <w:pPr>
              <w:ind w:left="60"/>
              <w:spacing w:after="0"/>
              <w:rPr>
                <w:sz w:val="20"/>
                <w:szCs w:val="20"/>
                <w:color w:val="auto"/>
              </w:rPr>
            </w:pPr>
            <w:r>
              <w:rPr>
                <w:rFonts w:ascii="Arial" w:cs="Arial" w:eastAsia="Arial" w:hAnsi="Arial"/>
                <w:sz w:val="13"/>
                <w:szCs w:val="13"/>
                <w:color w:val="auto"/>
              </w:rPr>
              <w:t>Audit Fees</w:t>
            </w:r>
          </w:p>
        </w:tc>
        <w:tc>
          <w:tcPr>
            <w:tcW w:w="4400" w:type="dxa"/>
            <w:vAlign w:val="bottom"/>
          </w:tcPr>
          <w:p>
            <w:pPr>
              <w:jc w:val="right"/>
              <w:ind w:right="34"/>
              <w:spacing w:after="0"/>
              <w:rPr>
                <w:sz w:val="20"/>
                <w:szCs w:val="20"/>
                <w:color w:val="auto"/>
              </w:rPr>
            </w:pPr>
            <w:r>
              <w:rPr>
                <w:rFonts w:ascii="Arial" w:cs="Arial" w:eastAsia="Arial" w:hAnsi="Arial"/>
                <w:sz w:val="13"/>
                <w:szCs w:val="13"/>
                <w:color w:val="auto"/>
              </w:rPr>
              <w:t>4,345,195</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4,105,447</w:t>
            </w:r>
          </w:p>
        </w:tc>
      </w:tr>
      <w:tr>
        <w:trPr>
          <w:trHeight w:val="45"/>
        </w:trPr>
        <w:tc>
          <w:tcPr>
            <w:tcW w:w="4900" w:type="dxa"/>
            <w:vAlign w:val="bottom"/>
            <w:tcBorders>
              <w:bottom w:val="single" w:sz="8" w:color="7F7F7F"/>
            </w:tcBorders>
          </w:tcPr>
          <w:p>
            <w:pPr>
              <w:spacing w:after="0"/>
              <w:rPr>
                <w:sz w:val="3"/>
                <w:szCs w:val="3"/>
                <w:color w:val="auto"/>
              </w:rPr>
            </w:pPr>
          </w:p>
        </w:tc>
        <w:tc>
          <w:tcPr>
            <w:tcW w:w="44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08"/>
        </w:trPr>
        <w:tc>
          <w:tcPr>
            <w:tcW w:w="4900" w:type="dxa"/>
            <w:vAlign w:val="bottom"/>
          </w:tcPr>
          <w:p>
            <w:pPr>
              <w:ind w:left="60"/>
              <w:spacing w:after="0"/>
              <w:rPr>
                <w:sz w:val="20"/>
                <w:szCs w:val="20"/>
                <w:color w:val="auto"/>
              </w:rPr>
            </w:pPr>
            <w:r>
              <w:rPr>
                <w:rFonts w:ascii="Arial" w:cs="Arial" w:eastAsia="Arial" w:hAnsi="Arial"/>
                <w:sz w:val="13"/>
                <w:szCs w:val="13"/>
                <w:color w:val="auto"/>
              </w:rPr>
              <w:t>Audit Related Fees</w:t>
            </w:r>
          </w:p>
        </w:tc>
        <w:tc>
          <w:tcPr>
            <w:tcW w:w="4400" w:type="dxa"/>
            <w:vAlign w:val="bottom"/>
          </w:tcPr>
          <w:p>
            <w:pPr>
              <w:jc w:val="right"/>
              <w:ind w:right="34"/>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140,000</w:t>
            </w:r>
          </w:p>
        </w:tc>
      </w:tr>
      <w:tr>
        <w:trPr>
          <w:trHeight w:val="45"/>
        </w:trPr>
        <w:tc>
          <w:tcPr>
            <w:tcW w:w="4900" w:type="dxa"/>
            <w:vAlign w:val="bottom"/>
            <w:tcBorders>
              <w:bottom w:val="single" w:sz="8" w:color="7F7F7F"/>
            </w:tcBorders>
          </w:tcPr>
          <w:p>
            <w:pPr>
              <w:spacing w:after="0"/>
              <w:rPr>
                <w:sz w:val="3"/>
                <w:szCs w:val="3"/>
                <w:color w:val="auto"/>
              </w:rPr>
            </w:pPr>
          </w:p>
        </w:tc>
        <w:tc>
          <w:tcPr>
            <w:tcW w:w="44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08"/>
        </w:trPr>
        <w:tc>
          <w:tcPr>
            <w:tcW w:w="4900" w:type="dxa"/>
            <w:vAlign w:val="bottom"/>
          </w:tcPr>
          <w:p>
            <w:pPr>
              <w:ind w:left="60"/>
              <w:spacing w:after="0"/>
              <w:rPr>
                <w:sz w:val="20"/>
                <w:szCs w:val="20"/>
                <w:color w:val="auto"/>
              </w:rPr>
            </w:pPr>
            <w:r>
              <w:rPr>
                <w:rFonts w:ascii="Arial" w:cs="Arial" w:eastAsia="Arial" w:hAnsi="Arial"/>
                <w:sz w:val="13"/>
                <w:szCs w:val="13"/>
                <w:color w:val="auto"/>
              </w:rPr>
              <w:t>Tax Fees</w:t>
            </w:r>
          </w:p>
        </w:tc>
        <w:tc>
          <w:tcPr>
            <w:tcW w:w="4400" w:type="dxa"/>
            <w:vAlign w:val="bottom"/>
          </w:tcPr>
          <w:p>
            <w:pPr>
              <w:jc w:val="right"/>
              <w:ind w:right="34"/>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0</w:t>
            </w:r>
          </w:p>
        </w:tc>
      </w:tr>
      <w:tr>
        <w:trPr>
          <w:trHeight w:val="45"/>
        </w:trPr>
        <w:tc>
          <w:tcPr>
            <w:tcW w:w="4900" w:type="dxa"/>
            <w:vAlign w:val="bottom"/>
            <w:tcBorders>
              <w:bottom w:val="single" w:sz="8" w:color="7F7F7F"/>
            </w:tcBorders>
          </w:tcPr>
          <w:p>
            <w:pPr>
              <w:spacing w:after="0"/>
              <w:rPr>
                <w:sz w:val="3"/>
                <w:szCs w:val="3"/>
                <w:color w:val="auto"/>
              </w:rPr>
            </w:pPr>
          </w:p>
        </w:tc>
        <w:tc>
          <w:tcPr>
            <w:tcW w:w="44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08"/>
        </w:trPr>
        <w:tc>
          <w:tcPr>
            <w:tcW w:w="4900" w:type="dxa"/>
            <w:vAlign w:val="bottom"/>
          </w:tcPr>
          <w:p>
            <w:pPr>
              <w:ind w:left="60"/>
              <w:spacing w:after="0"/>
              <w:rPr>
                <w:sz w:val="20"/>
                <w:szCs w:val="20"/>
                <w:color w:val="auto"/>
              </w:rPr>
            </w:pPr>
            <w:r>
              <w:rPr>
                <w:rFonts w:ascii="Arial" w:cs="Arial" w:eastAsia="Arial" w:hAnsi="Arial"/>
                <w:sz w:val="13"/>
                <w:szCs w:val="13"/>
                <w:color w:val="auto"/>
              </w:rPr>
              <w:t>All Other Fees</w:t>
            </w:r>
          </w:p>
        </w:tc>
        <w:tc>
          <w:tcPr>
            <w:tcW w:w="4400" w:type="dxa"/>
            <w:vAlign w:val="bottom"/>
          </w:tcPr>
          <w:p>
            <w:pPr>
              <w:jc w:val="right"/>
              <w:ind w:right="34"/>
              <w:spacing w:after="0"/>
              <w:rPr>
                <w:sz w:val="20"/>
                <w:szCs w:val="20"/>
                <w:color w:val="auto"/>
              </w:rPr>
            </w:pPr>
            <w:r>
              <w:rPr>
                <w:rFonts w:ascii="Arial" w:cs="Arial" w:eastAsia="Arial" w:hAnsi="Arial"/>
                <w:sz w:val="13"/>
                <w:szCs w:val="13"/>
                <w:color w:val="auto"/>
              </w:rPr>
              <w:t>13,950</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2,000</w:t>
            </w:r>
          </w:p>
        </w:tc>
      </w:tr>
      <w:tr>
        <w:trPr>
          <w:trHeight w:val="45"/>
        </w:trPr>
        <w:tc>
          <w:tcPr>
            <w:tcW w:w="4900" w:type="dxa"/>
            <w:vAlign w:val="bottom"/>
            <w:tcBorders>
              <w:bottom w:val="single" w:sz="8" w:color="7F7F7F"/>
            </w:tcBorders>
          </w:tcPr>
          <w:p>
            <w:pPr>
              <w:spacing w:after="0"/>
              <w:rPr>
                <w:sz w:val="3"/>
                <w:szCs w:val="3"/>
                <w:color w:val="auto"/>
              </w:rPr>
            </w:pPr>
          </w:p>
        </w:tc>
        <w:tc>
          <w:tcPr>
            <w:tcW w:w="44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14"/>
        </w:trPr>
        <w:tc>
          <w:tcPr>
            <w:tcW w:w="4900" w:type="dxa"/>
            <w:vAlign w:val="bottom"/>
          </w:tcPr>
          <w:p>
            <w:pPr>
              <w:ind w:left="200"/>
              <w:spacing w:after="0"/>
              <w:rPr>
                <w:sz w:val="20"/>
                <w:szCs w:val="20"/>
                <w:color w:val="auto"/>
              </w:rPr>
            </w:pPr>
            <w:r>
              <w:rPr>
                <w:rFonts w:ascii="Arial" w:cs="Arial" w:eastAsia="Arial" w:hAnsi="Arial"/>
                <w:sz w:val="13"/>
                <w:szCs w:val="13"/>
                <w:b w:val="1"/>
                <w:bCs w:val="1"/>
                <w:color w:val="auto"/>
              </w:rPr>
              <w:t>Total</w:t>
            </w:r>
          </w:p>
        </w:tc>
        <w:tc>
          <w:tcPr>
            <w:tcW w:w="4400" w:type="dxa"/>
            <w:vAlign w:val="bottom"/>
          </w:tcPr>
          <w:p>
            <w:pPr>
              <w:jc w:val="right"/>
              <w:ind w:right="34"/>
              <w:spacing w:after="0"/>
              <w:rPr>
                <w:sz w:val="20"/>
                <w:szCs w:val="20"/>
                <w:color w:val="auto"/>
              </w:rPr>
            </w:pPr>
            <w:r>
              <w:rPr>
                <w:rFonts w:ascii="Arial" w:cs="Arial" w:eastAsia="Arial" w:hAnsi="Arial"/>
                <w:sz w:val="13"/>
                <w:szCs w:val="13"/>
                <w:b w:val="1"/>
                <w:bCs w:val="1"/>
                <w:color w:val="auto"/>
              </w:rPr>
              <w:t>4,359,145</w:t>
            </w:r>
          </w:p>
        </w:tc>
        <w:tc>
          <w:tcPr>
            <w:tcW w:w="840" w:type="dxa"/>
            <w:vAlign w:val="bottom"/>
          </w:tcPr>
          <w:p>
            <w:pPr>
              <w:jc w:val="right"/>
              <w:ind w:right="54"/>
              <w:spacing w:after="0"/>
              <w:rPr>
                <w:sz w:val="20"/>
                <w:szCs w:val="20"/>
                <w:color w:val="auto"/>
              </w:rPr>
            </w:pPr>
            <w:r>
              <w:rPr>
                <w:rFonts w:ascii="Arial" w:cs="Arial" w:eastAsia="Arial" w:hAnsi="Arial"/>
                <w:sz w:val="13"/>
                <w:szCs w:val="13"/>
                <w:b w:val="1"/>
                <w:bCs w:val="1"/>
                <w:color w:val="auto"/>
              </w:rPr>
              <w:t>4,247,447</w:t>
            </w:r>
          </w:p>
        </w:tc>
      </w:tr>
      <w:tr>
        <w:trPr>
          <w:trHeight w:val="39"/>
        </w:trPr>
        <w:tc>
          <w:tcPr>
            <w:tcW w:w="4900" w:type="dxa"/>
            <w:vAlign w:val="bottom"/>
            <w:tcBorders>
              <w:bottom w:val="single" w:sz="8" w:color="7F7F7F"/>
            </w:tcBorders>
          </w:tcPr>
          <w:p>
            <w:pPr>
              <w:spacing w:after="0"/>
              <w:rPr>
                <w:sz w:val="3"/>
                <w:szCs w:val="3"/>
                <w:color w:val="auto"/>
              </w:rPr>
            </w:pPr>
          </w:p>
        </w:tc>
        <w:tc>
          <w:tcPr>
            <w:tcW w:w="44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bl>
    <w:p>
      <w:pPr>
        <w:spacing w:after="0" w:line="5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80 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700"/>
          </w:cols>
          <w:pgMar w:left="320" w:top="454" w:right="8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740"/>
        <w:spacing w:after="0"/>
        <w:rPr>
          <w:sz w:val="20"/>
          <w:szCs w:val="20"/>
          <w:color w:val="auto"/>
        </w:rPr>
      </w:pPr>
      <w:r>
        <w:rPr>
          <w:rFonts w:ascii="Arial" w:cs="Arial" w:eastAsia="Arial" w:hAnsi="Arial"/>
          <w:sz w:val="12"/>
          <w:szCs w:val="12"/>
          <w:b w:val="1"/>
          <w:bCs w:val="1"/>
          <w:color w:val="auto"/>
        </w:rPr>
        <w:t>Proposal 4 – Ratification of the Appointment of PricewaterhouseCoopers LLP as the Company’s Independent Registered Public Accounting Firm for the 2026 Fiscal Year</w:t>
      </w:r>
    </w:p>
    <w:p>
      <w:pPr>
        <w:spacing w:after="0" w:line="135" w:lineRule="exact"/>
        <w:rPr>
          <w:sz w:val="20"/>
          <w:szCs w:val="20"/>
          <w:color w:val="auto"/>
        </w:rPr>
      </w:pPr>
    </w:p>
    <w:p>
      <w:pPr>
        <w:ind w:left="560" w:right="40"/>
        <w:spacing w:after="0" w:line="275"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Audits and quarterly reviews of our consolidated financial statements, statutory audits, and assistance with review of documents filed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SEC.</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Audit Related Fees: </w:t>
      </w:r>
      <w:r>
        <w:rPr>
          <w:rFonts w:ascii="Arial" w:cs="Arial" w:eastAsia="Arial" w:hAnsi="Arial"/>
          <w:sz w:val="15"/>
          <w:szCs w:val="15"/>
          <w:color w:val="auto"/>
        </w:rPr>
        <w:t>Services associated with system pre-implementation review.</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Accounting research tools and controls assessments.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Report of the Audit Committee</w:t>
      </w:r>
    </w:p>
    <w:p>
      <w:pPr>
        <w:spacing w:after="0" w:line="81" w:lineRule="exact"/>
        <w:rPr>
          <w:sz w:val="20"/>
          <w:szCs w:val="20"/>
          <w:color w:val="auto"/>
        </w:rPr>
      </w:pPr>
    </w:p>
    <w:p>
      <w:pPr>
        <w:ind w:left="560" w:right="60"/>
        <w:spacing w:after="0" w:line="247" w:lineRule="auto"/>
        <w:rPr>
          <w:sz w:val="20"/>
          <w:szCs w:val="20"/>
          <w:color w:val="auto"/>
        </w:rPr>
      </w:pPr>
      <w:r>
        <w:rPr>
          <w:rFonts w:ascii="Arial" w:cs="Arial" w:eastAsia="Arial" w:hAnsi="Arial"/>
          <w:sz w:val="15"/>
          <w:szCs w:val="15"/>
          <w:color w:val="auto"/>
        </w:rPr>
        <w:t>Management is responsible for the preparation, presentation, and integrity of Kelly’s financial statements, for its accounting and financial reporting principles, and for the establishment and effectiveness of internal controls and procedures designed to ensure compliance with generally accepted accounting principles and applicable laws and regulations. The independent registered public accounting firm is responsible for performing an independent audit of Kelly’s financial statements and of its internal control over financial reporting in accordance with the standards of the Public Company Accounting Oversight Board (the “PCAOB”) and expressing an opinion as to the conformity of Kelly’s financial statements with generally accepted accounting principles and the effectiveness of its internal control over financial reporting. The independent registered public accounting firm has free access to the Committee to discuss any matters it deems appropriate.</w:t>
      </w:r>
    </w:p>
    <w:p>
      <w:pPr>
        <w:spacing w:after="0" w:line="35" w:lineRule="exact"/>
        <w:rPr>
          <w:sz w:val="20"/>
          <w:szCs w:val="20"/>
          <w:color w:val="auto"/>
        </w:rPr>
      </w:pPr>
    </w:p>
    <w:p>
      <w:pPr>
        <w:ind w:left="560" w:right="40"/>
        <w:spacing w:after="0" w:line="252" w:lineRule="auto"/>
        <w:rPr>
          <w:sz w:val="20"/>
          <w:szCs w:val="20"/>
          <w:color w:val="auto"/>
        </w:rPr>
      </w:pPr>
      <w:r>
        <w:rPr>
          <w:rFonts w:ascii="Arial" w:cs="Arial" w:eastAsia="Arial" w:hAnsi="Arial"/>
          <w:sz w:val="15"/>
          <w:szCs w:val="15"/>
          <w:color w:val="auto"/>
        </w:rPr>
        <w:t>In performing its oversight role, the Committee considered and discussed the audited financial statements of Kelly for the fiscal year ended December 28, 2025, with each of management and PwC, the independent registered public accounting firm. The Committee also discussed with PwC the matters required to be discussed by applicable requirements of the PCAOB and the SEC. The Committee received from PwC the written disclosures and letter regarding PwC’s independence required by the PCAOB and has discussed with PwC its independence.</w:t>
      </w:r>
    </w:p>
    <w:p>
      <w:pPr>
        <w:spacing w:after="0" w:line="32" w:lineRule="exact"/>
        <w:rPr>
          <w:sz w:val="20"/>
          <w:szCs w:val="20"/>
          <w:color w:val="auto"/>
        </w:rPr>
      </w:pPr>
    </w:p>
    <w:p>
      <w:pPr>
        <w:ind w:left="560" w:right="180"/>
        <w:spacing w:after="0" w:line="275" w:lineRule="auto"/>
        <w:rPr>
          <w:sz w:val="20"/>
          <w:szCs w:val="20"/>
          <w:color w:val="auto"/>
        </w:rPr>
      </w:pPr>
      <w:r>
        <w:rPr>
          <w:rFonts w:ascii="Arial" w:cs="Arial" w:eastAsia="Arial" w:hAnsi="Arial"/>
          <w:sz w:val="15"/>
          <w:szCs w:val="15"/>
          <w:color w:val="auto"/>
        </w:rPr>
        <w:t>Based on the reports and discussions described in this Report, the Committee recommended to the Board that the audited financial statements of Kelly for 2025 be included in the 2025 Annual Report on Form 10-K.</w:t>
      </w:r>
    </w:p>
    <w:p>
      <w:pPr>
        <w:spacing w:after="0" w:line="150"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THE AUDIT COMMITTEE</w:t>
      </w:r>
    </w:p>
    <w:p>
      <w:pPr>
        <w:spacing w:after="0" w:line="200"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LESLIE A. MURPHY, CHAIR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ROBERT S. CUBBIN</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AMALA DUGGIRALA</w:t>
      </w:r>
    </w:p>
    <w:p>
      <w:pPr>
        <w:spacing w:after="0" w:line="110" w:lineRule="exact"/>
        <w:rPr>
          <w:sz w:val="20"/>
          <w:szCs w:val="20"/>
          <w:color w:val="auto"/>
        </w:rPr>
      </w:pPr>
    </w:p>
    <w:tbl>
      <w:tblPr>
        <w:tblLayout w:type="fixed"/>
        <w:tblInd w:w="9040" w:type="dxa"/>
        <w:tblCellMar>
          <w:top w:w="0" w:type="dxa"/>
          <w:left w:w="0" w:type="dxa"/>
          <w:bottom w:w="0" w:type="dxa"/>
          <w:right w:w="0" w:type="dxa"/>
        </w:tblCellMar>
      </w:tblPr>
      <w:tr>
        <w:trPr>
          <w:trHeight w:val="26"/>
        </w:trPr>
        <w:tc>
          <w:tcPr>
            <w:tcW w:w="460" w:type="dxa"/>
            <w:vAlign w:val="bottom"/>
            <w:vMerge w:val="restart"/>
          </w:tcPr>
          <w:p>
            <w:pPr>
              <w:spacing w:after="0"/>
              <w:rPr>
                <w:sz w:val="20"/>
                <w:szCs w:val="20"/>
                <w:color w:val="auto"/>
              </w:rPr>
            </w:pPr>
            <w:r>
              <w:rPr>
                <w:rFonts w:ascii="Arial" w:cs="Arial" w:eastAsia="Arial" w:hAnsi="Arial"/>
                <w:sz w:val="20"/>
                <w:szCs w:val="20"/>
                <w:color w:val="auto"/>
              </w:rPr>
              <w:t> </w:t>
            </w:r>
          </w:p>
        </w:tc>
        <w:tc>
          <w:tcPr>
            <w:tcW w:w="640" w:type="dxa"/>
            <w:vAlign w:val="bottom"/>
            <w:vMerge w:val="restart"/>
          </w:tcPr>
          <w:p>
            <w:pPr>
              <w:ind w:left="380"/>
              <w:spacing w:after="0"/>
              <w:rPr>
                <w:sz w:val="20"/>
                <w:szCs w:val="20"/>
                <w:color w:val="auto"/>
              </w:rPr>
            </w:pPr>
            <w:r>
              <w:rPr>
                <w:rFonts w:ascii="Arial" w:cs="Arial" w:eastAsia="Arial" w:hAnsi="Arial"/>
                <w:sz w:val="20"/>
                <w:szCs w:val="20"/>
                <w:color w:val="auto"/>
                <w:w w:val="93"/>
              </w:rPr>
              <w:t xml:space="preserve">  </w:t>
            </w:r>
          </w:p>
        </w:tc>
        <w:tc>
          <w:tcPr>
            <w:tcW w:w="2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line="20" w:lineRule="exact"/>
              <w:rPr>
                <w:sz w:val="1"/>
                <w:szCs w:val="1"/>
                <w:color w:val="auto"/>
              </w:rPr>
            </w:pPr>
          </w:p>
        </w:tc>
      </w:tr>
      <w:tr>
        <w:trPr>
          <w:trHeight w:val="238"/>
        </w:trPr>
        <w:tc>
          <w:tcPr>
            <w:tcW w:w="4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-212090</wp:posOffset>
            </wp:positionV>
            <wp:extent cx="377825" cy="180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77825" cy="18097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560" w:right="560"/>
        <w:spacing w:after="0" w:line="286" w:lineRule="auto"/>
        <w:rPr>
          <w:sz w:val="20"/>
          <w:szCs w:val="20"/>
          <w:color w:val="auto"/>
        </w:rPr>
      </w:pPr>
      <w:r>
        <w:rPr>
          <w:rFonts w:ascii="Arial" w:cs="Arial" w:eastAsia="Arial" w:hAnsi="Arial"/>
          <w:sz w:val="30"/>
          <w:szCs w:val="30"/>
          <w:b w:val="1"/>
          <w:bCs w:val="1"/>
          <w:color w:val="auto"/>
        </w:rPr>
        <w:t>Questions and Answers About the Proxy Statement and the Annual Meeting</w:t>
      </w:r>
    </w:p>
    <w:p>
      <w:pPr>
        <w:spacing w:after="0" w:line="222" w:lineRule="exact"/>
        <w:rPr>
          <w:sz w:val="20"/>
          <w:szCs w:val="20"/>
          <w:color w:val="auto"/>
        </w:rPr>
      </w:pPr>
    </w:p>
    <w:p>
      <w:pPr>
        <w:ind w:left="960" w:hanging="396"/>
        <w:spacing w:after="0"/>
        <w:tabs>
          <w:tab w:leader="none" w:pos="96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WHERE ARE WE HOLDING THE ANNUAL MEETING?</w:t>
      </w:r>
    </w:p>
    <w:p>
      <w:pPr>
        <w:spacing w:after="0" w:line="76" w:lineRule="exact"/>
        <w:rPr>
          <w:sz w:val="20"/>
          <w:szCs w:val="20"/>
          <w:color w:val="auto"/>
        </w:rPr>
      </w:pPr>
    </w:p>
    <w:p>
      <w:pPr>
        <w:ind w:left="960" w:hanging="396"/>
        <w:spacing w:after="0" w:line="248" w:lineRule="auto"/>
        <w:tabs>
          <w:tab w:leader="none" w:pos="9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2026 Annual Meeting of Shareholders will be held virtually. To access the live audio webcast of the meeting, shareholders of record will need to visit kellyservices.com for instructions and use their 16-digit Control Number provided in the Notice to log in to this website. If your shares are held beneficially in the name of a bank, broker, or other holder of record (sometimes referred to as holding shares “in street name”), you will receive instructions from the holder of record that you must follow for your shares to be voted. Beneficial holders will need to obtain a “legal proxy” from their broker, bank, or other holder of record that holds your shares if they want to vote during the virtual meeting. Beneficial holders will need to send our transfer agent, Computershare, the legal proxy before the meeting, and they will then issue via email, an authorized control number.</w:t>
      </w:r>
    </w:p>
    <w:p>
      <w:pPr>
        <w:spacing w:after="0" w:line="307" w:lineRule="exact"/>
        <w:rPr>
          <w:sz w:val="20"/>
          <w:szCs w:val="20"/>
          <w:color w:val="auto"/>
        </w:rPr>
      </w:pPr>
    </w:p>
    <w:p>
      <w:pPr>
        <w:ind w:left="960" w:hanging="396"/>
        <w:spacing w:after="0"/>
        <w:tabs>
          <w:tab w:leader="none" w:pos="96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WHO IS MAKING THE SOLICITATION IN THIS PROXY STATEMENT?</w:t>
      </w:r>
    </w:p>
    <w:p>
      <w:pPr>
        <w:spacing w:after="0" w:line="76" w:lineRule="exact"/>
        <w:rPr>
          <w:sz w:val="20"/>
          <w:szCs w:val="20"/>
          <w:color w:val="auto"/>
        </w:rPr>
      </w:pPr>
    </w:p>
    <w:p>
      <w:pPr>
        <w:ind w:left="960" w:right="80" w:hanging="396"/>
        <w:spacing w:after="0" w:line="252" w:lineRule="auto"/>
        <w:tabs>
          <w:tab w:leader="none" w:pos="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This Proxy Statement is furnished in connection with the solicitation of proxies on behalf of the Board of Directors of Kelly Services, Inc. for use at the Annual Meeting of Shareholders of the Company to be held virtually on May 7, 2026, for the purposes set forth in the Notice of Annual Meeting of Shareholders. The approximate date on which this Proxy Statement and enclosed form of proxy are first sent to Class B shareholders of the Company is April 13, 2026.</w:t>
      </w:r>
    </w:p>
    <w:p>
      <w:pPr>
        <w:spacing w:after="0" w:line="305" w:lineRule="exact"/>
        <w:rPr>
          <w:sz w:val="20"/>
          <w:szCs w:val="20"/>
          <w:color w:val="auto"/>
        </w:rPr>
      </w:pPr>
    </w:p>
    <w:p>
      <w:pPr>
        <w:ind w:left="960" w:hanging="396"/>
        <w:spacing w:after="0"/>
        <w:tabs>
          <w:tab w:leader="none" w:pos="96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WHO WILL BEAR THE COST OF THE PROXY SOLICITATION?</w:t>
      </w:r>
    </w:p>
    <w:p>
      <w:pPr>
        <w:spacing w:after="0" w:line="76" w:lineRule="exact"/>
        <w:rPr>
          <w:sz w:val="20"/>
          <w:szCs w:val="20"/>
          <w:color w:val="auto"/>
        </w:rPr>
      </w:pPr>
    </w:p>
    <w:p>
      <w:pPr>
        <w:ind w:left="960" w:right="80" w:hanging="396"/>
        <w:spacing w:after="0" w:line="252" w:lineRule="auto"/>
        <w:tabs>
          <w:tab w:leader="none" w:pos="9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Company will bear the cost of soliciting proxies. The solicitation of proxies will be made primarily by mail. The Company may also make arrangements with brokerage houses, custodians, banks, nominees, and fiduciaries to forward solicitation material to beneficial owners of Class B stock held of record by them and to obtain authorization to execute proxies. The Company may reimburse such institutional holders for reasonable expenses incurred by them in connection therewith.</w:t>
      </w:r>
    </w:p>
    <w:p>
      <w:pPr>
        <w:spacing w:after="0" w:line="32" w:lineRule="exact"/>
        <w:rPr>
          <w:rFonts w:ascii="Arial" w:cs="Arial" w:eastAsia="Arial" w:hAnsi="Arial"/>
          <w:sz w:val="15"/>
          <w:szCs w:val="15"/>
          <w:color w:val="auto"/>
        </w:rPr>
      </w:pPr>
    </w:p>
    <w:p>
      <w:pPr>
        <w:ind w:left="960" w:right="240"/>
        <w:spacing w:after="0" w:line="252" w:lineRule="auto"/>
        <w:rPr>
          <w:rFonts w:ascii="Arial" w:cs="Arial" w:eastAsia="Arial" w:hAnsi="Arial"/>
          <w:sz w:val="15"/>
          <w:szCs w:val="15"/>
          <w:color w:val="auto"/>
        </w:rPr>
      </w:pPr>
      <w:r>
        <w:rPr>
          <w:rFonts w:ascii="Arial" w:cs="Arial" w:eastAsia="Arial" w:hAnsi="Arial"/>
          <w:sz w:val="15"/>
          <w:szCs w:val="15"/>
          <w:color w:val="auto"/>
        </w:rPr>
        <w:t>A copy of the Company’s Annual Report and Annual Report on Form 10-K for the fiscal year ended December 28, 2025, has been mailed or otherwise made available to each shareholder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305" w:lineRule="exact"/>
        <w:rPr>
          <w:sz w:val="20"/>
          <w:szCs w:val="20"/>
          <w:color w:val="auto"/>
        </w:rPr>
      </w:pPr>
    </w:p>
    <w:p>
      <w:pPr>
        <w:ind w:left="960" w:hanging="396"/>
        <w:spacing w:after="0"/>
        <w:tabs>
          <w:tab w:leader="none" w:pos="96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WHO IS ENTITLED TO VOTE?</w:t>
      </w:r>
    </w:p>
    <w:p>
      <w:pPr>
        <w:spacing w:after="0" w:line="76" w:lineRule="exact"/>
        <w:rPr>
          <w:sz w:val="20"/>
          <w:szCs w:val="20"/>
          <w:color w:val="auto"/>
        </w:rPr>
      </w:pPr>
    </w:p>
    <w:p>
      <w:pPr>
        <w:ind w:left="960" w:right="40" w:hanging="396"/>
        <w:spacing w:after="0" w:line="258" w:lineRule="auto"/>
        <w:tabs>
          <w:tab w:leader="none" w:pos="9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Only shareholders of record of our Class B Common Stock, par value $1.00 per share, at the close of business on March 19, 2026, the record date for the Annual Meeting, are entitled to notice of and to vote at the Annual Meeting. Class B Common Stock is the only class of the Company’s securities with voting rights.</w:t>
      </w:r>
    </w:p>
    <w:p>
      <w:pPr>
        <w:spacing w:after="0" w:line="26" w:lineRule="exact"/>
        <w:rPr>
          <w:rFonts w:ascii="Arial" w:cs="Arial" w:eastAsia="Arial" w:hAnsi="Arial"/>
          <w:sz w:val="15"/>
          <w:szCs w:val="15"/>
          <w:color w:val="auto"/>
        </w:rPr>
      </w:pPr>
    </w:p>
    <w:p>
      <w:pPr>
        <w:ind w:left="960" w:right="160"/>
        <w:spacing w:after="0" w:line="312" w:lineRule="auto"/>
        <w:rPr>
          <w:rFonts w:ascii="Arial" w:cs="Arial" w:eastAsia="Arial" w:hAnsi="Arial"/>
          <w:sz w:val="15"/>
          <w:szCs w:val="15"/>
          <w:color w:val="auto"/>
        </w:rPr>
      </w:pPr>
      <w:r>
        <w:rPr>
          <w:rFonts w:ascii="Arial" w:cs="Arial" w:eastAsia="Arial" w:hAnsi="Arial"/>
          <w:sz w:val="14"/>
          <w:szCs w:val="14"/>
          <w:color w:val="auto"/>
        </w:rPr>
        <w:t>At the close of business on March 19, 2026, the number of issued and outstanding voting securities (exclusive of treasury shares) was 3,296,041 shares of the Class B Common Stock. Class B shareholders on the record date will be entitled to one vote for each share held of record.</w:t>
      </w:r>
    </w:p>
    <w:p>
      <w:pPr>
        <w:spacing w:after="0" w:line="264" w:lineRule="exact"/>
        <w:rPr>
          <w:sz w:val="20"/>
          <w:szCs w:val="20"/>
          <w:color w:val="auto"/>
        </w:rPr>
      </w:pPr>
    </w:p>
    <w:p>
      <w:pPr>
        <w:ind w:left="960" w:hanging="396"/>
        <w:spacing w:after="0"/>
        <w:tabs>
          <w:tab w:leader="none" w:pos="9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HOW DO I VOTE?</w:t>
      </w:r>
    </w:p>
    <w:p>
      <w:pPr>
        <w:spacing w:after="0" w:line="76" w:lineRule="exact"/>
        <w:rPr>
          <w:sz w:val="20"/>
          <w:szCs w:val="20"/>
          <w:color w:val="auto"/>
        </w:rPr>
      </w:pPr>
    </w:p>
    <w:p>
      <w:pPr>
        <w:ind w:left="960" w:right="220" w:hanging="396"/>
        <w:spacing w:after="0" w:line="275" w:lineRule="auto"/>
        <w:tabs>
          <w:tab w:leader="none" w:pos="9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We encourage Class B shareholders to return their proxies promptly via the enclosed form of proxy in the enclosed postage prepaid envelope or vote via the Internet, QR code scan, or telephone.</w:t>
      </w:r>
    </w:p>
    <w:p>
      <w:pPr>
        <w:spacing w:after="0" w:line="287" w:lineRule="exact"/>
        <w:rPr>
          <w:sz w:val="20"/>
          <w:szCs w:val="20"/>
          <w:color w:val="auto"/>
        </w:rPr>
      </w:pPr>
    </w:p>
    <w:p>
      <w:pPr>
        <w:ind w:left="960" w:hanging="396"/>
        <w:spacing w:after="0"/>
        <w:tabs>
          <w:tab w:leader="none" w:pos="96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HOW IS MY VOTE COUNTED?</w:t>
      </w:r>
    </w:p>
    <w:p>
      <w:pPr>
        <w:spacing w:after="0" w:line="76" w:lineRule="exact"/>
        <w:rPr>
          <w:sz w:val="20"/>
          <w:szCs w:val="20"/>
          <w:color w:val="auto"/>
        </w:rPr>
      </w:pPr>
    </w:p>
    <w:p>
      <w:pPr>
        <w:ind w:left="960" w:right="80" w:hanging="396"/>
        <w:spacing w:after="0" w:line="250" w:lineRule="auto"/>
        <w:tabs>
          <w:tab w:leader="none" w:pos="9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following the recommendation of the Company’s Board of Directors on each of the proposals set forth in the accompanying Notice of Annual Meeting of Shareholders and on any other matters that properly come before the Annual Meeting in such manner as may be determined by the individuals named as proxies.</w:t>
      </w:r>
    </w:p>
    <w:p>
      <w:pPr>
        <w:spacing w:after="0" w:line="3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82 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Questions and Answers About the Proxy Statement and the Annual Meeting</w:t>
      </w:r>
    </w:p>
    <w:p>
      <w:pPr>
        <w:spacing w:after="0" w:line="135" w:lineRule="exact"/>
        <w:rPr>
          <w:sz w:val="20"/>
          <w:szCs w:val="20"/>
          <w:color w:val="auto"/>
        </w:rPr>
      </w:pPr>
    </w:p>
    <w:p>
      <w:pPr>
        <w:ind w:left="960" w:hanging="396"/>
        <w:spacing w:after="0"/>
        <w:tabs>
          <w:tab w:leader="none" w:pos="960"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CAN I REVOKE MY PROXY AFTER I HAVE SUBMITTED IT?</w:t>
      </w:r>
    </w:p>
    <w:p>
      <w:pPr>
        <w:spacing w:after="0" w:line="76" w:lineRule="exact"/>
        <w:rPr>
          <w:sz w:val="20"/>
          <w:szCs w:val="20"/>
          <w:color w:val="auto"/>
        </w:rPr>
      </w:pPr>
    </w:p>
    <w:p>
      <w:pPr>
        <w:ind w:left="960" w:right="80" w:hanging="396"/>
        <w:spacing w:after="0" w:line="285" w:lineRule="auto"/>
        <w:tabs>
          <w:tab w:leader="none" w:pos="9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the enclosed form of proxy is executed and returned by the shareholder, it may nevertheless be revoked by the person giving it by written notice of revocation to the Corporate Secretary of the Company or by submitting a later-dated proxy, provided such notice or later-dated proxy is received by 11:59 p.m., Central Time, on May 6, 2026. You will also be able to vote your shares online by attending the Annual Meeting via webcast.</w:t>
      </w:r>
    </w:p>
    <w:p>
      <w:pPr>
        <w:spacing w:after="0" w:line="282" w:lineRule="exact"/>
        <w:rPr>
          <w:sz w:val="20"/>
          <w:szCs w:val="20"/>
          <w:color w:val="auto"/>
        </w:rPr>
      </w:pPr>
    </w:p>
    <w:p>
      <w:pPr>
        <w:ind w:left="960" w:hanging="396"/>
        <w:spacing w:after="0"/>
        <w:tabs>
          <w:tab w:leader="none" w:pos="960" w:val="left"/>
        </w:tabs>
        <w:numPr>
          <w:ilvl w:val="0"/>
          <w:numId w:val="122"/>
        </w:numPr>
        <w:rPr>
          <w:rFonts w:ascii="Arial" w:cs="Arial" w:eastAsia="Arial" w:hAnsi="Arial"/>
          <w:sz w:val="15"/>
          <w:szCs w:val="15"/>
          <w:b w:val="1"/>
          <w:bCs w:val="1"/>
          <w:color w:val="auto"/>
        </w:rPr>
      </w:pPr>
      <w:r>
        <w:rPr>
          <w:rFonts w:ascii="Arial" w:cs="Arial" w:eastAsia="Arial" w:hAnsi="Arial"/>
          <w:sz w:val="15"/>
          <w:szCs w:val="15"/>
          <w:b w:val="1"/>
          <w:bCs w:val="1"/>
          <w:color w:val="auto"/>
        </w:rPr>
        <w:t>WHAT CONSTITUTES A QUORUM?</w:t>
      </w:r>
    </w:p>
    <w:p>
      <w:pPr>
        <w:spacing w:after="0" w:line="76" w:lineRule="exact"/>
        <w:rPr>
          <w:sz w:val="20"/>
          <w:szCs w:val="20"/>
          <w:color w:val="auto"/>
        </w:rPr>
      </w:pPr>
    </w:p>
    <w:p>
      <w:pPr>
        <w:ind w:left="960" w:right="60" w:hanging="396"/>
        <w:spacing w:after="0" w:line="252" w:lineRule="auto"/>
        <w:tabs>
          <w:tab w:leader="none" w:pos="9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Pursuant to the Company’s Bylaws, the holders of 60% of the issued and outstanding shares of Class B Common Stock who are entitled to vote at a shareholders’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305" w:lineRule="exact"/>
        <w:rPr>
          <w:sz w:val="20"/>
          <w:szCs w:val="20"/>
          <w:color w:val="auto"/>
        </w:rPr>
      </w:pPr>
    </w:p>
    <w:p>
      <w:pPr>
        <w:ind w:left="960" w:hanging="396"/>
        <w:spacing w:after="0"/>
        <w:tabs>
          <w:tab w:leader="none" w:pos="960"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WHAT IS A BROKER NON-VOTE?</w:t>
      </w:r>
    </w:p>
    <w:p>
      <w:pPr>
        <w:spacing w:after="0" w:line="76" w:lineRule="exact"/>
        <w:rPr>
          <w:sz w:val="20"/>
          <w:szCs w:val="20"/>
          <w:color w:val="auto"/>
        </w:rPr>
      </w:pPr>
    </w:p>
    <w:p>
      <w:pPr>
        <w:ind w:left="960" w:right="240" w:hanging="396"/>
        <w:spacing w:after="0" w:line="258" w:lineRule="auto"/>
        <w:tabs>
          <w:tab w:leader="none" w:pos="9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300" w:lineRule="exact"/>
        <w:rPr>
          <w:sz w:val="20"/>
          <w:szCs w:val="20"/>
          <w:color w:val="auto"/>
        </w:rPr>
      </w:pPr>
    </w:p>
    <w:p>
      <w:pPr>
        <w:ind w:left="960" w:hanging="396"/>
        <w:spacing w:after="0"/>
        <w:tabs>
          <w:tab w:leader="none" w:pos="960"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HOW IS IT DETERMINED IF A MATTER HAS BEEN APPROVED?</w:t>
      </w:r>
    </w:p>
    <w:p>
      <w:pPr>
        <w:spacing w:after="0" w:line="76" w:lineRule="exact"/>
        <w:rPr>
          <w:sz w:val="20"/>
          <w:szCs w:val="20"/>
          <w:color w:val="auto"/>
        </w:rPr>
      </w:pPr>
    </w:p>
    <w:p>
      <w:pPr>
        <w:ind w:left="960" w:right="100" w:hanging="396"/>
        <w:spacing w:after="0" w:line="305" w:lineRule="auto"/>
        <w:tabs>
          <w:tab w:leader="none" w:pos="9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Under our Bylaws, directors are elected by plurality vote and the nominees who receive the greatest number of votes at the Annual Meeting will be elected. Withheld votes and broker non-votes will not be taken into account for purposes of determining the outcome of the election of directors.</w:t>
      </w:r>
    </w:p>
    <w:p>
      <w:pPr>
        <w:ind w:left="960" w:right="60"/>
        <w:spacing w:after="0" w:line="258" w:lineRule="auto"/>
        <w:rPr>
          <w:rFonts w:ascii="Arial" w:cs="Arial" w:eastAsia="Arial" w:hAnsi="Arial"/>
          <w:sz w:val="14"/>
          <w:szCs w:val="14"/>
          <w:color w:val="auto"/>
        </w:rPr>
      </w:pPr>
      <w:r>
        <w:rPr>
          <w:rFonts w:ascii="Arial" w:cs="Arial" w:eastAsia="Arial" w:hAnsi="Arial"/>
          <w:sz w:val="15"/>
          <w:szCs w:val="15"/>
          <w:color w:val="auto"/>
        </w:rPr>
        <w:t>The affirmative vote of a majority of Class B shares present in person or by proxy at the Annual Meeting and entitled to vote on such proposal will be required to approve Proposal 2 and Proposal 4. Abstentions will have the effect of negative votes concerning these proposals. Broker non-votes will not be taken into account for purposes of these proposals.</w:t>
      </w:r>
    </w:p>
    <w:p>
      <w:pPr>
        <w:spacing w:after="0" w:line="26" w:lineRule="exact"/>
        <w:rPr>
          <w:rFonts w:ascii="Arial" w:cs="Arial" w:eastAsia="Arial" w:hAnsi="Arial"/>
          <w:sz w:val="14"/>
          <w:szCs w:val="14"/>
          <w:color w:val="auto"/>
        </w:rPr>
      </w:pPr>
    </w:p>
    <w:p>
      <w:pPr>
        <w:ind w:left="960" w:right="160"/>
        <w:spacing w:after="0" w:line="275" w:lineRule="auto"/>
        <w:rPr>
          <w:rFonts w:ascii="Arial" w:cs="Arial" w:eastAsia="Arial" w:hAnsi="Arial"/>
          <w:sz w:val="14"/>
          <w:szCs w:val="14"/>
          <w:color w:val="auto"/>
        </w:rPr>
      </w:pPr>
      <w:r>
        <w:rPr>
          <w:rFonts w:ascii="Arial" w:cs="Arial" w:eastAsia="Arial" w:hAnsi="Arial"/>
          <w:sz w:val="15"/>
          <w:szCs w:val="15"/>
          <w:color w:val="auto"/>
        </w:rPr>
        <w:t>The affirmative vote of the holders of a majority of the outstanding shares of our Class B Common Stock entitled to vote on Proposal 3 is required to approve the Proposal. Abstentions and broker non-votes will have the same effect as a vote against Proposal 3.</w:t>
      </w:r>
    </w:p>
    <w:p>
      <w:pPr>
        <w:spacing w:after="0" w:line="287" w:lineRule="exact"/>
        <w:rPr>
          <w:sz w:val="20"/>
          <w:szCs w:val="20"/>
          <w:color w:val="auto"/>
        </w:rPr>
      </w:pPr>
    </w:p>
    <w:p>
      <w:pPr>
        <w:ind w:left="960" w:right="880" w:hanging="396"/>
        <w:spacing w:after="0" w:line="283" w:lineRule="auto"/>
        <w:tabs>
          <w:tab w:leader="none" w:pos="960"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ADDITIONAL MATTERS (OTHER THAN THE PROPOSALS DESCRIBED IN THIS PROXY STATEMENT) ARE PRESENTED AT THE ANNUAL MEETING?</w:t>
      </w:r>
    </w:p>
    <w:p>
      <w:pPr>
        <w:spacing w:after="0" w:line="15" w:lineRule="exact"/>
        <w:rPr>
          <w:sz w:val="20"/>
          <w:szCs w:val="20"/>
          <w:color w:val="auto"/>
        </w:rPr>
      </w:pPr>
    </w:p>
    <w:p>
      <w:pPr>
        <w:ind w:left="960" w:right="180" w:hanging="396"/>
        <w:spacing w:after="0" w:line="275" w:lineRule="auto"/>
        <w:tabs>
          <w:tab w:leader="none" w:pos="960" w:val="left"/>
        </w:tabs>
        <w:numPr>
          <w:ilvl w:val="0"/>
          <w:numId w:val="129"/>
        </w:numPr>
        <w:rPr>
          <w:rFonts w:ascii="Arial" w:cs="Arial" w:eastAsia="Arial" w:hAnsi="Arial"/>
          <w:sz w:val="15"/>
          <w:szCs w:val="15"/>
          <w:b w:val="1"/>
          <w:bCs w:val="1"/>
          <w:color w:val="auto"/>
        </w:rPr>
      </w:pPr>
      <w:r>
        <w:rPr>
          <w:rFonts w:ascii="Arial" w:cs="Arial" w:eastAsia="Arial" w:hAnsi="Arial"/>
          <w:sz w:val="15"/>
          <w:szCs w:val="15"/>
          <w:color w:val="auto"/>
        </w:rPr>
        <w:t>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287" w:lineRule="exact"/>
        <w:rPr>
          <w:sz w:val="20"/>
          <w:szCs w:val="20"/>
          <w:color w:val="auto"/>
        </w:rPr>
      </w:pPr>
    </w:p>
    <w:p>
      <w:pPr>
        <w:ind w:left="960" w:hanging="396"/>
        <w:spacing w:after="0"/>
        <w:tabs>
          <w:tab w:leader="none" w:pos="960"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HOW CAN I COMMUNICATE WITH THE BOARD?</w:t>
      </w:r>
    </w:p>
    <w:p>
      <w:pPr>
        <w:spacing w:after="0" w:line="76" w:lineRule="exact"/>
        <w:rPr>
          <w:sz w:val="20"/>
          <w:szCs w:val="20"/>
          <w:color w:val="auto"/>
        </w:rPr>
      </w:pPr>
    </w:p>
    <w:p>
      <w:pPr>
        <w:ind w:left="960" w:right="40" w:hanging="396"/>
        <w:spacing w:after="0" w:line="258" w:lineRule="auto"/>
        <w:tabs>
          <w:tab w:leader="none" w:pos="9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Shareholders may communicate with the Board in writing, addressed to the Board of Directors, and mailed to the Corporate Secretary, Kelly Services, Inc., 999 West Big Beaver Road, Troy, Michigan 48084-4716. All written shareholder communications will be summarized and reported to the Board at its regularly scheduled meetings.</w:t>
      </w:r>
    </w:p>
    <w:p>
      <w:pPr>
        <w:spacing w:after="0" w:line="300" w:lineRule="exact"/>
        <w:rPr>
          <w:sz w:val="20"/>
          <w:szCs w:val="20"/>
          <w:color w:val="auto"/>
        </w:rPr>
      </w:pPr>
    </w:p>
    <w:p>
      <w:pPr>
        <w:ind w:left="960" w:hanging="396"/>
        <w:spacing w:after="0" w:line="283" w:lineRule="auto"/>
        <w:tabs>
          <w:tab w:leader="none" w:pos="960" w:val="left"/>
        </w:tabs>
        <w:numPr>
          <w:ilvl w:val="0"/>
          <w:numId w:val="132"/>
        </w:numPr>
        <w:rPr>
          <w:rFonts w:ascii="Arial" w:cs="Arial" w:eastAsia="Arial" w:hAnsi="Arial"/>
          <w:sz w:val="15"/>
          <w:szCs w:val="15"/>
          <w:b w:val="1"/>
          <w:bCs w:val="1"/>
          <w:color w:val="auto"/>
        </w:rPr>
      </w:pPr>
      <w:r>
        <w:rPr>
          <w:rFonts w:ascii="Arial" w:cs="Arial" w:eastAsia="Arial" w:hAnsi="Arial"/>
          <w:sz w:val="15"/>
          <w:szCs w:val="15"/>
          <w:b w:val="1"/>
          <w:bCs w:val="1"/>
          <w:color w:val="auto"/>
        </w:rPr>
        <w:t>WHAT IS THE DEADLINE TO SUBMIT SHAREHOLDER PROPOSALS AND DIRECTOR NOMINATIONS FOR THE COMPANY’S 2027 ANNUAL MEETING OF SHAREHOLDERS?</w:t>
      </w:r>
    </w:p>
    <w:p>
      <w:pPr>
        <w:spacing w:after="0" w:line="15" w:lineRule="exact"/>
        <w:rPr>
          <w:sz w:val="20"/>
          <w:szCs w:val="20"/>
          <w:color w:val="auto"/>
        </w:rPr>
      </w:pPr>
    </w:p>
    <w:p>
      <w:pPr>
        <w:ind w:left="960" w:right="20" w:hanging="396"/>
        <w:spacing w:after="0" w:line="252" w:lineRule="auto"/>
        <w:tabs>
          <w:tab w:leader="none" w:pos="9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If a Class B shareholder intends to present a proposal for inclusion in the proxy materials to be distributed by us in connection with the Company’s 2027 Annual Meeting of Shareholders in reliance on Rule 14a-8 under the Exchange Act, the proposal must be submitted in writing and received by the Corporate Secretary no later than December 14, 2026. The proposal must also meet the other requirements of the rules of the SEC relating to shareholder proposals.</w:t>
      </w:r>
    </w:p>
    <w:p>
      <w:pPr>
        <w:spacing w:after="0" w:line="92" w:lineRule="exact"/>
        <w:rPr>
          <w:rFonts w:ascii="Arial" w:cs="Arial" w:eastAsia="Arial" w:hAnsi="Arial"/>
          <w:sz w:val="15"/>
          <w:szCs w:val="15"/>
          <w:color w:val="auto"/>
        </w:rPr>
      </w:pPr>
    </w:p>
    <w:p>
      <w:pPr>
        <w:ind w:left="9360" w:hanging="244"/>
        <w:spacing w:after="0"/>
        <w:tabs>
          <w:tab w:leader="none" w:pos="9360" w:val="left"/>
        </w:tabs>
        <w:numPr>
          <w:ilvl w:val="1"/>
          <w:numId w:val="133"/>
        </w:numPr>
        <w:rPr>
          <w:rFonts w:ascii="Arial" w:cs="Arial" w:eastAsia="Arial" w:hAnsi="Arial"/>
          <w:sz w:val="19"/>
          <w:szCs w:val="19"/>
          <w:color w:val="auto"/>
        </w:rPr>
      </w:pPr>
      <w:r>
        <w:rPr>
          <w:rFonts w:ascii="Arial" w:cs="Arial" w:eastAsia="Arial" w:hAnsi="Arial"/>
          <w:sz w:val="1"/>
          <w:szCs w:val="1"/>
          <w:color w:val="auto"/>
        </w:rPr>
        <w:drawing>
          <wp:inline distT="0" distB="0" distL="0" distR="0">
            <wp:extent cx="377825" cy="18097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9"/>
          <w:szCs w:val="19"/>
          <w:color w:val="auto"/>
        </w:rPr>
        <w:t xml:space="preserve">     </w:t>
      </w:r>
      <w:r>
        <w:rPr>
          <w:rFonts w:ascii="Arial" w:cs="Arial" w:eastAsia="Arial" w:hAnsi="Arial"/>
          <w:sz w:val="38"/>
          <w:szCs w:val="38"/>
          <w:color w:val="auto"/>
          <w:vertAlign w:val="superscript"/>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6489065</wp:posOffset>
            </wp:positionH>
            <wp:positionV relativeFrom="paragraph">
              <wp:posOffset>-260350</wp:posOffset>
            </wp:positionV>
            <wp:extent cx="7620" cy="2127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80"/>
          </w:cols>
          <w:pgMar w:left="320" w:top="454" w:right="8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Questions and Answers About the Proxy Statement and the Annual Meeting</w:t>
      </w:r>
    </w:p>
    <w:p>
      <w:pPr>
        <w:spacing w:after="0" w:line="135" w:lineRule="exact"/>
        <w:rPr>
          <w:sz w:val="20"/>
          <w:szCs w:val="20"/>
          <w:color w:val="auto"/>
        </w:rPr>
      </w:pPr>
    </w:p>
    <w:p>
      <w:pPr>
        <w:ind w:left="960"/>
        <w:spacing w:after="0" w:line="248" w:lineRule="auto"/>
        <w:rPr>
          <w:sz w:val="20"/>
          <w:szCs w:val="20"/>
          <w:color w:val="auto"/>
        </w:rPr>
      </w:pPr>
      <w:r>
        <w:rPr>
          <w:rFonts w:ascii="Arial" w:cs="Arial" w:eastAsia="Arial" w:hAnsi="Arial"/>
          <w:sz w:val="15"/>
          <w:szCs w:val="15"/>
          <w:color w:val="auto"/>
        </w:rPr>
        <w:t>Our Bylaws contain an advance notice of shareholder business and nominations requirement, which generally prescribes the procedures that a shareholder of the Company must follow if the shareholder intends at an Annual Meeting of Shareholders to nominate a person for the election to the Board or to propose other business to be considered by shareholders. These procedures include, among other things, that the shareholder give timely notice to the Corporate Secretary of the nomination or other proposed business, that the notice contains specified information, and that the shareholder complies with certain other requirements. If a shareholder’s nomination or proposal is not in compliance with the procedures outlined in our Bylaws, the Company may disregard such nomination or proposal.</w:t>
      </w:r>
    </w:p>
    <w:p>
      <w:pPr>
        <w:spacing w:after="0" w:line="34" w:lineRule="exact"/>
        <w:rPr>
          <w:sz w:val="20"/>
          <w:szCs w:val="20"/>
          <w:color w:val="auto"/>
        </w:rPr>
      </w:pPr>
    </w:p>
    <w:p>
      <w:pPr>
        <w:ind w:left="960" w:right="80"/>
        <w:spacing w:after="0" w:line="246" w:lineRule="auto"/>
        <w:rPr>
          <w:sz w:val="20"/>
          <w:szCs w:val="20"/>
          <w:color w:val="auto"/>
        </w:rPr>
      </w:pPr>
      <w:r>
        <w:rPr>
          <w:rFonts w:ascii="Arial" w:cs="Arial" w:eastAsia="Arial" w:hAnsi="Arial"/>
          <w:sz w:val="15"/>
          <w:szCs w:val="15"/>
          <w:color w:val="auto"/>
        </w:rPr>
        <w:t>Generally, in the case of an Annual Meeting of Shareholders, a shareholder’s notice must be delivered in writing to the Corporate Secretary, at the Company’s principal executive office, not later than the close of business on the 90th day nor earlier than the close of business on the 120th day before the first anniversary of the date of the proceeding year’s Annual Meeting of Shareholders. To be timely for the 2027 Annual Meeting of Shareholders, the notice must be received by the Corporate Secretary no earlier than January 7, 2027, and no later than February 5, 2027. In addition, shareholders seeking to include director nominations in the Company’s Proxy Statement for its 2027 Annual Meeting of Shareholders are required to provide notice to the Company pursuant to SEC Rule 14a-11 regarding proxy access no earlier than November 14, 2026, and no later than December 14, 2026, and to satisfy other conditions of such rule. Shareholders intending to utilize SEC Rule 14a-11 regarding universal proxies must provide notice to the Company postmarked no later than March 8, 2027.</w:t>
      </w:r>
    </w:p>
    <w:p>
      <w:pPr>
        <w:spacing w:after="0" w:line="37" w:lineRule="exact"/>
        <w:rPr>
          <w:sz w:val="20"/>
          <w:szCs w:val="20"/>
          <w:color w:val="auto"/>
        </w:rPr>
      </w:pPr>
    </w:p>
    <w:p>
      <w:pPr>
        <w:jc w:val="both"/>
        <w:ind w:left="960" w:right="160"/>
        <w:spacing w:after="0" w:line="258" w:lineRule="auto"/>
        <w:rPr>
          <w:sz w:val="20"/>
          <w:szCs w:val="20"/>
          <w:color w:val="auto"/>
        </w:rPr>
      </w:pPr>
      <w:r>
        <w:rPr>
          <w:rFonts w:ascii="Arial" w:cs="Arial" w:eastAsia="Arial" w:hAnsi="Arial"/>
          <w:sz w:val="15"/>
          <w:szCs w:val="15"/>
          <w:color w:val="auto"/>
        </w:rPr>
        <w:t>In each case, proposals made under Rule 14a-8 and nominations for director nominees and/or an item of business to be introduced at an Annual Meeting of Shareholders must be submitted in writing and received by the Corporate Secretary, Kelly Services, Inc., 999 West Big Beaver Road, Troy, Michigan 48084-4716.</w:t>
      </w:r>
    </w:p>
    <w:p>
      <w:pPr>
        <w:spacing w:after="0" w:line="36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35"/>
          <w:szCs w:val="35"/>
          <w:color w:val="auto"/>
          <w:vertAlign w:val="superscript"/>
        </w:rPr>
        <w:t>84 </w:t>
      </w:r>
      <w:r>
        <w:rPr>
          <w:sz w:val="20"/>
          <w:szCs w:val="20"/>
          <w:color w:val="auto"/>
        </w:rPr>
        <w:tab/>
      </w:r>
      <w:r>
        <w:rPr>
          <w:rFonts w:ascii="Arial" w:cs="Arial" w:eastAsia="Arial" w:hAnsi="Arial"/>
          <w:sz w:val="18"/>
          <w:szCs w:val="18"/>
          <w:color w:val="auto"/>
        </w:rPr>
        <w:t xml:space="preserve">    </w:t>
      </w:r>
      <w:r>
        <w:rPr>
          <w:sz w:val="1"/>
          <w:szCs w:val="1"/>
          <w:color w:val="auto"/>
        </w:rPr>
        <w:drawing>
          <wp:inline distT="0" distB="0" distL="0" distR="0">
            <wp:extent cx="377825" cy="18097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77825" cy="18097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-204470</wp:posOffset>
            </wp:positionV>
            <wp:extent cx="7620" cy="2127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20" cy="212725"/>
                    </a:xfrm>
                    <a:prstGeom prst="rect">
                      <a:avLst/>
                    </a:prstGeom>
                    <a:noFill/>
                  </pic:spPr>
                </pic:pic>
              </a:graphicData>
            </a:graphic>
          </wp:anchor>
        </w:drawing>
      </w:r>
    </w:p>
    <w:p>
      <w:pPr>
        <w:sectPr>
          <w:pgSz w:w="11900" w:h="16838" w:orient="portrait"/>
          <w:cols w:equalWidth="0" w:num="1">
            <w:col w:w="10660"/>
          </w:cols>
          <w:pgMar w:left="320" w:top="454" w:right="9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210820</wp:posOffset>
            </wp:positionV>
            <wp:extent cx="6804660" cy="86950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4660" cy="869505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210820</wp:posOffset>
            </wp:positionV>
            <wp:extent cx="5843905" cy="75609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43905" cy="75609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210820</wp:posOffset>
            </wp:positionV>
            <wp:extent cx="5843905" cy="75609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43905" cy="75609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210820</wp:posOffset>
            </wp:positionV>
            <wp:extent cx="5843905" cy="75609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843905" cy="75609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210820</wp:posOffset>
            </wp:positionV>
            <wp:extent cx="5843905" cy="75609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843905" cy="7560945"/>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6"/>
      <w:numFmt w:val="bullet"/>
      <w:start w:val="1"/>
    </w:lvl>
  </w:abstractNum>
  <w:abstractNum w:abstractNumId="18">
    <w:nsid w:val="613EFDC5"/>
    <w:multiLevelType w:val="hybridMultilevel"/>
    <w:lvl w:ilvl="0">
      <w:lvlJc w:val="left"/>
      <w:lvlText w:val="4"/>
      <w:numFmt w:val="bullet"/>
      <w:start w:val="1"/>
    </w:lvl>
  </w:abstractNum>
  <w:abstractNum w:abstractNumId="19">
    <w:nsid w:val="BF72B14"/>
    <w:multiLevelType w:val="hybridMultilevel"/>
    <w:lvl w:ilvl="0">
      <w:lvlJc w:val="left"/>
      <w:lvlText w:val="5"/>
      <w:numFmt w:val="bullet"/>
      <w:start w:val="1"/>
    </w:lvl>
  </w:abstractNum>
  <w:abstractNum w:abstractNumId="20">
    <w:nsid w:val="11447B73"/>
    <w:multiLevelType w:val="hybridMultilevel"/>
    <w:lvl w:ilvl="0">
      <w:lvlJc w:val="left"/>
      <w:lvlText w:val="6"/>
      <w:numFmt w:val="bullet"/>
      <w:start w:val="1"/>
    </w:lvl>
  </w:abstractNum>
  <w:abstractNum w:abstractNumId="21">
    <w:nsid w:val="42963E5A"/>
    <w:multiLevelType w:val="hybridMultilevel"/>
    <w:lvl w:ilvl="0">
      <w:lvlJc w:val="left"/>
      <w:lvlText w:val="8"/>
      <w:numFmt w:val="bullet"/>
      <w:start w:val="1"/>
    </w:lvl>
  </w:abstractNum>
  <w:abstractNum w:abstractNumId="22">
    <w:nsid w:val="A0382C5"/>
    <w:multiLevelType w:val="hybridMultilevel"/>
    <w:lvl w:ilvl="0">
      <w:lvlJc w:val="left"/>
      <w:lvlText w:val="7"/>
      <w:numFmt w:val="bullet"/>
      <w:start w:val="1"/>
    </w:lvl>
  </w:abstractNum>
  <w:abstractNum w:abstractNumId="23">
    <w:nsid w:val="8F2B15E"/>
    <w:multiLevelType w:val="hybridMultilevel"/>
    <w:lvl w:ilvl="0">
      <w:lvlJc w:val="left"/>
      <w:lvlText w:val="4"/>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lvl w:ilvl="1">
      <w:lvlJc w:val="left"/>
      <w:lvlText w:val=" "/>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lvl w:ilvl="1">
      <w:lvlJc w:val="left"/>
      <w:lvlText w:val=" "/>
      <w:numFmt w:val="bullet"/>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1"/>
    </w:lvl>
    <w:lvl w:ilvl="1">
      <w:lvlJc w:val="left"/>
      <w:lvlText w:val="%2"/>
      <w:numFmt w:val="upperLetter"/>
      <w:start w:val="1"/>
    </w:lvl>
    <w:lvl w:ilvl="2">
      <w:lvlJc w:val="left"/>
      <w:lvlText w:val=" "/>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lvl w:ilvl="1">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1)"/>
      <w:numFmt w:val="decimal"/>
      <w:start w:val="1"/>
    </w:lvl>
  </w:abstractNum>
  <w:abstractNum w:abstractNumId="84">
    <w:nsid w:val="1D9F6E5F"/>
    <w:multiLevelType w:val="hybridMultilevel"/>
    <w:lvl w:ilvl="0">
      <w:lvlJc w:val="left"/>
      <w:lvlText w:val="(%1)"/>
      <w:numFmt w:val="decimal"/>
      <w:start w:val="4"/>
    </w:lvl>
  </w:abstractNum>
  <w:abstractNum w:abstractNumId="85">
    <w:nsid w:val="97E1B4E"/>
    <w:multiLevelType w:val="hybridMultilevel"/>
    <w:lvl w:ilvl="0">
      <w:lvlJc w:val="left"/>
      <w:lvlText w:val="(%1)"/>
      <w:numFmt w:val="decimal"/>
      <w:start w:val="5"/>
    </w:lvl>
  </w:abstractNum>
  <w:abstractNum w:abstractNumId="86">
    <w:nsid w:val="51088277"/>
    <w:multiLevelType w:val="hybridMultilevel"/>
    <w:lvl w:ilvl="0">
      <w:lvlJc w:val="left"/>
      <w:lvlText w:val="(%1)"/>
      <w:numFmt w:val="decimal"/>
      <w:start w:val="1"/>
    </w:lvl>
  </w:abstractNum>
  <w:abstractNum w:abstractNumId="87">
    <w:nsid w:val="1CA0C5FA"/>
    <w:multiLevelType w:val="hybridMultilevel"/>
    <w:lvl w:ilvl="0">
      <w:lvlJc w:val="left"/>
      <w:lvlText w:val="(%1)"/>
      <w:numFmt w:val="decimal"/>
      <w:start w:val="5"/>
    </w:lvl>
  </w:abstractNum>
  <w:abstractNum w:abstractNumId="88">
    <w:nsid w:val="53584BCB"/>
    <w:multiLevelType w:val="hybridMultilevel"/>
    <w:lvl w:ilvl="0">
      <w:lvlJc w:val="left"/>
      <w:lvlText w:val="(%1)"/>
      <w:numFmt w:val="decimal"/>
      <w:start w:val="1"/>
    </w:lvl>
    <w:lvl w:ilvl="1">
      <w:lvlJc w:val="left"/>
      <w:lvlText w:val=" "/>
      <w:numFmt w:val="bullet"/>
      <w:start w:val="1"/>
    </w:lvl>
  </w:abstractNum>
  <w:abstractNum w:abstractNumId="89">
    <w:nsid w:val="415E286C"/>
    <w:multiLevelType w:val="hybridMultilevel"/>
    <w:lvl w:ilvl="0">
      <w:lvlJc w:val="left"/>
      <w:lvlText w:val="(%1)"/>
      <w:numFmt w:val="decimal"/>
      <w:start w:val="2"/>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 "/>
      <w:numFmt w:val="bullet"/>
      <w:start w:val="1"/>
    </w:lvl>
  </w:abstractNum>
  <w:abstractNum w:abstractNumId="94">
    <w:nsid w:val="E7FFA2B"/>
    <w:multiLevelType w:val="hybridMultilevel"/>
    <w:lvl w:ilvl="0">
      <w:lvlJc w:val="left"/>
      <w:lvlText w:val="(%1)"/>
      <w:numFmt w:val="decimal"/>
      <w:start w:val="2"/>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decimal"/>
      <w:start w:val="3"/>
    </w:lvl>
  </w:abstractNum>
  <w:abstractNum w:abstractNumId="97">
    <w:nsid w:val="78DF6A55"/>
    <w:multiLevelType w:val="hybridMultilevel"/>
    <w:lvl w:ilvl="0">
      <w:lvlJc w:val="left"/>
      <w:lvlText w:val="●"/>
      <w:numFmt w:val="bullet"/>
      <w:start w:val="1"/>
    </w:lvl>
    <w:lvl w:ilvl="1">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1)"/>
      <w:numFmt w:val="decimal"/>
      <w:start w:val="2"/>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decimal"/>
      <w:start w:val="8"/>
    </w:lvl>
  </w:abstractNum>
  <w:abstractNum w:abstractNumId="103">
    <w:nsid w:val="2C27173B"/>
    <w:multiLevelType w:val="hybridMultilevel"/>
    <w:lvl w:ilvl="0">
      <w:lvlJc w:val="left"/>
      <w:lvlText w:val="(%1)"/>
      <w:numFmt w:val="lowerRoman"/>
      <w:start w:val="2"/>
    </w:lvl>
  </w:abstractNum>
  <w:abstractNum w:abstractNumId="104">
    <w:nsid w:val="4C9B0904"/>
    <w:multiLevelType w:val="hybridMultilevel"/>
    <w:lvl w:ilvl="0">
      <w:lvlJc w:val="left"/>
      <w:lvlText w:val="●"/>
      <w:numFmt w:val="bullet"/>
      <w:start w:val="1"/>
    </w:lvl>
    <w:lvl w:ilvl="1">
      <w:lvlJc w:val="left"/>
      <w:lvlText w:val="%2."/>
      <w:numFmt w:val="decimal"/>
      <w:start w:val="1"/>
    </w:lvl>
  </w:abstractNum>
  <w:abstractNum w:abstractNumId="105">
    <w:nsid w:val="6AA7B75C"/>
    <w:multiLevelType w:val="hybridMultilevel"/>
    <w:lvl w:ilvl="0">
      <w:lvlJc w:val="left"/>
      <w:lvlText w:val="●"/>
      <w:numFmt w:val="bullet"/>
      <w:start w:val="1"/>
    </w:lvl>
    <w:lvl w:ilvl="1">
      <w:lvlJc w:val="left"/>
      <w:lvlText w:val="%2."/>
      <w:numFmt w:val="decimal"/>
      <w:start w:val="2"/>
    </w:lvl>
  </w:abstractNum>
  <w:abstractNum w:abstractNumId="106">
    <w:nsid w:val="1DF029D3"/>
    <w:multiLevelType w:val="hybridMultilevel"/>
    <w:lvl w:ilvl="0">
      <w:lvlJc w:val="left"/>
      <w:lvlText w:val="●"/>
      <w:numFmt w:val="bullet"/>
      <w:start w:val="1"/>
    </w:lvl>
    <w:lvl w:ilvl="1">
      <w:lvlJc w:val="left"/>
      <w:lvlText w:val="%2."/>
      <w:numFmt w:val="decimal"/>
      <w:start w:val="3"/>
    </w:lvl>
  </w:abstractNum>
  <w:abstractNum w:abstractNumId="107">
    <w:nsid w:val="5675FF36"/>
    <w:multiLevelType w:val="hybridMultilevel"/>
    <w:lvl w:ilvl="0">
      <w:lvlJc w:val="left"/>
      <w:lvlText w:val="%1)"/>
      <w:numFmt w:val="upperLetter"/>
      <w:start w:val="17"/>
    </w:lvl>
  </w:abstractNum>
  <w:abstractNum w:abstractNumId="108">
    <w:nsid w:val="3DD15094"/>
    <w:multiLevelType w:val="hybridMultilevel"/>
    <w:lvl w:ilvl="0">
      <w:lvlJc w:val="left"/>
      <w:lvlText w:val="%1)"/>
      <w:numFmt w:val="upperLetter"/>
      <w:start w:val="1"/>
    </w:lvl>
  </w:abstractNum>
  <w:abstractNum w:abstractNumId="109">
    <w:nsid w:val="3DB012B3"/>
    <w:multiLevelType w:val="hybridMultilevel"/>
    <w:lvl w:ilvl="0">
      <w:lvlJc w:val="left"/>
      <w:lvlText w:val="%1)"/>
      <w:numFmt w:val="upperLetter"/>
      <w:start w:val="17"/>
    </w:lvl>
  </w:abstractNum>
  <w:abstractNum w:abstractNumId="110">
    <w:nsid w:val="2708C9AF"/>
    <w:multiLevelType w:val="hybridMultilevel"/>
    <w:lvl w:ilvl="0">
      <w:lvlJc w:val="left"/>
      <w:lvlText w:val="%1)"/>
      <w:numFmt w:val="upperLetter"/>
      <w:start w:val="1"/>
    </w:lvl>
  </w:abstractNum>
  <w:abstractNum w:abstractNumId="111">
    <w:nsid w:val="5B25ACE2"/>
    <w:multiLevelType w:val="hybridMultilevel"/>
    <w:lvl w:ilvl="0">
      <w:lvlJc w:val="left"/>
      <w:lvlText w:val="%1)"/>
      <w:numFmt w:val="upperLetter"/>
      <w:start w:val="17"/>
    </w:lvl>
  </w:abstractNum>
  <w:abstractNum w:abstractNumId="112">
    <w:nsid w:val="175DFCF0"/>
    <w:multiLevelType w:val="hybridMultilevel"/>
    <w:lvl w:ilvl="0">
      <w:lvlJc w:val="left"/>
      <w:lvlText w:val="%1)"/>
      <w:numFmt w:val="upperLetter"/>
      <w:start w:val="1"/>
    </w:lvl>
  </w:abstractNum>
  <w:abstractNum w:abstractNumId="113">
    <w:nsid w:val="4F97E3E4"/>
    <w:multiLevelType w:val="hybridMultilevel"/>
    <w:lvl w:ilvl="0">
      <w:lvlJc w:val="left"/>
      <w:lvlText w:val="%1)"/>
      <w:numFmt w:val="upperLetter"/>
      <w:start w:val="17"/>
    </w:lvl>
  </w:abstractNum>
  <w:abstractNum w:abstractNumId="114">
    <w:nsid w:val="53B0A9E"/>
    <w:multiLevelType w:val="hybridMultilevel"/>
    <w:lvl w:ilvl="0">
      <w:lvlJc w:val="left"/>
      <w:lvlText w:val="%1)"/>
      <w:numFmt w:val="upperLetter"/>
      <w:start w:val="1"/>
    </w:lvl>
  </w:abstractNum>
  <w:abstractNum w:abstractNumId="115">
    <w:nsid w:val="34FD6B4F"/>
    <w:multiLevelType w:val="hybridMultilevel"/>
    <w:lvl w:ilvl="0">
      <w:lvlJc w:val="left"/>
      <w:lvlText w:val="%1)"/>
      <w:numFmt w:val="upperLetter"/>
      <w:start w:val="17"/>
    </w:lvl>
  </w:abstractNum>
  <w:abstractNum w:abstractNumId="116">
    <w:nsid w:val="5915FF32"/>
    <w:multiLevelType w:val="hybridMultilevel"/>
    <w:lvl w:ilvl="0">
      <w:lvlJc w:val="left"/>
      <w:lvlText w:val="%1)"/>
      <w:numFmt w:val="upperLetter"/>
      <w:start w:val="1"/>
    </w:lvl>
  </w:abstractNum>
  <w:abstractNum w:abstractNumId="117">
    <w:nsid w:val="56438D15"/>
    <w:multiLevelType w:val="hybridMultilevel"/>
    <w:lvl w:ilvl="0">
      <w:lvlJc w:val="left"/>
      <w:lvlText w:val="%1)"/>
      <w:numFmt w:val="upperLetter"/>
      <w:start w:val="17"/>
    </w:lvl>
  </w:abstractNum>
  <w:abstractNum w:abstractNumId="118">
    <w:nsid w:val="519E3149"/>
    <w:multiLevelType w:val="hybridMultilevel"/>
    <w:lvl w:ilvl="0">
      <w:lvlJc w:val="left"/>
      <w:lvlText w:val="%1)"/>
      <w:numFmt w:val="upperLetter"/>
      <w:start w:val="1"/>
    </w:lvl>
  </w:abstractNum>
  <w:abstractNum w:abstractNumId="119">
    <w:nsid w:val="2C6E4AFD"/>
    <w:multiLevelType w:val="hybridMultilevel"/>
    <w:lvl w:ilvl="0">
      <w:lvlJc w:val="left"/>
      <w:lvlText w:val="%1)"/>
      <w:numFmt w:val="upperLetter"/>
      <w:start w:val="17"/>
    </w:lvl>
  </w:abstractNum>
  <w:abstractNum w:abstractNumId="120">
    <w:nsid w:val="17A1B582"/>
    <w:multiLevelType w:val="hybridMultilevel"/>
    <w:lvl w:ilvl="0">
      <w:lvlJc w:val="left"/>
      <w:lvlText w:val="%1)"/>
      <w:numFmt w:val="upperLetter"/>
      <w:start w:val="1"/>
    </w:lvl>
  </w:abstractNum>
  <w:abstractNum w:abstractNumId="121">
    <w:nsid w:val="4DF72E4E"/>
    <w:multiLevelType w:val="hybridMultilevel"/>
    <w:lvl w:ilvl="0">
      <w:lvlJc w:val="left"/>
      <w:lvlText w:val="%1)"/>
      <w:numFmt w:val="upperLetter"/>
      <w:start w:val="17"/>
    </w:lvl>
  </w:abstractNum>
  <w:abstractNum w:abstractNumId="122">
    <w:nsid w:val="5046B5A9"/>
    <w:multiLevelType w:val="hybridMultilevel"/>
    <w:lvl w:ilvl="0">
      <w:lvlJc w:val="left"/>
      <w:lvlText w:val="%1)"/>
      <w:numFmt w:val="upperLetter"/>
      <w:start w:val="1"/>
    </w:lvl>
  </w:abstractNum>
  <w:abstractNum w:abstractNumId="123">
    <w:nsid w:val="5D888A08"/>
    <w:multiLevelType w:val="hybridMultilevel"/>
    <w:lvl w:ilvl="0">
      <w:lvlJc w:val="left"/>
      <w:lvlText w:val="%1)"/>
      <w:numFmt w:val="upperLetter"/>
      <w:start w:val="17"/>
    </w:lvl>
  </w:abstractNum>
  <w:abstractNum w:abstractNumId="124">
    <w:nsid w:val="2A082C70"/>
    <w:multiLevelType w:val="hybridMultilevel"/>
    <w:lvl w:ilvl="0">
      <w:lvlJc w:val="left"/>
      <w:lvlText w:val="%1)"/>
      <w:numFmt w:val="upperLetter"/>
      <w:start w:val="1"/>
    </w:lvl>
  </w:abstractNum>
  <w:abstractNum w:abstractNumId="125">
    <w:nsid w:val="5EC6AFD4"/>
    <w:multiLevelType w:val="hybridMultilevel"/>
    <w:lvl w:ilvl="0">
      <w:lvlJc w:val="left"/>
      <w:lvlText w:val="%1)"/>
      <w:numFmt w:val="upperLetter"/>
      <w:start w:val="17"/>
    </w:lvl>
  </w:abstractNum>
  <w:abstractNum w:abstractNumId="126">
    <w:nsid w:val="19E21BB2"/>
    <w:multiLevelType w:val="hybridMultilevel"/>
    <w:lvl w:ilvl="0">
      <w:lvlJc w:val="left"/>
      <w:lvlText w:val="%1)"/>
      <w:numFmt w:val="upperLetter"/>
      <w:start w:val="1"/>
    </w:lvl>
  </w:abstractNum>
  <w:abstractNum w:abstractNumId="127">
    <w:nsid w:val="75E0858A"/>
    <w:multiLevelType w:val="hybridMultilevel"/>
    <w:lvl w:ilvl="0">
      <w:lvlJc w:val="left"/>
      <w:lvlText w:val="%1)"/>
      <w:numFmt w:val="upperLetter"/>
      <w:start w:val="17"/>
    </w:lvl>
  </w:abstractNum>
  <w:abstractNum w:abstractNumId="128">
    <w:nsid w:val="57A61A29"/>
    <w:multiLevelType w:val="hybridMultilevel"/>
    <w:lvl w:ilvl="0">
      <w:lvlJc w:val="left"/>
      <w:lvlText w:val="%1)"/>
      <w:numFmt w:val="upperLetter"/>
      <w:start w:val="1"/>
    </w:lvl>
  </w:abstractNum>
  <w:abstractNum w:abstractNumId="129">
    <w:nsid w:val="5399C654"/>
    <w:multiLevelType w:val="hybridMultilevel"/>
    <w:lvl w:ilvl="0">
      <w:lvlJc w:val="left"/>
      <w:lvlText w:val="%1)"/>
      <w:numFmt w:val="upperLetter"/>
      <w:start w:val="17"/>
    </w:lvl>
  </w:abstractNum>
  <w:abstractNum w:abstractNumId="130">
    <w:nsid w:val="20EE1348"/>
    <w:multiLevelType w:val="hybridMultilevel"/>
    <w:lvl w:ilvl="0">
      <w:lvlJc w:val="left"/>
      <w:lvlText w:val="%1)"/>
      <w:numFmt w:val="upperLetter"/>
      <w:start w:val="1"/>
    </w:lvl>
  </w:abstractNum>
  <w:abstractNum w:abstractNumId="131">
    <w:nsid w:val="4427069A"/>
    <w:multiLevelType w:val="hybridMultilevel"/>
    <w:lvl w:ilvl="0">
      <w:lvlJc w:val="left"/>
      <w:lvlText w:val="%1)"/>
      <w:numFmt w:val="upperLetter"/>
      <w:start w:val="17"/>
    </w:lvl>
  </w:abstractNum>
  <w:abstractNum w:abstractNumId="132">
    <w:nsid w:val="B37E80A"/>
    <w:multiLevelType w:val="hybridMultilevel"/>
    <w:lvl w:ilvl="0">
      <w:lvlJc w:val="left"/>
      <w:lvlText w:val="%1)"/>
      <w:numFmt w:val="upperLetter"/>
      <w:start w:val="1"/>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2026-04-13T15:12:58Z</dcterms:created>
  <dcterms:modified xsi:type="dcterms:W3CDTF">2026-04-13T15:12:58Z</dcterms:modified>
</cp:coreProperties>
</file>