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tabs>
          <w:tab w:leader="none" w:pos="324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9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0"/>
          <w:szCs w:val="40"/>
          <w:b w:val="1"/>
          <w:bCs w:val="1"/>
          <w:color w:val="auto"/>
        </w:rPr>
        <w:t>Kelly Services, Inc.</w:t>
      </w:r>
    </w:p>
    <w:p>
      <w:pPr>
        <w:spacing w:after="0" w:line="4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09"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33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 (b) per Exchange Act Rules 14a-6(i)(l)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163195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67" w:lineRule="exact"/>
        <w:rPr>
          <w:sz w:val="20"/>
          <w:szCs w:val="20"/>
          <w:color w:val="auto"/>
        </w:rPr>
      </w:pPr>
    </w:p>
    <w:p>
      <w:pPr>
        <w:ind w:left="2260"/>
        <w:spacing w:after="0"/>
        <w:rPr>
          <w:sz w:val="20"/>
          <w:szCs w:val="20"/>
          <w:color w:val="auto"/>
        </w:rPr>
      </w:pPr>
      <w:r>
        <w:rPr>
          <w:rFonts w:ascii="Arial" w:cs="Arial" w:eastAsia="Arial" w:hAnsi="Arial"/>
          <w:sz w:val="65"/>
          <w:szCs w:val="65"/>
          <w:b w:val="1"/>
          <w:bCs w:val="1"/>
          <w:color w:val="auto"/>
        </w:rPr>
        <w:t>Letter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-435610</wp:posOffset>
            </wp:positionV>
            <wp:extent cx="1036955" cy="9429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3695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17, 2023</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27"/>
          <w:szCs w:val="27"/>
          <w:b w:val="1"/>
          <w:bCs w:val="1"/>
          <w:color w:val="auto"/>
        </w:rPr>
        <w:t>Dear Shareholders:</w:t>
      </w:r>
    </w:p>
    <w:p>
      <w:pPr>
        <w:spacing w:after="0" w:line="204"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color w:val="auto"/>
        </w:rPr>
        <w:t>2022 was a year of steady progress for Kelly as our team navigated dynamic geopolitical, macroeconomic, and labor environments. We entered the year with energy and optimism, poised to capture new growth opportunities that began to emerge as the pandemic loosened its grip on the global economy. The first half of 2022 followed a familiar trend of talent shortages coupled with strong demand for our services and solutions. Early in the third quarter, a mixed pattern of deceleration emerged in some sectors – driven by inflationary pressures and rising interest rates – which persisted through the balance of the year. Despite these headwinds, the Kelly team remained focused on executing our specialty strategy and creating long-term value for all our stakeholders.</w:t>
      </w:r>
    </w:p>
    <w:p>
      <w:pPr>
        <w:sectPr>
          <w:pgSz w:w="11900" w:h="16838" w:orient="portrait"/>
          <w:cols w:equalWidth="0" w:num="1">
            <w:col w:w="11120"/>
          </w:cols>
          <w:pgMar w:left="320" w:top="482" w:right="459" w:bottom="1440" w:gutter="0" w:footer="0" w:header="0"/>
        </w:sectPr>
      </w:pPr>
    </w:p>
    <w:p>
      <w:pPr>
        <w:spacing w:after="0" w:line="33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Executing Our Specialty Strategy</w:t>
      </w:r>
    </w:p>
    <w:p>
      <w:pPr>
        <w:spacing w:after="0" w:line="127"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Each of our five specialty business units made strategic contributions to Kelly’s progress on our growth journey in 2022. Our ability to capture strong demand in the first half – particularly in our Science, Engineering &amp; Technology, Education, and OCG business units – set the stage for our team to deliver quality revenue growth for the full year. By intentionally pursuing higher-margin, higher-value business opportunities, we succeeded in expanding our gross profit margin in every segment, lifting Kelly’s gross profit margin above 20 percent for the first time in more than 25 years. Furthermore, we demonstrated our ability to effectively translate higher margins to earnings growth as we improved operating earnings 30 percent on an adjusted basis compared to 2021. Together, these achievements signal that our specialty strategy is delivering results.</w:t>
      </w:r>
    </w:p>
    <w:p>
      <w:pPr>
        <w:spacing w:after="0" w:line="91"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We also took several bold actions in 2022 to reallocate capital in support of our specialty strategy. In February, we ended the cross-ownership arrangement between Kelly and Persol Holdings and reduced our ownership interest in our PersolKelly joint venture. We redeployed a portion of the net proceeds from those transactions to advance our inorganic growth strategy while preserving the remaining capital to pursue additional high-margin, high-growth acquisitions in the future. We monetized non-core real estate holdings throughout the year as well, unlocking more capital to invest in growth initiatives. As a complement to these elements of our capital allocation strategy, we increased our dividend to its pre-pandemic level and authorized a $50 million repurchase of outstanding Class A common shares. These actions are indicative of a Kelly that acts decisively in pursuit of profitable growth and long-term value creation.</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Reinforcing Good Governance Practices</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ind w:right="40"/>
        <w:spacing w:after="0" w:line="261" w:lineRule="auto"/>
        <w:rPr>
          <w:sz w:val="20"/>
          <w:szCs w:val="20"/>
          <w:color w:val="auto"/>
        </w:rPr>
      </w:pPr>
      <w:r>
        <w:rPr>
          <w:rFonts w:ascii="Arial" w:cs="Arial" w:eastAsia="Arial" w:hAnsi="Arial"/>
          <w:sz w:val="23"/>
          <w:szCs w:val="23"/>
          <w:b w:val="1"/>
          <w:bCs w:val="1"/>
          <w:color w:val="auto"/>
        </w:rPr>
        <w:t>“I have great confidence in our team’s capacity to meet the moment and deliver on our strategic priorities in 2023 – even in the face of macroeconomic uncertainty. This has been a defining characteristic of Kelly people since our founding more than 75 years ago and has contributed in no small way to the longevity of this great company.”</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AF41"/>
        </w:rPr>
        <w:t>Peter Quigley</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6"/>
          <w:szCs w:val="16"/>
          <w:color w:val="00AF41"/>
        </w:rPr>
        <w:t>President and CEO</w:t>
      </w:r>
    </w:p>
    <w:p>
      <w:pPr>
        <w:spacing w:after="0" w:line="772" w:lineRule="exact"/>
        <w:rPr>
          <w:sz w:val="20"/>
          <w:szCs w:val="20"/>
          <w:color w:val="auto"/>
        </w:rPr>
      </w:pPr>
    </w:p>
    <w:p>
      <w:pPr>
        <w:sectPr>
          <w:pgSz w:w="11900" w:h="16838" w:orient="portrait"/>
          <w:cols w:equalWidth="0" w:num="2">
            <w:col w:w="7140" w:space="260"/>
            <w:col w:w="3720"/>
          </w:cols>
          <w:pgMar w:left="320" w:top="482" w:right="459" w:bottom="1440" w:gutter="0" w:footer="0" w:header="0"/>
          <w:type w:val="continuous"/>
        </w:sectPr>
      </w:pPr>
    </w:p>
    <w:p>
      <w:pPr>
        <w:ind w:left="120"/>
        <w:spacing w:after="0" w:line="254" w:lineRule="auto"/>
        <w:rPr>
          <w:sz w:val="20"/>
          <w:szCs w:val="20"/>
          <w:color w:val="auto"/>
        </w:rPr>
      </w:pPr>
      <w:r>
        <w:rPr>
          <w:rFonts w:ascii="Arial" w:cs="Arial" w:eastAsia="Arial" w:hAnsi="Arial"/>
          <w:sz w:val="16"/>
          <w:szCs w:val="16"/>
          <w:color w:val="auto"/>
        </w:rPr>
        <w:t>Underpinning our efforts to accelerate value creation is our unwavering commitment to effective corporate governance. In 2022, we welcomed two new independent directors to Kelly’s Board – Amala Duggirala and InaMarie Johnson – both of whom benefited from a new, robust director orientation program designed to empower them to quickly become valuable contributors to the Company’s governing body. We are appreciative of their service to our Board, as we are of all our distinguished directors whose insights inform key aspects of our strategy – from M&amp;A and human capital management to digitization and cybersecurity. Each director brings a diverse set of experiences and skills that strengthen the Board’s ability to carry out its oversight role on behalf of shareholders.</w:t>
      </w:r>
    </w:p>
    <w:p>
      <w:pPr>
        <w:spacing w:after="0" w:line="102" w:lineRule="exact"/>
        <w:rPr>
          <w:sz w:val="20"/>
          <w:szCs w:val="20"/>
          <w:color w:val="auto"/>
        </w:rPr>
      </w:pPr>
    </w:p>
    <w:p>
      <w:pPr>
        <w:ind w:left="109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6682740</wp:posOffset>
            </wp:positionH>
            <wp:positionV relativeFrom="paragraph">
              <wp:posOffset>-142875</wp:posOffset>
            </wp:positionV>
            <wp:extent cx="8890" cy="2311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23114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-142875</wp:posOffset>
            </wp:positionV>
            <wp:extent cx="411480" cy="196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Letter to Shareholders</w:t>
      </w:r>
    </w:p>
    <w:p>
      <w:pPr>
        <w:spacing w:after="0" w:line="143"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Consistent with our commitment to transparency and accountability, we continue to strengthen our executive compensation and compliance practices as well. This includes disclosing additional information related to executive compensation that provides greater visibility into how we are aligning compensation with financial performance. We also implemented updates to our clawback and insider trading compliance policies that mitigate risk for the Company and our shareholders. Together, these changes contribute to a corporate culture that emphasizes good governance, compliance, and performance.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Elevating DE&amp;I as a Business Priority</w:t>
      </w:r>
    </w:p>
    <w:p>
      <w:pPr>
        <w:spacing w:after="0" w:line="194"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As we accelerated our strategic transformation in 2022, we also took action to advance our progress along our diversity, equity, and inclusion journey. In September, we announced the appointment of Keilon Ratliff as Kelly’s first Chief Diversity Officer and a member of the Company’s senior leadership team. Under his leadership, Kelly formed a Chief Diversity Office – a dedicated team of leaders who together are driving a multi-year strategy to integrate diversity, equity, and inclusion into our workplace, among our workforce, and within the marketplace.</w:t>
      </w:r>
    </w:p>
    <w:p>
      <w:pPr>
        <w:spacing w:after="0" w:line="97" w:lineRule="exact"/>
        <w:rPr>
          <w:sz w:val="20"/>
          <w:szCs w:val="20"/>
          <w:color w:val="auto"/>
        </w:rPr>
      </w:pPr>
    </w:p>
    <w:p>
      <w:pPr>
        <w:ind w:left="120" w:right="380"/>
        <w:spacing w:after="0" w:line="259" w:lineRule="auto"/>
        <w:rPr>
          <w:sz w:val="20"/>
          <w:szCs w:val="20"/>
          <w:color w:val="auto"/>
        </w:rPr>
      </w:pPr>
      <w:r>
        <w:rPr>
          <w:rFonts w:ascii="Arial" w:cs="Arial" w:eastAsia="Arial" w:hAnsi="Arial"/>
          <w:sz w:val="16"/>
          <w:szCs w:val="16"/>
          <w:color w:val="auto"/>
        </w:rPr>
        <w:t>The creation of the Chief Diversity Officer position with Kelly’s senior leadership team and the formation of the Company’s Chief Diversity Office demonstrates our continued belief that fostering diversity, equity, and inclusion in the workplace will position Kelly to compete and grow over the long term. Our abilities to innovate and meet the ever-changing needs of our talent and customers are dependent upon attracting and retaining talent with diverse perspectives and backgrounds and creating an environment in which everyone can thrive.</w:t>
      </w:r>
    </w:p>
    <w:p>
      <w:pPr>
        <w:spacing w:after="0" w:line="178"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color w:val="auto"/>
        </w:rPr>
        <w:t>It also reflects our strategic intent to do well while we are doing good – a central tenet of Kelly’s integrated Environmental, Social, and Governance (“ESG”) reporting framework which we formally communicate through our Corporate Sustainability and ESG Report 2022 titled, “Growing with Purpose.” The report is prepared in alignment with the Global Reporting Initiative Standards set forth by the United Nations Global Compact Guidelines and discloses our corporate sustainability strategy as aligned to the ESG framework.</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Unlocking Value Together in 2023</w:t>
      </w:r>
    </w:p>
    <w:p>
      <w:pPr>
        <w:spacing w:after="0" w:line="194"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It is difficult to know how the macroeconomic situation will unfold as we move forward in 2023. What is certain is that we will focus on what we can control and stay the course in our aggressive pursuit of profitable growth.</w:t>
      </w:r>
    </w:p>
    <w:p>
      <w:pPr>
        <w:spacing w:after="0" w:line="75"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In each of our business units, we will continue to shift toward a business mix characterized not only by higher margins and value, but greater resiliency amid market pressures. We will drive inorganic growth using the ample capital available to us to pursue additional high-quality acquisitions in our Science, Engineering &amp; Technology, Education, and OCG business units. Furthermore, we will continue to invest in technology and new products that will improve the talent and customer experience, enable organic growth, and increase efficiency.</w:t>
      </w:r>
    </w:p>
    <w:p>
      <w:pPr>
        <w:spacing w:after="0" w:line="110" w:lineRule="exact"/>
        <w:rPr>
          <w:sz w:val="20"/>
          <w:szCs w:val="20"/>
          <w:color w:val="auto"/>
        </w:rPr>
      </w:pPr>
    </w:p>
    <w:p>
      <w:pPr>
        <w:ind w:left="120" w:right="480"/>
        <w:spacing w:after="0" w:line="266" w:lineRule="auto"/>
        <w:rPr>
          <w:sz w:val="20"/>
          <w:szCs w:val="20"/>
          <w:color w:val="auto"/>
        </w:rPr>
      </w:pPr>
      <w:r>
        <w:rPr>
          <w:rFonts w:ascii="Arial" w:cs="Arial" w:eastAsia="Arial" w:hAnsi="Arial"/>
          <w:sz w:val="16"/>
          <w:szCs w:val="16"/>
          <w:color w:val="auto"/>
        </w:rPr>
        <w:t>As the macroeconomic situation evolves in 2023, we are also committed to ensuring our cost base reflects our operating environment, our strategic priorities, and performance. Longer term, we are reviewing our growth and efficiency objectives as we approach the three-year anniversary of our operating model. Our focus is on creating additional levers for value creation.</w:t>
      </w:r>
    </w:p>
    <w:p>
      <w:pPr>
        <w:spacing w:after="0" w:line="104"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Working as one team with our Noble Purpose as our guide, we will deliver on these priorities and create long-term value for all our stakeholders – helping our talent and customers thrive and rewarding you, our shareholders, for your patience since we embarked on this transformation.</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-142875</wp:posOffset>
            </wp:positionV>
            <wp:extent cx="8890" cy="231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23177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-142875</wp:posOffset>
            </wp:positionV>
            <wp:extent cx="411480" cy="196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4" w:lineRule="exact"/>
        <w:rPr>
          <w:sz w:val="20"/>
          <w:szCs w:val="20"/>
          <w:color w:val="auto"/>
        </w:rPr>
      </w:pPr>
    </w:p>
    <w:p>
      <w:pPr>
        <w:ind w:left="120" w:right="380"/>
        <w:spacing w:after="0" w:line="286" w:lineRule="auto"/>
        <w:rPr>
          <w:sz w:val="20"/>
          <w:szCs w:val="20"/>
          <w:color w:val="auto"/>
        </w:rPr>
      </w:pPr>
      <w:r>
        <w:rPr>
          <w:rFonts w:ascii="Arial" w:cs="Arial" w:eastAsia="Arial" w:hAnsi="Arial"/>
          <w:sz w:val="16"/>
          <w:szCs w:val="16"/>
          <w:color w:val="auto"/>
        </w:rPr>
        <w:t>On behalf of the entire Kelly team, thank you for your continued support as we move forward on our journey to unleash the full potential of this great Company.</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 appreciation,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149225</wp:posOffset>
            </wp:positionV>
            <wp:extent cx="1294130" cy="420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94130" cy="420370"/>
                    </a:xfrm>
                    <a:prstGeom prst="rect">
                      <a:avLst/>
                    </a:prstGeom>
                    <a:noFill/>
                  </pic:spPr>
                </pic:pic>
              </a:graphicData>
            </a:graphic>
          </wp:anchor>
        </w:drawing>
      </w:r>
    </w:p>
    <w:p>
      <w:pPr>
        <w:sectPr>
          <w:pgSz w:w="11900" w:h="16838" w:orient="portrait"/>
          <w:cols w:equalWidth="0" w:num="1">
            <w:col w:w="11060"/>
          </w:cols>
          <w:pgMar w:left="320" w:top="482"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Donald Parfet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Peter Quigley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-1776730</wp:posOffset>
            </wp:positionH>
            <wp:positionV relativeFrom="paragraph">
              <wp:posOffset>165100</wp:posOffset>
            </wp:positionV>
            <wp:extent cx="6480810" cy="16205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80810" cy="16205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00" w:space="720"/>
            <w:col w:w="7740"/>
          </w:cols>
          <w:pgMar w:left="320" w:top="482"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6682740</wp:posOffset>
            </wp:positionH>
            <wp:positionV relativeFrom="paragraph">
              <wp:posOffset>-135890</wp:posOffset>
            </wp:positionV>
            <wp:extent cx="8890" cy="2311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23114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-135890</wp:posOffset>
            </wp:positionV>
            <wp:extent cx="411480"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060"/>
          </w:cols>
          <w:pgMar w:left="320" w:top="482" w:right="51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Notice of Annual Meeting of Shareholders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2023 Annual Meeting of Shareholders</w:t>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297"/>
        </w:trPr>
        <w:tc>
          <w:tcPr>
            <w:tcW w:w="3200" w:type="dxa"/>
            <w:vAlign w:val="bottom"/>
            <w:shd w:val="clear" w:color="auto" w:fill="EDEDED"/>
          </w:tcPr>
          <w:p>
            <w:pPr>
              <w:ind w:left="80"/>
              <w:spacing w:after="0"/>
              <w:rPr>
                <w:sz w:val="20"/>
                <w:szCs w:val="20"/>
                <w:color w:val="auto"/>
              </w:rPr>
            </w:pPr>
            <w:r>
              <w:rPr>
                <w:rFonts w:ascii="Arial" w:cs="Arial" w:eastAsia="Arial" w:hAnsi="Arial"/>
                <w:sz w:val="16"/>
                <w:szCs w:val="16"/>
                <w:b w:val="1"/>
                <w:bCs w:val="1"/>
                <w:color w:val="auto"/>
              </w:rPr>
              <w:t>Date and Time:</w:t>
            </w:r>
          </w:p>
        </w:tc>
        <w:tc>
          <w:tcPr>
            <w:tcW w:w="4080" w:type="dxa"/>
            <w:vAlign w:val="bottom"/>
            <w:shd w:val="clear" w:color="auto" w:fill="EDEDED"/>
          </w:tcPr>
          <w:p>
            <w:pPr>
              <w:ind w:left="780"/>
              <w:spacing w:after="0"/>
              <w:rPr>
                <w:sz w:val="20"/>
                <w:szCs w:val="20"/>
                <w:color w:val="auto"/>
              </w:rPr>
            </w:pPr>
            <w:r>
              <w:rPr>
                <w:rFonts w:ascii="Arial" w:cs="Arial" w:eastAsia="Arial" w:hAnsi="Arial"/>
                <w:sz w:val="16"/>
                <w:szCs w:val="16"/>
                <w:b w:val="1"/>
                <w:bCs w:val="1"/>
                <w:color w:val="auto"/>
              </w:rPr>
              <w:t>Place:</w:t>
            </w:r>
          </w:p>
        </w:tc>
        <w:tc>
          <w:tcPr>
            <w:tcW w:w="3740" w:type="dxa"/>
            <w:vAlign w:val="bottom"/>
            <w:shd w:val="clear" w:color="auto" w:fill="EDEDED"/>
          </w:tcPr>
          <w:p>
            <w:pPr>
              <w:ind w:left="100"/>
              <w:spacing w:after="0"/>
              <w:rPr>
                <w:sz w:val="20"/>
                <w:szCs w:val="20"/>
                <w:color w:val="auto"/>
              </w:rPr>
            </w:pPr>
            <w:r>
              <w:rPr>
                <w:rFonts w:ascii="Arial" w:cs="Arial" w:eastAsia="Arial" w:hAnsi="Arial"/>
                <w:sz w:val="16"/>
                <w:szCs w:val="16"/>
                <w:b w:val="1"/>
                <w:bCs w:val="1"/>
                <w:color w:val="auto"/>
              </w:rPr>
              <w:t>Record Date:</w:t>
            </w:r>
          </w:p>
        </w:tc>
      </w:tr>
      <w:tr>
        <w:trPr>
          <w:trHeight w:val="283"/>
        </w:trPr>
        <w:tc>
          <w:tcPr>
            <w:tcW w:w="3200" w:type="dxa"/>
            <w:vAlign w:val="bottom"/>
            <w:shd w:val="clear" w:color="auto" w:fill="EDEDED"/>
          </w:tcPr>
          <w:p>
            <w:pPr>
              <w:ind w:left="100"/>
              <w:spacing w:after="0"/>
              <w:rPr>
                <w:sz w:val="20"/>
                <w:szCs w:val="20"/>
                <w:color w:val="auto"/>
              </w:rPr>
            </w:pPr>
            <w:r>
              <w:rPr>
                <w:rFonts w:ascii="Arial" w:cs="Arial" w:eastAsia="Arial" w:hAnsi="Arial"/>
                <w:sz w:val="18"/>
                <w:szCs w:val="18"/>
                <w:color w:val="auto"/>
              </w:rPr>
              <w:t>Wednesday, May 17, 2023 at</w:t>
            </w:r>
          </w:p>
        </w:tc>
        <w:tc>
          <w:tcPr>
            <w:tcW w:w="4080" w:type="dxa"/>
            <w:vAlign w:val="bottom"/>
            <w:shd w:val="clear" w:color="auto" w:fill="EDEDED"/>
          </w:tcPr>
          <w:p>
            <w:pPr>
              <w:ind w:left="780"/>
              <w:spacing w:after="0"/>
              <w:rPr>
                <w:sz w:val="20"/>
                <w:szCs w:val="20"/>
                <w:color w:val="auto"/>
              </w:rPr>
            </w:pPr>
            <w:r>
              <w:rPr>
                <w:rFonts w:ascii="Arial" w:cs="Arial" w:eastAsia="Arial" w:hAnsi="Arial"/>
                <w:sz w:val="16"/>
                <w:szCs w:val="16"/>
                <w:color w:val="auto"/>
              </w:rPr>
              <w:t>Virtual Meeting:</w:t>
            </w:r>
          </w:p>
        </w:tc>
        <w:tc>
          <w:tcPr>
            <w:tcW w:w="3740" w:type="dxa"/>
            <w:vAlign w:val="bottom"/>
            <w:shd w:val="clear" w:color="auto" w:fill="EDEDED"/>
          </w:tcPr>
          <w:p>
            <w:pPr>
              <w:ind w:left="100"/>
              <w:spacing w:after="0"/>
              <w:rPr>
                <w:sz w:val="20"/>
                <w:szCs w:val="20"/>
                <w:color w:val="auto"/>
              </w:rPr>
            </w:pPr>
            <w:r>
              <w:rPr>
                <w:rFonts w:ascii="Arial" w:cs="Arial" w:eastAsia="Arial" w:hAnsi="Arial"/>
                <w:sz w:val="16"/>
                <w:szCs w:val="16"/>
                <w:color w:val="auto"/>
              </w:rPr>
              <w:t>Close of Business, Eastern Daylight</w:t>
            </w:r>
          </w:p>
        </w:tc>
      </w:tr>
      <w:tr>
        <w:trPr>
          <w:trHeight w:val="228"/>
        </w:trPr>
        <w:tc>
          <w:tcPr>
            <w:tcW w:w="3200" w:type="dxa"/>
            <w:vAlign w:val="bottom"/>
            <w:shd w:val="clear" w:color="auto" w:fill="EDEDED"/>
          </w:tcPr>
          <w:p>
            <w:pPr>
              <w:ind w:left="80"/>
              <w:spacing w:after="0"/>
              <w:rPr>
                <w:sz w:val="20"/>
                <w:szCs w:val="20"/>
                <w:color w:val="auto"/>
              </w:rPr>
            </w:pPr>
            <w:r>
              <w:rPr>
                <w:rFonts w:ascii="Arial" w:cs="Arial" w:eastAsia="Arial" w:hAnsi="Arial"/>
                <w:sz w:val="16"/>
                <w:szCs w:val="16"/>
                <w:color w:val="auto"/>
              </w:rPr>
              <w:t>11:00 a.m., Eastern Daylight Time</w:t>
            </w:r>
          </w:p>
        </w:tc>
        <w:tc>
          <w:tcPr>
            <w:tcW w:w="4080" w:type="dxa"/>
            <w:vAlign w:val="bottom"/>
            <w:shd w:val="clear" w:color="auto" w:fill="EDEDED"/>
          </w:tcPr>
          <w:p>
            <w:pPr>
              <w:ind w:left="780"/>
              <w:spacing w:after="0"/>
              <w:rPr>
                <w:sz w:val="20"/>
                <w:szCs w:val="20"/>
                <w:color w:val="auto"/>
              </w:rPr>
            </w:pPr>
            <w:r>
              <w:rPr>
                <w:rFonts w:ascii="Arial" w:cs="Arial" w:eastAsia="Arial" w:hAnsi="Arial"/>
                <w:sz w:val="16"/>
                <w:szCs w:val="16"/>
                <w:color w:val="auto"/>
              </w:rPr>
              <w:t>kellyservices.com</w:t>
            </w:r>
          </w:p>
        </w:tc>
        <w:tc>
          <w:tcPr>
            <w:tcW w:w="3740" w:type="dxa"/>
            <w:vAlign w:val="bottom"/>
            <w:shd w:val="clear" w:color="auto" w:fill="EDEDED"/>
          </w:tcPr>
          <w:p>
            <w:pPr>
              <w:ind w:left="100"/>
              <w:spacing w:after="0"/>
              <w:rPr>
                <w:sz w:val="20"/>
                <w:szCs w:val="20"/>
                <w:color w:val="auto"/>
              </w:rPr>
            </w:pPr>
            <w:r>
              <w:rPr>
                <w:rFonts w:ascii="Arial" w:cs="Arial" w:eastAsia="Arial" w:hAnsi="Arial"/>
                <w:sz w:val="16"/>
                <w:szCs w:val="16"/>
                <w:color w:val="auto"/>
              </w:rPr>
              <w:t>Time, March 27, 2023</w:t>
            </w:r>
          </w:p>
        </w:tc>
      </w:tr>
      <w:tr>
        <w:trPr>
          <w:trHeight w:val="191"/>
        </w:trPr>
        <w:tc>
          <w:tcPr>
            <w:tcW w:w="3200" w:type="dxa"/>
            <w:vAlign w:val="bottom"/>
            <w:shd w:val="clear" w:color="auto" w:fill="EDEDED"/>
          </w:tcPr>
          <w:p>
            <w:pPr>
              <w:spacing w:after="0"/>
              <w:rPr>
                <w:sz w:val="16"/>
                <w:szCs w:val="16"/>
                <w:color w:val="auto"/>
              </w:rPr>
            </w:pPr>
          </w:p>
        </w:tc>
        <w:tc>
          <w:tcPr>
            <w:tcW w:w="4080" w:type="dxa"/>
            <w:vAlign w:val="bottom"/>
            <w:shd w:val="clear" w:color="auto" w:fill="EDEDED"/>
          </w:tcPr>
          <w:p>
            <w:pPr>
              <w:spacing w:after="0"/>
              <w:rPr>
                <w:sz w:val="16"/>
                <w:szCs w:val="16"/>
                <w:color w:val="auto"/>
              </w:rPr>
            </w:pPr>
          </w:p>
        </w:tc>
        <w:tc>
          <w:tcPr>
            <w:tcW w:w="3740" w:type="dxa"/>
            <w:vAlign w:val="bottom"/>
            <w:shd w:val="clear" w:color="auto" w:fill="EDEDED"/>
          </w:tcPr>
          <w:p>
            <w:pPr>
              <w:spacing w:after="0"/>
              <w:rPr>
                <w:sz w:val="16"/>
                <w:szCs w:val="16"/>
                <w:color w:val="auto"/>
              </w:rPr>
            </w:pPr>
          </w:p>
        </w:tc>
      </w:tr>
      <w:tr>
        <w:trPr>
          <w:trHeight w:val="519"/>
        </w:trPr>
        <w:tc>
          <w:tcPr>
            <w:tcW w:w="3200" w:type="dxa"/>
            <w:vAlign w:val="bottom"/>
          </w:tcPr>
          <w:p>
            <w:pPr>
              <w:spacing w:after="0"/>
              <w:rPr>
                <w:sz w:val="20"/>
                <w:szCs w:val="20"/>
                <w:color w:val="auto"/>
              </w:rPr>
            </w:pPr>
            <w:r>
              <w:rPr>
                <w:rFonts w:ascii="Arial" w:cs="Arial" w:eastAsia="Arial" w:hAnsi="Arial"/>
                <w:sz w:val="16"/>
                <w:szCs w:val="16"/>
                <w:b w:val="1"/>
                <w:bCs w:val="1"/>
                <w:color w:val="auto"/>
              </w:rPr>
              <w:t>Voting Matters</w:t>
            </w:r>
          </w:p>
        </w:tc>
        <w:tc>
          <w:tcPr>
            <w:tcW w:w="4080" w:type="dxa"/>
            <w:vAlign w:val="bottom"/>
          </w:tcPr>
          <w:p>
            <w:pPr>
              <w:ind w:left="1120"/>
              <w:spacing w:after="0"/>
              <w:rPr>
                <w:sz w:val="20"/>
                <w:szCs w:val="20"/>
                <w:color w:val="auto"/>
              </w:rPr>
            </w:pPr>
            <w:r>
              <w:rPr>
                <w:rFonts w:ascii="Arial" w:cs="Arial" w:eastAsia="Arial" w:hAnsi="Arial"/>
                <w:sz w:val="16"/>
                <w:szCs w:val="16"/>
                <w:b w:val="1"/>
                <w:bCs w:val="1"/>
                <w:color w:val="auto"/>
              </w:rPr>
              <w:t>How to Vote</w:t>
            </w:r>
          </w:p>
        </w:tc>
        <w:tc>
          <w:tcPr>
            <w:tcW w:w="3740" w:type="dxa"/>
            <w:vAlign w:val="bottom"/>
          </w:tcPr>
          <w:p>
            <w:pPr>
              <w:spacing w:after="0"/>
              <w:rPr>
                <w:sz w:val="24"/>
                <w:szCs w:val="24"/>
                <w:color w:val="auto"/>
              </w:rPr>
            </w:pPr>
          </w:p>
        </w:tc>
      </w:tr>
    </w:tbl>
    <w:p>
      <w:pPr>
        <w:spacing w:after="0" w:line="142" w:lineRule="exact"/>
        <w:rPr>
          <w:sz w:val="20"/>
          <w:szCs w:val="20"/>
          <w:color w:val="auto"/>
        </w:rPr>
      </w:pPr>
    </w:p>
    <w:p>
      <w:pPr>
        <w:sectPr>
          <w:pgSz w:w="11900" w:h="16838" w:orient="portrait"/>
          <w:cols w:equalWidth="0" w:num="1">
            <w:col w:w="11140"/>
          </w:cols>
          <w:pgMar w:left="320" w:top="482" w:right="439" w:bottom="1440" w:gutter="0" w:footer="0" w:header="0"/>
        </w:sectPr>
      </w:pPr>
    </w:p>
    <w:p>
      <w:pPr>
        <w:ind w:left="120"/>
        <w:spacing w:after="0"/>
        <w:rPr>
          <w:sz w:val="20"/>
          <w:szCs w:val="20"/>
          <w:color w:val="auto"/>
        </w:rPr>
      </w:pPr>
      <w:r>
        <w:rPr>
          <w:rFonts w:ascii="Arial" w:cs="Arial" w:eastAsia="Arial" w:hAnsi="Arial"/>
          <w:sz w:val="16"/>
          <w:szCs w:val="16"/>
          <w:b w:val="1"/>
          <w:bCs w:val="1"/>
          <w:color w:val="auto"/>
        </w:rPr>
        <w:t>At the Annual Meeting, you</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will be asked to consider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the following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53340</wp:posOffset>
            </wp:positionV>
            <wp:extent cx="2168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Proposal 1.</w:t>
      </w:r>
    </w:p>
    <w:p>
      <w:pPr>
        <w:spacing w:after="0" w:line="21" w:lineRule="exact"/>
        <w:rPr>
          <w:sz w:val="20"/>
          <w:szCs w:val="20"/>
          <w:color w:val="auto"/>
        </w:rPr>
      </w:pPr>
    </w:p>
    <w:p>
      <w:pPr>
        <w:ind w:left="120" w:right="340"/>
        <w:spacing w:after="0" w:line="265" w:lineRule="auto"/>
        <w:rPr>
          <w:sz w:val="20"/>
          <w:szCs w:val="20"/>
          <w:color w:val="auto"/>
        </w:rPr>
      </w:pPr>
      <w:r>
        <w:rPr>
          <w:rFonts w:ascii="Arial" w:cs="Arial" w:eastAsia="Arial" w:hAnsi="Arial"/>
          <w:sz w:val="16"/>
          <w:szCs w:val="16"/>
          <w:color w:val="auto"/>
        </w:rPr>
        <w:t>Election of nine Board-recommended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2168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Proposal 2.</w:t>
      </w:r>
    </w:p>
    <w:p>
      <w:pPr>
        <w:spacing w:after="0" w:line="21" w:lineRule="exact"/>
        <w:rPr>
          <w:sz w:val="20"/>
          <w:szCs w:val="20"/>
          <w:color w:val="auto"/>
        </w:rPr>
      </w:pPr>
    </w:p>
    <w:p>
      <w:pPr>
        <w:ind w:left="120" w:right="280"/>
        <w:spacing w:after="0" w:line="265" w:lineRule="auto"/>
        <w:rPr>
          <w:sz w:val="20"/>
          <w:szCs w:val="20"/>
          <w:color w:val="auto"/>
        </w:rPr>
      </w:pPr>
      <w:r>
        <w:rPr>
          <w:rFonts w:ascii="Arial" w:cs="Arial" w:eastAsia="Arial" w:hAnsi="Arial"/>
          <w:sz w:val="16"/>
          <w:szCs w:val="16"/>
          <w:color w:val="auto"/>
        </w:rPr>
        <w:t>Advisory approval of the Company’s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32385</wp:posOffset>
            </wp:positionV>
            <wp:extent cx="2168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Proposal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Online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-450215</wp:posOffset>
            </wp:positionV>
            <wp:extent cx="316865" cy="316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6865" cy="31686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www.envisionreports.com/kelyb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79375</wp:posOffset>
            </wp:positionV>
            <wp:extent cx="316865" cy="317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6865" cy="31750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color w:val="auto"/>
        </w:rPr>
        <w:t xml:space="preserve">Calling - </w:t>
      </w:r>
      <w:r>
        <w:rPr>
          <w:rFonts w:ascii="Arial" w:cs="Arial" w:eastAsia="Arial" w:hAnsi="Arial"/>
          <w:sz w:val="16"/>
          <w:szCs w:val="16"/>
          <w:color w:val="auto"/>
        </w:rPr>
        <w:t>1-800-652-VOTE (8683) Within the</w:t>
      </w:r>
      <w:r>
        <w:rPr>
          <w:rFonts w:ascii="Arial" w:cs="Arial" w:eastAsia="Arial" w:hAnsi="Arial"/>
          <w:sz w:val="16"/>
          <w:szCs w:val="16"/>
          <w:b w:val="1"/>
          <w:bCs w:val="1"/>
          <w:color w:val="auto"/>
        </w:rPr>
        <w:t xml:space="preserve"> </w:t>
      </w:r>
      <w:r>
        <w:rPr>
          <w:rFonts w:ascii="Arial" w:cs="Arial" w:eastAsia="Arial" w:hAnsi="Arial"/>
          <w:sz w:val="16"/>
          <w:szCs w:val="16"/>
          <w:color w:val="auto"/>
        </w:rPr>
        <w:t>U.S., U.S. territories &amp; Canada on a touch tone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151765</wp:posOffset>
            </wp:positionV>
            <wp:extent cx="43287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287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QR code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-467360</wp:posOffset>
            </wp:positionV>
            <wp:extent cx="351790" cy="3600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1790" cy="36004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Scan and vote with your mobile device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36195</wp:posOffset>
            </wp:positionV>
            <wp:extent cx="317500" cy="317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7500" cy="31750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Mail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Return the signed proxy card</w:t>
      </w:r>
    </w:p>
    <w:p>
      <w:pPr>
        <w:spacing w:after="0" w:line="626" w:lineRule="exact"/>
        <w:rPr>
          <w:sz w:val="20"/>
          <w:szCs w:val="20"/>
          <w:color w:val="auto"/>
        </w:rPr>
      </w:pPr>
    </w:p>
    <w:p>
      <w:pPr>
        <w:sectPr>
          <w:pgSz w:w="11900" w:h="16838" w:orient="portrait"/>
          <w:cols w:equalWidth="0" w:num="3">
            <w:col w:w="3720" w:space="720"/>
            <w:col w:w="3200" w:space="200"/>
            <w:col w:w="3300"/>
          </w:cols>
          <w:pgMar w:left="320" w:top="482" w:right="439" w:bottom="1440" w:gutter="0" w:footer="0" w:header="0"/>
          <w:type w:val="continuous"/>
        </w:sectPr>
      </w:pPr>
    </w:p>
    <w:p>
      <w:pPr>
        <w:ind w:left="120" w:right="480"/>
        <w:spacing w:after="0" w:line="256" w:lineRule="auto"/>
        <w:rPr>
          <w:sz w:val="20"/>
          <w:szCs w:val="20"/>
          <w:color w:val="auto"/>
        </w:rPr>
      </w:pPr>
      <w:r>
        <w:rPr>
          <w:rFonts w:ascii="Arial" w:cs="Arial" w:eastAsia="Arial" w:hAnsi="Arial"/>
          <w:sz w:val="16"/>
          <w:szCs w:val="16"/>
          <w:color w:val="auto"/>
        </w:rPr>
        <w:t>Advisory approval of the frequency of future voting on the Company’s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36195</wp:posOffset>
            </wp:positionV>
            <wp:extent cx="2168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Proposal 4.</w:t>
      </w:r>
    </w:p>
    <w:p>
      <w:pPr>
        <w:spacing w:after="0" w:line="21" w:lineRule="exact"/>
        <w:rPr>
          <w:sz w:val="20"/>
          <w:szCs w:val="20"/>
          <w:color w:val="auto"/>
        </w:rPr>
      </w:pPr>
    </w:p>
    <w:p>
      <w:pPr>
        <w:ind w:left="120" w:right="200"/>
        <w:spacing w:after="0" w:line="256" w:lineRule="auto"/>
        <w:rPr>
          <w:sz w:val="20"/>
          <w:szCs w:val="20"/>
          <w:color w:val="auto"/>
        </w:rPr>
      </w:pPr>
      <w:r>
        <w:rPr>
          <w:rFonts w:ascii="Arial" w:cs="Arial" w:eastAsia="Arial" w:hAnsi="Arial"/>
          <w:sz w:val="16"/>
          <w:szCs w:val="16"/>
          <w:color w:val="auto"/>
        </w:rPr>
        <w:t>Ratification of PricewaterhouseCoopers LLP as the Company’s independent registered public accounting firm for the 2023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36195</wp:posOffset>
            </wp:positionV>
            <wp:extent cx="2168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Proposal 5.</w:t>
      </w:r>
    </w:p>
    <w:p>
      <w:pPr>
        <w:spacing w:after="0" w:line="21" w:lineRule="exact"/>
        <w:rPr>
          <w:sz w:val="20"/>
          <w:szCs w:val="20"/>
          <w:color w:val="auto"/>
        </w:rPr>
      </w:pPr>
    </w:p>
    <w:p>
      <w:pPr>
        <w:ind w:left="120" w:right="840"/>
        <w:spacing w:after="0" w:line="283" w:lineRule="auto"/>
        <w:rPr>
          <w:sz w:val="20"/>
          <w:szCs w:val="20"/>
          <w:color w:val="auto"/>
        </w:rPr>
      </w:pPr>
      <w:r>
        <w:rPr>
          <w:rFonts w:ascii="Arial" w:cs="Arial" w:eastAsia="Arial" w:hAnsi="Arial"/>
          <w:sz w:val="16"/>
          <w:szCs w:val="16"/>
          <w:color w:val="auto"/>
        </w:rPr>
        <w:t>Transaction of any other business as may properly come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2168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40"/>
        <w:spacing w:after="0" w:line="256" w:lineRule="auto"/>
        <w:rPr>
          <w:sz w:val="20"/>
          <w:szCs w:val="20"/>
          <w:color w:val="auto"/>
        </w:rPr>
      </w:pPr>
      <w:r>
        <w:rPr>
          <w:rFonts w:ascii="Arial" w:cs="Arial" w:eastAsia="Arial" w:hAnsi="Arial"/>
          <w:sz w:val="16"/>
          <w:szCs w:val="16"/>
          <w:color w:val="auto"/>
        </w:rPr>
        <w:t>Proxies submitted online or by telephone must be received by 11:59 p.m., Central Daylight Time, on May 16, 2023. If you vote by mail, your proxy card must be received before the Annual Meeting.</w:t>
      </w:r>
    </w:p>
    <w:p>
      <w:pPr>
        <w:spacing w:after="0" w:line="8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b w:val="1"/>
          <w:bCs w:val="1"/>
          <w:color w:val="auto"/>
        </w:rPr>
        <w:t>Beneficial owners</w:t>
      </w:r>
      <w:r>
        <w:rPr>
          <w:rFonts w:ascii="Arial" w:cs="Arial" w:eastAsia="Arial" w:hAnsi="Arial"/>
          <w:sz w:val="16"/>
          <w:szCs w:val="16"/>
          <w:color w:val="auto"/>
        </w:rPr>
        <w:t>, who own shares through a bank, brokerage firm, or other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institution, can vote by returning the voting instruction form, or by following the instructions for voting via telephone or the Internet, provided by the bank, broker, or other organization. If you own shares in different accounts or in more than one name, you may receive different voting instructions for each type of ownership. Please vote all your shares.</w:t>
      </w:r>
    </w:p>
    <w:p>
      <w:pPr>
        <w:spacing w:after="0" w:line="85"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 xml:space="preserve">If you are a </w:t>
      </w:r>
      <w:r>
        <w:rPr>
          <w:rFonts w:ascii="Arial" w:cs="Arial" w:eastAsia="Arial" w:hAnsi="Arial"/>
          <w:sz w:val="16"/>
          <w:szCs w:val="16"/>
          <w:b w:val="1"/>
          <w:bCs w:val="1"/>
          <w:color w:val="auto"/>
        </w:rPr>
        <w:t>registered shareholder</w:t>
      </w:r>
      <w:r>
        <w:rPr>
          <w:rFonts w:ascii="Arial" w:cs="Arial" w:eastAsia="Arial" w:hAnsi="Arial"/>
          <w:sz w:val="16"/>
          <w:szCs w:val="16"/>
          <w:color w:val="auto"/>
        </w:rPr>
        <w:t xml:space="preserve"> (i.e., you hold your shares through our transfer agent, Computershare), you may vote online, by telephone, or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399415</wp:posOffset>
            </wp:positionV>
            <wp:extent cx="6995160" cy="23914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2391410"/>
                    </a:xfrm>
                    <a:prstGeom prst="rect">
                      <a:avLst/>
                    </a:prstGeom>
                    <a:noFill/>
                  </pic:spPr>
                </pic:pic>
              </a:graphicData>
            </a:graphic>
          </wp:anchor>
        </w:drawing>
      </w:r>
    </w:p>
    <w:p>
      <w:pPr>
        <w:spacing w:after="0" w:line="400" w:lineRule="exact"/>
        <w:rPr>
          <w:sz w:val="20"/>
          <w:szCs w:val="20"/>
          <w:color w:val="auto"/>
        </w:rPr>
      </w:pPr>
    </w:p>
    <w:p>
      <w:pPr>
        <w:sectPr>
          <w:pgSz w:w="11900" w:h="16838" w:orient="portrait"/>
          <w:cols w:equalWidth="0" w:num="2">
            <w:col w:w="3720" w:space="720"/>
            <w:col w:w="6700"/>
          </w:cols>
          <w:pgMar w:left="320" w:top="482" w:right="4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ind w:left="220" w:right="140"/>
        <w:spacing w:after="0" w:line="286" w:lineRule="auto"/>
        <w:rPr>
          <w:sz w:val="20"/>
          <w:szCs w:val="20"/>
          <w:color w:val="auto"/>
        </w:rPr>
      </w:pPr>
      <w:r>
        <w:rPr>
          <w:rFonts w:ascii="Arial" w:cs="Arial" w:eastAsia="Arial" w:hAnsi="Arial"/>
          <w:sz w:val="16"/>
          <w:szCs w:val="16"/>
          <w:color w:val="auto"/>
        </w:rPr>
        <w:t>If you were a holder of record of the Company’s Class B Common Stock at the close of business on the Record Date, March 27, 2023, you are entitled to vote at the Annual Meeting.</w:t>
      </w:r>
    </w:p>
    <w:p>
      <w:pPr>
        <w:spacing w:after="0" w:line="48" w:lineRule="exact"/>
        <w:rPr>
          <w:sz w:val="20"/>
          <w:szCs w:val="20"/>
          <w:color w:val="auto"/>
        </w:rPr>
      </w:pPr>
    </w:p>
    <w:p>
      <w:pPr>
        <w:ind w:left="220" w:right="220"/>
        <w:spacing w:after="0" w:line="286" w:lineRule="auto"/>
        <w:rPr>
          <w:sz w:val="20"/>
          <w:szCs w:val="20"/>
          <w:color w:val="auto"/>
        </w:rPr>
      </w:pPr>
      <w:r>
        <w:rPr>
          <w:rFonts w:ascii="Arial" w:cs="Arial" w:eastAsia="Arial" w:hAnsi="Arial"/>
          <w:sz w:val="16"/>
          <w:szCs w:val="16"/>
          <w:color w:val="auto"/>
        </w:rPr>
        <w:t>Please promptly submit your vote by internet, telephone, or by signing, dating, and returning the enclosed proxy card or voting instructions form in the postage-paid envelope provided so that your shares will be represented and voted at the meeting.</w:t>
      </w:r>
    </w:p>
    <w:p>
      <w:pPr>
        <w:spacing w:after="0" w:line="4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Thank you for your interest in Kelly.</w:t>
      </w:r>
    </w:p>
    <w:p>
      <w:pPr>
        <w:spacing w:after="0" w:line="11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JAMES M. POLEHNA</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Corporate Secretary</w:t>
      </w:r>
    </w:p>
    <w:p>
      <w:pPr>
        <w:spacing w:after="0" w:line="36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-142875</wp:posOffset>
            </wp:positionV>
            <wp:extent cx="8890" cy="2311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23114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-142875</wp:posOffset>
            </wp:positionV>
            <wp:extent cx="411480" cy="1974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1480" cy="1974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Table of Contents</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183"/>
        </w:trPr>
        <w:tc>
          <w:tcPr>
            <w:tcW w:w="1240" w:type="dxa"/>
            <w:vAlign w:val="bottom"/>
            <w:tcBorders>
              <w:top w:val="single" w:sz="8" w:color="auto"/>
              <w:bottom w:val="single" w:sz="8" w:color="0000EE"/>
              <w:right w:val="single" w:sz="8" w:color="EDEDED"/>
            </w:tcBorders>
            <w:shd w:val="clear" w:color="auto" w:fill="EDEDED"/>
          </w:tcPr>
          <w:p>
            <w:pPr>
              <w:spacing w:after="0" w:line="175" w:lineRule="exact"/>
              <w:rPr>
                <w:sz w:val="20"/>
                <w:szCs w:val="20"/>
                <w:color w:val="auto"/>
              </w:rPr>
            </w:pPr>
            <w:r>
              <w:rPr>
                <w:rFonts w:ascii="Arial" w:cs="Arial" w:eastAsia="Arial" w:hAnsi="Arial"/>
                <w:sz w:val="16"/>
                <w:szCs w:val="16"/>
                <w:b w:val="1"/>
                <w:bCs w:val="1"/>
                <w:color w:val="0000EE"/>
                <w:w w:val="98"/>
              </w:rPr>
              <w:t>Proxy Summary</w:t>
            </w:r>
          </w:p>
        </w:tc>
        <w:tc>
          <w:tcPr>
            <w:tcW w:w="2020" w:type="dxa"/>
            <w:vAlign w:val="bottom"/>
            <w:tcBorders>
              <w:top w:val="single" w:sz="8" w:color="auto"/>
              <w:bottom w:val="single" w:sz="8" w:color="EDEDED"/>
            </w:tcBorders>
            <w:gridSpan w:val="7"/>
            <w:shd w:val="clear" w:color="auto" w:fill="EDEDED"/>
          </w:tcPr>
          <w:p>
            <w:pPr>
              <w:spacing w:after="0"/>
              <w:rPr>
                <w:sz w:val="15"/>
                <w:szCs w:val="15"/>
                <w:color w:val="auto"/>
              </w:rPr>
            </w:pPr>
          </w:p>
        </w:tc>
        <w:tc>
          <w:tcPr>
            <w:tcW w:w="2020" w:type="dxa"/>
            <w:vAlign w:val="bottom"/>
            <w:tcBorders>
              <w:top w:val="single" w:sz="8" w:color="auto"/>
              <w:bottom w:val="single" w:sz="8" w:color="EDEDED"/>
            </w:tcBorders>
            <w:shd w:val="clear" w:color="auto" w:fill="EDEDED"/>
          </w:tcPr>
          <w:p>
            <w:pPr>
              <w:jc w:val="right"/>
              <w:ind w:right="119"/>
              <w:spacing w:after="0" w:line="175" w:lineRule="exact"/>
              <w:rPr>
                <w:sz w:val="20"/>
                <w:szCs w:val="20"/>
                <w:color w:val="auto"/>
              </w:rPr>
            </w:pPr>
            <w:r>
              <w:rPr>
                <w:rFonts w:ascii="Arial" w:cs="Arial" w:eastAsia="Arial" w:hAnsi="Arial"/>
                <w:sz w:val="16"/>
                <w:szCs w:val="16"/>
                <w:b w:val="1"/>
                <w:bCs w:val="1"/>
                <w:color w:val="00AF41"/>
              </w:rPr>
              <w:t>6</w:t>
            </w:r>
          </w:p>
        </w:tc>
      </w:tr>
      <w:tr>
        <w:trPr>
          <w:trHeight w:val="169"/>
        </w:trPr>
        <w:tc>
          <w:tcPr>
            <w:tcW w:w="3260" w:type="dxa"/>
            <w:vAlign w:val="bottom"/>
            <w:tcBorders>
              <w:bottom w:val="single" w:sz="8" w:color="0000EE"/>
            </w:tcBorders>
            <w:gridSpan w:val="8"/>
          </w:tcPr>
          <w:p>
            <w:pPr>
              <w:spacing w:after="0" w:line="162" w:lineRule="exact"/>
              <w:rPr>
                <w:sz w:val="20"/>
                <w:szCs w:val="20"/>
                <w:color w:val="auto"/>
              </w:rPr>
            </w:pPr>
            <w:r>
              <w:rPr>
                <w:rFonts w:ascii="Arial" w:cs="Arial" w:eastAsia="Arial" w:hAnsi="Arial"/>
                <w:sz w:val="16"/>
                <w:szCs w:val="16"/>
                <w:color w:val="0000EE"/>
              </w:rPr>
              <w:t>2023 Annual Meeting of Shareholders Details</w:t>
            </w:r>
          </w:p>
        </w:tc>
        <w:tc>
          <w:tcPr>
            <w:tcW w:w="202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6</w:t>
            </w:r>
          </w:p>
        </w:tc>
      </w:tr>
      <w:tr>
        <w:trPr>
          <w:trHeight w:val="169"/>
        </w:trPr>
        <w:tc>
          <w:tcPr>
            <w:tcW w:w="1660" w:type="dxa"/>
            <w:vAlign w:val="bottom"/>
            <w:tcBorders>
              <w:bottom w:val="single" w:sz="8" w:color="0000EE"/>
            </w:tcBorders>
            <w:gridSpan w:val="3"/>
            <w:shd w:val="clear" w:color="auto" w:fill="EDEDED"/>
          </w:tcPr>
          <w:p>
            <w:pPr>
              <w:spacing w:after="0" w:line="162" w:lineRule="exact"/>
              <w:rPr>
                <w:sz w:val="20"/>
                <w:szCs w:val="20"/>
                <w:color w:val="auto"/>
              </w:rPr>
            </w:pPr>
            <w:r>
              <w:rPr>
                <w:rFonts w:ascii="Arial" w:cs="Arial" w:eastAsia="Arial" w:hAnsi="Arial"/>
                <w:sz w:val="16"/>
                <w:szCs w:val="16"/>
                <w:color w:val="0000EE"/>
                <w:w w:val="99"/>
              </w:rPr>
              <w:t>Proxy Voting Roadmap</w:t>
            </w:r>
          </w:p>
        </w:tc>
        <w:tc>
          <w:tcPr>
            <w:tcW w:w="1600" w:type="dxa"/>
            <w:vAlign w:val="bottom"/>
            <w:tcBorders>
              <w:bottom w:val="single" w:sz="8" w:color="EDEDED"/>
            </w:tcBorders>
            <w:gridSpan w:val="5"/>
            <w:shd w:val="clear" w:color="auto" w:fill="EDEDED"/>
          </w:tcPr>
          <w:p>
            <w:pPr>
              <w:spacing w:after="0"/>
              <w:rPr>
                <w:sz w:val="14"/>
                <w:szCs w:val="14"/>
                <w:color w:val="auto"/>
              </w:rPr>
            </w:pPr>
          </w:p>
        </w:tc>
        <w:tc>
          <w:tcPr>
            <w:tcW w:w="2020" w:type="dxa"/>
            <w:vAlign w:val="bottom"/>
            <w:tcBorders>
              <w:bottom w:val="single" w:sz="8" w:color="EDEDED"/>
            </w:tcBorders>
            <w:shd w:val="clear" w:color="auto" w:fill="EDEDED"/>
          </w:tcPr>
          <w:p>
            <w:pPr>
              <w:jc w:val="right"/>
              <w:ind w:right="119"/>
              <w:spacing w:after="0" w:line="162" w:lineRule="exact"/>
              <w:rPr>
                <w:sz w:val="20"/>
                <w:szCs w:val="20"/>
                <w:color w:val="auto"/>
              </w:rPr>
            </w:pPr>
            <w:r>
              <w:rPr>
                <w:rFonts w:ascii="Arial" w:cs="Arial" w:eastAsia="Arial" w:hAnsi="Arial"/>
                <w:sz w:val="16"/>
                <w:szCs w:val="16"/>
                <w:color w:val="auto"/>
              </w:rPr>
              <w:t>6</w:t>
            </w:r>
          </w:p>
        </w:tc>
      </w:tr>
      <w:tr>
        <w:trPr>
          <w:trHeight w:val="162"/>
        </w:trPr>
        <w:tc>
          <w:tcPr>
            <w:tcW w:w="3260" w:type="dxa"/>
            <w:vAlign w:val="bottom"/>
            <w:gridSpan w:val="8"/>
          </w:tcPr>
          <w:p>
            <w:pPr>
              <w:spacing w:after="0" w:line="162" w:lineRule="exact"/>
              <w:rPr>
                <w:sz w:val="20"/>
                <w:szCs w:val="20"/>
                <w:color w:val="auto"/>
              </w:rPr>
            </w:pPr>
            <w:r>
              <w:rPr>
                <w:rFonts w:ascii="Arial" w:cs="Arial" w:eastAsia="Arial" w:hAnsi="Arial"/>
                <w:sz w:val="16"/>
                <w:szCs w:val="16"/>
                <w:color w:val="0000EE"/>
              </w:rPr>
              <w:t>Director Nominees</w:t>
            </w:r>
          </w:p>
        </w:tc>
        <w:tc>
          <w:tcPr>
            <w:tcW w:w="202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7</w:t>
            </w:r>
          </w:p>
        </w:tc>
      </w:tr>
      <w:tr>
        <w:trPr>
          <w:trHeight w:val="27"/>
        </w:trPr>
        <w:tc>
          <w:tcPr>
            <w:tcW w:w="12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169"/>
        </w:trPr>
        <w:tc>
          <w:tcPr>
            <w:tcW w:w="3260" w:type="dxa"/>
            <w:vAlign w:val="bottom"/>
            <w:gridSpan w:val="8"/>
            <w:shd w:val="clear" w:color="auto" w:fill="EDEDED"/>
          </w:tcPr>
          <w:p>
            <w:pPr>
              <w:spacing w:after="0" w:line="162" w:lineRule="exact"/>
              <w:rPr>
                <w:sz w:val="20"/>
                <w:szCs w:val="20"/>
                <w:color w:val="auto"/>
              </w:rPr>
            </w:pPr>
            <w:r>
              <w:rPr>
                <w:rFonts w:ascii="Arial" w:cs="Arial" w:eastAsia="Arial" w:hAnsi="Arial"/>
                <w:sz w:val="16"/>
                <w:szCs w:val="16"/>
                <w:color w:val="0000EE"/>
              </w:rPr>
              <w:t>Corporate Governance Highlights</w:t>
            </w:r>
          </w:p>
        </w:tc>
        <w:tc>
          <w:tcPr>
            <w:tcW w:w="2020" w:type="dxa"/>
            <w:vAlign w:val="bottom"/>
            <w:shd w:val="clear" w:color="auto" w:fill="EDEDED"/>
          </w:tcPr>
          <w:p>
            <w:pPr>
              <w:jc w:val="right"/>
              <w:ind w:right="119"/>
              <w:spacing w:after="0" w:line="162" w:lineRule="exact"/>
              <w:rPr>
                <w:sz w:val="20"/>
                <w:szCs w:val="20"/>
                <w:color w:val="auto"/>
              </w:rPr>
            </w:pPr>
            <w:r>
              <w:rPr>
                <w:rFonts w:ascii="Arial" w:cs="Arial" w:eastAsia="Arial" w:hAnsi="Arial"/>
                <w:sz w:val="16"/>
                <w:szCs w:val="16"/>
                <w:color w:val="auto"/>
              </w:rPr>
              <w:t>8</w:t>
            </w:r>
          </w:p>
        </w:tc>
      </w:tr>
      <w:tr>
        <w:trPr>
          <w:trHeight w:val="169"/>
        </w:trPr>
        <w:tc>
          <w:tcPr>
            <w:tcW w:w="2400" w:type="dxa"/>
            <w:vAlign w:val="bottom"/>
            <w:tcBorders>
              <w:top w:val="single" w:sz="8" w:color="0000EE"/>
            </w:tcBorders>
            <w:gridSpan w:val="6"/>
          </w:tcPr>
          <w:p>
            <w:pPr>
              <w:spacing w:after="0" w:line="162" w:lineRule="exact"/>
              <w:rPr>
                <w:sz w:val="20"/>
                <w:szCs w:val="20"/>
                <w:color w:val="auto"/>
              </w:rPr>
            </w:pPr>
            <w:r>
              <w:rPr>
                <w:rFonts w:ascii="Arial" w:cs="Arial" w:eastAsia="Arial" w:hAnsi="Arial"/>
                <w:sz w:val="16"/>
                <w:szCs w:val="16"/>
                <w:color w:val="0000EE"/>
              </w:rPr>
              <w:t>Meet Today’s Kelly</w:t>
            </w:r>
          </w:p>
        </w:tc>
        <w:tc>
          <w:tcPr>
            <w:tcW w:w="860" w:type="dxa"/>
            <w:vAlign w:val="bottom"/>
            <w:tcBorders>
              <w:top w:val="single" w:sz="8" w:color="EDEDED"/>
            </w:tcBorders>
            <w:gridSpan w:val="2"/>
          </w:tcPr>
          <w:p>
            <w:pPr>
              <w:spacing w:after="0"/>
              <w:rPr>
                <w:sz w:val="14"/>
                <w:szCs w:val="14"/>
                <w:color w:val="auto"/>
              </w:rPr>
            </w:pPr>
          </w:p>
        </w:tc>
        <w:tc>
          <w:tcPr>
            <w:tcW w:w="2020" w:type="dxa"/>
            <w:vAlign w:val="bottom"/>
            <w:tcBorders>
              <w:top w:val="single" w:sz="8" w:color="EDEDED"/>
            </w:tcBorders>
          </w:tcPr>
          <w:p>
            <w:pPr>
              <w:jc w:val="right"/>
              <w:ind w:right="119"/>
              <w:spacing w:after="0" w:line="162" w:lineRule="exact"/>
              <w:rPr>
                <w:sz w:val="20"/>
                <w:szCs w:val="20"/>
                <w:color w:val="auto"/>
              </w:rPr>
            </w:pPr>
            <w:r>
              <w:rPr>
                <w:rFonts w:ascii="Arial" w:cs="Arial" w:eastAsia="Arial" w:hAnsi="Arial"/>
                <w:sz w:val="16"/>
                <w:szCs w:val="16"/>
                <w:color w:val="auto"/>
              </w:rPr>
              <w:t>9</w:t>
            </w:r>
          </w:p>
        </w:tc>
      </w:tr>
      <w:tr>
        <w:trPr>
          <w:trHeight w:val="162"/>
        </w:trPr>
        <w:tc>
          <w:tcPr>
            <w:tcW w:w="1340" w:type="dxa"/>
            <w:vAlign w:val="bottom"/>
            <w:tcBorders>
              <w:top w:val="single" w:sz="8" w:color="0000EE"/>
            </w:tcBorders>
            <w:gridSpan w:val="2"/>
            <w:shd w:val="clear" w:color="auto" w:fill="EDEDED"/>
          </w:tcPr>
          <w:p>
            <w:pPr>
              <w:spacing w:after="0" w:line="162" w:lineRule="exact"/>
              <w:rPr>
                <w:sz w:val="20"/>
                <w:szCs w:val="20"/>
                <w:color w:val="auto"/>
              </w:rPr>
            </w:pPr>
            <w:r>
              <w:rPr>
                <w:rFonts w:ascii="Arial" w:cs="Arial" w:eastAsia="Arial" w:hAnsi="Arial"/>
                <w:sz w:val="16"/>
                <w:szCs w:val="16"/>
                <w:color w:val="0000EE"/>
              </w:rPr>
              <w:t>A Year in Review</w:t>
            </w:r>
          </w:p>
        </w:tc>
        <w:tc>
          <w:tcPr>
            <w:tcW w:w="1920" w:type="dxa"/>
            <w:vAlign w:val="bottom"/>
            <w:gridSpan w:val="6"/>
            <w:shd w:val="clear" w:color="auto" w:fill="EDEDED"/>
          </w:tcPr>
          <w:p>
            <w:pPr>
              <w:spacing w:after="0"/>
              <w:rPr>
                <w:sz w:val="14"/>
                <w:szCs w:val="14"/>
                <w:color w:val="auto"/>
              </w:rPr>
            </w:pPr>
          </w:p>
        </w:tc>
        <w:tc>
          <w:tcPr>
            <w:tcW w:w="2020" w:type="dxa"/>
            <w:vAlign w:val="bottom"/>
            <w:shd w:val="clear" w:color="auto" w:fill="EDEDED"/>
          </w:tcPr>
          <w:p>
            <w:pPr>
              <w:jc w:val="right"/>
              <w:ind w:right="119"/>
              <w:spacing w:after="0" w:line="162" w:lineRule="exact"/>
              <w:rPr>
                <w:sz w:val="20"/>
                <w:szCs w:val="20"/>
                <w:color w:val="auto"/>
              </w:rPr>
            </w:pPr>
            <w:r>
              <w:rPr>
                <w:rFonts w:ascii="Arial" w:cs="Arial" w:eastAsia="Arial" w:hAnsi="Arial"/>
                <w:sz w:val="16"/>
                <w:szCs w:val="16"/>
                <w:color w:val="auto"/>
              </w:rPr>
              <w:t>9</w:t>
            </w:r>
          </w:p>
        </w:tc>
      </w:tr>
      <w:tr>
        <w:trPr>
          <w:trHeight w:val="27"/>
        </w:trPr>
        <w:tc>
          <w:tcPr>
            <w:tcW w:w="1240" w:type="dxa"/>
            <w:vAlign w:val="bottom"/>
            <w:tcBorders>
              <w:right w:val="single" w:sz="8" w:color="EDEDED"/>
            </w:tcBorders>
            <w:shd w:val="clear" w:color="auto" w:fill="0000EE"/>
          </w:tcPr>
          <w:p>
            <w:pPr>
              <w:spacing w:after="0"/>
              <w:rPr>
                <w:sz w:val="2"/>
                <w:szCs w:val="2"/>
                <w:color w:val="auto"/>
              </w:rPr>
            </w:pPr>
          </w:p>
        </w:tc>
        <w:tc>
          <w:tcPr>
            <w:tcW w:w="100" w:type="dxa"/>
            <w:vAlign w:val="bottom"/>
            <w:shd w:val="clear" w:color="auto" w:fill="EDEDED"/>
          </w:tcPr>
          <w:p>
            <w:pPr>
              <w:spacing w:after="0"/>
              <w:rPr>
                <w:sz w:val="2"/>
                <w:szCs w:val="2"/>
                <w:color w:val="auto"/>
              </w:rPr>
            </w:pPr>
          </w:p>
        </w:tc>
        <w:tc>
          <w:tcPr>
            <w:tcW w:w="320" w:type="dxa"/>
            <w:vAlign w:val="bottom"/>
            <w:shd w:val="clear" w:color="auto" w:fill="EDEDED"/>
          </w:tcPr>
          <w:p>
            <w:pPr>
              <w:spacing w:after="0"/>
              <w:rPr>
                <w:sz w:val="2"/>
                <w:szCs w:val="2"/>
                <w:color w:val="auto"/>
              </w:rPr>
            </w:pPr>
          </w:p>
        </w:tc>
        <w:tc>
          <w:tcPr>
            <w:tcW w:w="160" w:type="dxa"/>
            <w:vAlign w:val="bottom"/>
            <w:shd w:val="clear" w:color="auto" w:fill="EDEDED"/>
          </w:tcPr>
          <w:p>
            <w:pPr>
              <w:spacing w:after="0"/>
              <w:rPr>
                <w:sz w:val="2"/>
                <w:szCs w:val="2"/>
                <w:color w:val="auto"/>
              </w:rPr>
            </w:pPr>
          </w:p>
        </w:tc>
        <w:tc>
          <w:tcPr>
            <w:tcW w:w="340" w:type="dxa"/>
            <w:vAlign w:val="bottom"/>
            <w:shd w:val="clear" w:color="auto" w:fill="EDEDED"/>
          </w:tcPr>
          <w:p>
            <w:pPr>
              <w:spacing w:after="0"/>
              <w:rPr>
                <w:sz w:val="2"/>
                <w:szCs w:val="2"/>
                <w:color w:val="auto"/>
              </w:rPr>
            </w:pPr>
          </w:p>
        </w:tc>
        <w:tc>
          <w:tcPr>
            <w:tcW w:w="240" w:type="dxa"/>
            <w:vAlign w:val="bottom"/>
            <w:shd w:val="clear" w:color="auto" w:fill="EDEDED"/>
          </w:tcPr>
          <w:p>
            <w:pPr>
              <w:spacing w:after="0"/>
              <w:rPr>
                <w:sz w:val="2"/>
                <w:szCs w:val="2"/>
                <w:color w:val="auto"/>
              </w:rPr>
            </w:pPr>
          </w:p>
        </w:tc>
        <w:tc>
          <w:tcPr>
            <w:tcW w:w="140" w:type="dxa"/>
            <w:vAlign w:val="bottom"/>
            <w:shd w:val="clear" w:color="auto" w:fill="EDEDED"/>
          </w:tcPr>
          <w:p>
            <w:pPr>
              <w:spacing w:after="0"/>
              <w:rPr>
                <w:sz w:val="2"/>
                <w:szCs w:val="2"/>
                <w:color w:val="auto"/>
              </w:rPr>
            </w:pPr>
          </w:p>
        </w:tc>
        <w:tc>
          <w:tcPr>
            <w:tcW w:w="720" w:type="dxa"/>
            <w:vAlign w:val="bottom"/>
            <w:shd w:val="clear" w:color="auto" w:fill="EDEDED"/>
          </w:tcPr>
          <w:p>
            <w:pPr>
              <w:spacing w:after="0"/>
              <w:rPr>
                <w:sz w:val="2"/>
                <w:szCs w:val="2"/>
                <w:color w:val="auto"/>
              </w:rPr>
            </w:pPr>
          </w:p>
        </w:tc>
        <w:tc>
          <w:tcPr>
            <w:tcW w:w="2020" w:type="dxa"/>
            <w:vAlign w:val="bottom"/>
            <w:shd w:val="clear" w:color="auto" w:fill="EDEDED"/>
          </w:tcPr>
          <w:p>
            <w:pPr>
              <w:spacing w:after="0"/>
              <w:rPr>
                <w:sz w:val="2"/>
                <w:szCs w:val="2"/>
                <w:color w:val="auto"/>
              </w:rPr>
            </w:pPr>
          </w:p>
        </w:tc>
      </w:tr>
      <w:tr>
        <w:trPr>
          <w:trHeight w:val="169"/>
        </w:trPr>
        <w:tc>
          <w:tcPr>
            <w:tcW w:w="1820" w:type="dxa"/>
            <w:vAlign w:val="bottom"/>
            <w:tcBorders>
              <w:bottom w:val="single" w:sz="8" w:color="0000EE"/>
            </w:tcBorders>
            <w:gridSpan w:val="4"/>
          </w:tcPr>
          <w:p>
            <w:pPr>
              <w:spacing w:after="0" w:line="162" w:lineRule="exact"/>
              <w:rPr>
                <w:sz w:val="20"/>
                <w:szCs w:val="20"/>
                <w:color w:val="auto"/>
              </w:rPr>
            </w:pPr>
            <w:r>
              <w:rPr>
                <w:rFonts w:ascii="Arial" w:cs="Arial" w:eastAsia="Arial" w:hAnsi="Arial"/>
                <w:sz w:val="16"/>
                <w:szCs w:val="16"/>
                <w:color w:val="0000EE"/>
              </w:rPr>
              <w:t>2022 Financial Highlights</w:t>
            </w:r>
          </w:p>
        </w:tc>
        <w:tc>
          <w:tcPr>
            <w:tcW w:w="1440" w:type="dxa"/>
            <w:vAlign w:val="bottom"/>
            <w:gridSpan w:val="4"/>
          </w:tcPr>
          <w:p>
            <w:pPr>
              <w:spacing w:after="0"/>
              <w:rPr>
                <w:sz w:val="14"/>
                <w:szCs w:val="14"/>
                <w:color w:val="auto"/>
              </w:rPr>
            </w:pPr>
          </w:p>
        </w:tc>
        <w:tc>
          <w:tcPr>
            <w:tcW w:w="202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10</w:t>
            </w:r>
          </w:p>
        </w:tc>
      </w:tr>
      <w:tr>
        <w:trPr>
          <w:trHeight w:val="162"/>
        </w:trPr>
        <w:tc>
          <w:tcPr>
            <w:tcW w:w="3260" w:type="dxa"/>
            <w:vAlign w:val="bottom"/>
            <w:gridSpan w:val="8"/>
            <w:shd w:val="clear" w:color="auto" w:fill="EDEDED"/>
          </w:tcPr>
          <w:p>
            <w:pPr>
              <w:spacing w:after="0" w:line="162" w:lineRule="exact"/>
              <w:rPr>
                <w:sz w:val="20"/>
                <w:szCs w:val="20"/>
                <w:color w:val="auto"/>
              </w:rPr>
            </w:pPr>
            <w:r>
              <w:rPr>
                <w:rFonts w:ascii="Arial" w:cs="Arial" w:eastAsia="Arial" w:hAnsi="Arial"/>
                <w:sz w:val="16"/>
                <w:szCs w:val="16"/>
                <w:color w:val="0000EE"/>
              </w:rPr>
              <w:t>Select Awards &amp; Recognitions</w:t>
            </w:r>
          </w:p>
        </w:tc>
        <w:tc>
          <w:tcPr>
            <w:tcW w:w="2020" w:type="dxa"/>
            <w:vAlign w:val="bottom"/>
            <w:shd w:val="clear" w:color="auto" w:fill="EDEDED"/>
          </w:tcPr>
          <w:p>
            <w:pPr>
              <w:jc w:val="right"/>
              <w:ind w:right="119"/>
              <w:spacing w:after="0" w:line="162" w:lineRule="exact"/>
              <w:rPr>
                <w:sz w:val="20"/>
                <w:szCs w:val="20"/>
                <w:color w:val="auto"/>
              </w:rPr>
            </w:pPr>
            <w:r>
              <w:rPr>
                <w:rFonts w:ascii="Arial" w:cs="Arial" w:eastAsia="Arial" w:hAnsi="Arial"/>
                <w:sz w:val="16"/>
                <w:szCs w:val="16"/>
                <w:color w:val="auto"/>
              </w:rPr>
              <w:t>13</w:t>
            </w:r>
          </w:p>
        </w:tc>
      </w:tr>
      <w:tr>
        <w:trPr>
          <w:trHeight w:val="27"/>
        </w:trPr>
        <w:tc>
          <w:tcPr>
            <w:tcW w:w="12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40" w:type="dxa"/>
            <w:vAlign w:val="bottom"/>
            <w:shd w:val="clear" w:color="auto" w:fill="EDEDED"/>
          </w:tcPr>
          <w:p>
            <w:pPr>
              <w:spacing w:after="0"/>
              <w:rPr>
                <w:sz w:val="2"/>
                <w:szCs w:val="2"/>
                <w:color w:val="auto"/>
              </w:rPr>
            </w:pPr>
          </w:p>
        </w:tc>
        <w:tc>
          <w:tcPr>
            <w:tcW w:w="140" w:type="dxa"/>
            <w:vAlign w:val="bottom"/>
            <w:shd w:val="clear" w:color="auto" w:fill="EDEDED"/>
          </w:tcPr>
          <w:p>
            <w:pPr>
              <w:spacing w:after="0"/>
              <w:rPr>
                <w:sz w:val="2"/>
                <w:szCs w:val="2"/>
                <w:color w:val="auto"/>
              </w:rPr>
            </w:pPr>
          </w:p>
        </w:tc>
        <w:tc>
          <w:tcPr>
            <w:tcW w:w="720" w:type="dxa"/>
            <w:vAlign w:val="bottom"/>
            <w:shd w:val="clear" w:color="auto" w:fill="EDEDED"/>
          </w:tcPr>
          <w:p>
            <w:pPr>
              <w:spacing w:after="0"/>
              <w:rPr>
                <w:sz w:val="2"/>
                <w:szCs w:val="2"/>
                <w:color w:val="auto"/>
              </w:rPr>
            </w:pPr>
          </w:p>
        </w:tc>
        <w:tc>
          <w:tcPr>
            <w:tcW w:w="2020" w:type="dxa"/>
            <w:vAlign w:val="bottom"/>
            <w:shd w:val="clear" w:color="auto" w:fill="EDEDED"/>
          </w:tcPr>
          <w:p>
            <w:pPr>
              <w:spacing w:after="0"/>
              <w:rPr>
                <w:sz w:val="2"/>
                <w:szCs w:val="2"/>
                <w:color w:val="auto"/>
              </w:rPr>
            </w:pPr>
          </w:p>
        </w:tc>
      </w:tr>
      <w:tr>
        <w:trPr>
          <w:trHeight w:val="162"/>
        </w:trPr>
        <w:tc>
          <w:tcPr>
            <w:tcW w:w="3260" w:type="dxa"/>
            <w:vAlign w:val="bottom"/>
            <w:gridSpan w:val="8"/>
          </w:tcPr>
          <w:p>
            <w:pPr>
              <w:spacing w:after="0" w:line="162" w:lineRule="exact"/>
              <w:rPr>
                <w:sz w:val="20"/>
                <w:szCs w:val="20"/>
                <w:color w:val="auto"/>
              </w:rPr>
            </w:pPr>
            <w:r>
              <w:rPr>
                <w:rFonts w:ascii="Arial" w:cs="Arial" w:eastAsia="Arial" w:hAnsi="Arial"/>
                <w:sz w:val="16"/>
                <w:szCs w:val="16"/>
                <w:color w:val="0000EE"/>
              </w:rPr>
              <w:t>Executive Compensation Highlights</w:t>
            </w:r>
          </w:p>
        </w:tc>
        <w:tc>
          <w:tcPr>
            <w:tcW w:w="202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14</w:t>
            </w:r>
          </w:p>
        </w:tc>
      </w:tr>
      <w:tr>
        <w:trPr>
          <w:trHeight w:val="20"/>
        </w:trPr>
        <w:tc>
          <w:tcPr>
            <w:tcW w:w="124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294894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48940" cy="13716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82"/>
        </w:trPr>
        <w:tc>
          <w:tcPr>
            <w:tcW w:w="4640" w:type="dxa"/>
            <w:vAlign w:val="bottom"/>
            <w:gridSpan w:val="7"/>
          </w:tcPr>
          <w:p>
            <w:pPr>
              <w:spacing w:after="0" w:line="162" w:lineRule="exact"/>
              <w:rPr>
                <w:sz w:val="20"/>
                <w:szCs w:val="20"/>
                <w:color w:val="auto"/>
              </w:rPr>
            </w:pPr>
            <w:r>
              <w:rPr>
                <w:rFonts w:ascii="Arial" w:cs="Arial" w:eastAsia="Arial" w:hAnsi="Arial"/>
                <w:sz w:val="16"/>
                <w:szCs w:val="16"/>
                <w:b w:val="1"/>
                <w:bCs w:val="1"/>
                <w:color w:val="0000EE"/>
              </w:rPr>
              <w:t>Proposal 1: Election of Directors</w:t>
            </w:r>
          </w:p>
        </w:tc>
        <w:tc>
          <w:tcPr>
            <w:tcW w:w="640" w:type="dxa"/>
            <w:vAlign w:val="bottom"/>
            <w:shd w:val="clear" w:color="auto" w:fill="EDEDED"/>
          </w:tcPr>
          <w:p>
            <w:pPr>
              <w:jc w:val="right"/>
              <w:ind w:right="119"/>
              <w:spacing w:after="0" w:line="162" w:lineRule="exact"/>
              <w:rPr>
                <w:sz w:val="20"/>
                <w:szCs w:val="20"/>
                <w:color w:val="auto"/>
              </w:rPr>
            </w:pPr>
            <w:r>
              <w:rPr>
                <w:rFonts w:ascii="Arial" w:cs="Arial" w:eastAsia="Arial" w:hAnsi="Arial"/>
                <w:sz w:val="16"/>
                <w:szCs w:val="16"/>
                <w:b w:val="1"/>
                <w:bCs w:val="1"/>
                <w:color w:val="00AF41"/>
              </w:rPr>
              <w:t>15</w:t>
            </w:r>
          </w:p>
        </w:tc>
      </w:tr>
      <w:tr>
        <w:trPr>
          <w:trHeight w:val="156"/>
        </w:trPr>
        <w:tc>
          <w:tcPr>
            <w:tcW w:w="1640" w:type="dxa"/>
            <w:vAlign w:val="bottom"/>
            <w:tcBorders>
              <w:top w:val="single" w:sz="8" w:color="0000EE"/>
              <w:bottom w:val="single" w:sz="8" w:color="0000EE"/>
            </w:tcBorders>
            <w:gridSpan w:val="4"/>
          </w:tcPr>
          <w:p>
            <w:pPr>
              <w:spacing w:after="0" w:line="149" w:lineRule="exact"/>
              <w:rPr>
                <w:sz w:val="20"/>
                <w:szCs w:val="20"/>
                <w:color w:val="auto"/>
              </w:rPr>
            </w:pPr>
            <w:r>
              <w:rPr>
                <w:rFonts w:ascii="Arial" w:cs="Arial" w:eastAsia="Arial" w:hAnsi="Arial"/>
                <w:sz w:val="16"/>
                <w:szCs w:val="16"/>
                <w:color w:val="0000EE"/>
              </w:rPr>
              <w:t>Director Independence</w:t>
            </w:r>
          </w:p>
        </w:tc>
        <w:tc>
          <w:tcPr>
            <w:tcW w:w="880" w:type="dxa"/>
            <w:vAlign w:val="bottom"/>
            <w:tcBorders>
              <w:top w:val="single" w:sz="8" w:color="0000EE"/>
            </w:tcBorders>
          </w:tcPr>
          <w:p>
            <w:pPr>
              <w:spacing w:after="0"/>
              <w:rPr>
                <w:sz w:val="13"/>
                <w:szCs w:val="13"/>
                <w:color w:val="auto"/>
              </w:rPr>
            </w:pP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Borders>
              <w:top w:val="single" w:sz="8" w:color="EDEDED"/>
            </w:tcBorders>
          </w:tcPr>
          <w:p>
            <w:pPr>
              <w:jc w:val="right"/>
              <w:ind w:right="119"/>
              <w:spacing w:after="0" w:line="149" w:lineRule="exact"/>
              <w:rPr>
                <w:sz w:val="20"/>
                <w:szCs w:val="20"/>
                <w:color w:val="auto"/>
              </w:rPr>
            </w:pPr>
            <w:r>
              <w:rPr>
                <w:rFonts w:ascii="Arial" w:cs="Arial" w:eastAsia="Arial" w:hAnsi="Arial"/>
                <w:sz w:val="16"/>
                <w:szCs w:val="16"/>
                <w:color w:val="auto"/>
              </w:rPr>
              <w:t>15</w:t>
            </w:r>
          </w:p>
        </w:tc>
      </w:tr>
      <w:tr>
        <w:trPr>
          <w:trHeight w:val="162"/>
        </w:trPr>
        <w:tc>
          <w:tcPr>
            <w:tcW w:w="4640" w:type="dxa"/>
            <w:vAlign w:val="bottom"/>
            <w:gridSpan w:val="7"/>
            <w:shd w:val="clear" w:color="auto" w:fill="EDEDED"/>
          </w:tcPr>
          <w:p>
            <w:pPr>
              <w:spacing w:after="0" w:line="162" w:lineRule="exact"/>
              <w:rPr>
                <w:sz w:val="20"/>
                <w:szCs w:val="20"/>
                <w:color w:val="auto"/>
              </w:rPr>
            </w:pPr>
            <w:r>
              <w:rPr>
                <w:rFonts w:ascii="Arial" w:cs="Arial" w:eastAsia="Arial" w:hAnsi="Arial"/>
                <w:sz w:val="16"/>
                <w:szCs w:val="16"/>
                <w:color w:val="0000EE"/>
              </w:rPr>
              <w:t>Board Nominees</w:t>
            </w:r>
          </w:p>
        </w:tc>
        <w:tc>
          <w:tcPr>
            <w:tcW w:w="640" w:type="dxa"/>
            <w:vAlign w:val="bottom"/>
            <w:shd w:val="clear" w:color="auto" w:fill="EDEDED"/>
          </w:tcPr>
          <w:p>
            <w:pPr>
              <w:jc w:val="right"/>
              <w:ind w:right="119"/>
              <w:spacing w:after="0" w:line="162" w:lineRule="exact"/>
              <w:rPr>
                <w:sz w:val="20"/>
                <w:szCs w:val="20"/>
                <w:color w:val="auto"/>
              </w:rPr>
            </w:pPr>
            <w:r>
              <w:rPr>
                <w:rFonts w:ascii="Arial" w:cs="Arial" w:eastAsia="Arial" w:hAnsi="Arial"/>
                <w:sz w:val="16"/>
                <w:szCs w:val="16"/>
                <w:color w:val="auto"/>
              </w:rPr>
              <w:t>15</w:t>
            </w:r>
          </w:p>
        </w:tc>
      </w:tr>
      <w:tr>
        <w:trPr>
          <w:trHeight w:val="27"/>
        </w:trPr>
        <w:tc>
          <w:tcPr>
            <w:tcW w:w="1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EDEDED"/>
          </w:tcPr>
          <w:p>
            <w:pPr>
              <w:spacing w:after="0"/>
              <w:rPr>
                <w:sz w:val="2"/>
                <w:szCs w:val="2"/>
                <w:color w:val="auto"/>
              </w:rPr>
            </w:pPr>
          </w:p>
        </w:tc>
        <w:tc>
          <w:tcPr>
            <w:tcW w:w="260" w:type="dxa"/>
            <w:vAlign w:val="bottom"/>
            <w:shd w:val="clear" w:color="auto" w:fill="EDEDED"/>
          </w:tcPr>
          <w:p>
            <w:pPr>
              <w:spacing w:after="0"/>
              <w:rPr>
                <w:sz w:val="2"/>
                <w:szCs w:val="2"/>
                <w:color w:val="auto"/>
              </w:rPr>
            </w:pPr>
          </w:p>
        </w:tc>
        <w:tc>
          <w:tcPr>
            <w:tcW w:w="880" w:type="dxa"/>
            <w:vAlign w:val="bottom"/>
            <w:shd w:val="clear" w:color="auto" w:fill="EDEDED"/>
          </w:tcPr>
          <w:p>
            <w:pPr>
              <w:spacing w:after="0"/>
              <w:rPr>
                <w:sz w:val="2"/>
                <w:szCs w:val="2"/>
                <w:color w:val="auto"/>
              </w:rPr>
            </w:pPr>
          </w:p>
        </w:tc>
        <w:tc>
          <w:tcPr>
            <w:tcW w:w="1080" w:type="dxa"/>
            <w:vAlign w:val="bottom"/>
            <w:shd w:val="clear" w:color="auto" w:fill="EDEDED"/>
          </w:tcPr>
          <w:p>
            <w:pPr>
              <w:spacing w:after="0"/>
              <w:rPr>
                <w:sz w:val="2"/>
                <w:szCs w:val="2"/>
                <w:color w:val="auto"/>
              </w:rPr>
            </w:pPr>
          </w:p>
        </w:tc>
        <w:tc>
          <w:tcPr>
            <w:tcW w:w="1040" w:type="dxa"/>
            <w:vAlign w:val="bottom"/>
            <w:shd w:val="clear" w:color="auto" w:fill="EDEDED"/>
          </w:tcPr>
          <w:p>
            <w:pPr>
              <w:spacing w:after="0"/>
              <w:rPr>
                <w:sz w:val="2"/>
                <w:szCs w:val="2"/>
                <w:color w:val="auto"/>
              </w:rPr>
            </w:pPr>
          </w:p>
        </w:tc>
        <w:tc>
          <w:tcPr>
            <w:tcW w:w="640" w:type="dxa"/>
            <w:vAlign w:val="bottom"/>
            <w:shd w:val="clear" w:color="auto" w:fill="EDEDED"/>
          </w:tcPr>
          <w:p>
            <w:pPr>
              <w:spacing w:after="0"/>
              <w:rPr>
                <w:sz w:val="2"/>
                <w:szCs w:val="2"/>
                <w:color w:val="auto"/>
              </w:rPr>
            </w:pPr>
          </w:p>
        </w:tc>
      </w:tr>
      <w:tr>
        <w:trPr>
          <w:trHeight w:val="169"/>
        </w:trPr>
        <w:tc>
          <w:tcPr>
            <w:tcW w:w="1380" w:type="dxa"/>
            <w:vAlign w:val="bottom"/>
            <w:tcBorders>
              <w:bottom w:val="single" w:sz="8" w:color="0000EE"/>
            </w:tcBorders>
            <w:gridSpan w:val="3"/>
          </w:tcPr>
          <w:p>
            <w:pPr>
              <w:spacing w:after="0" w:line="162" w:lineRule="exact"/>
              <w:rPr>
                <w:sz w:val="20"/>
                <w:szCs w:val="20"/>
                <w:color w:val="auto"/>
              </w:rPr>
            </w:pPr>
            <w:r>
              <w:rPr>
                <w:rFonts w:ascii="Arial" w:cs="Arial" w:eastAsia="Arial" w:hAnsi="Arial"/>
                <w:sz w:val="16"/>
                <w:szCs w:val="16"/>
                <w:color w:val="0000EE"/>
                <w:w w:val="99"/>
              </w:rPr>
              <w:t>Board Composition</w:t>
            </w:r>
          </w:p>
        </w:tc>
        <w:tc>
          <w:tcPr>
            <w:tcW w:w="3260" w:type="dxa"/>
            <w:vAlign w:val="bottom"/>
            <w:gridSpan w:val="4"/>
          </w:tcPr>
          <w:p>
            <w:pPr>
              <w:spacing w:after="0"/>
              <w:rPr>
                <w:sz w:val="14"/>
                <w:szCs w:val="14"/>
                <w:color w:val="auto"/>
              </w:rPr>
            </w:pPr>
          </w:p>
        </w:tc>
        <w:tc>
          <w:tcPr>
            <w:tcW w:w="64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15</w:t>
            </w:r>
          </w:p>
        </w:tc>
      </w:tr>
      <w:tr>
        <w:trPr>
          <w:trHeight w:val="169"/>
        </w:trPr>
        <w:tc>
          <w:tcPr>
            <w:tcW w:w="1100" w:type="dxa"/>
            <w:vAlign w:val="bottom"/>
            <w:tcBorders>
              <w:bottom w:val="single" w:sz="8" w:color="0000EE"/>
            </w:tcBorders>
            <w:shd w:val="clear" w:color="auto" w:fill="EDEDED"/>
          </w:tcPr>
          <w:p>
            <w:pPr>
              <w:spacing w:after="0" w:line="162" w:lineRule="exact"/>
              <w:rPr>
                <w:sz w:val="20"/>
                <w:szCs w:val="20"/>
                <w:color w:val="auto"/>
              </w:rPr>
            </w:pPr>
            <w:r>
              <w:rPr>
                <w:rFonts w:ascii="Arial" w:cs="Arial" w:eastAsia="Arial" w:hAnsi="Arial"/>
                <w:sz w:val="16"/>
                <w:szCs w:val="16"/>
                <w:color w:val="0000EE"/>
                <w:w w:val="99"/>
              </w:rPr>
              <w:t>Board Diversity</w:t>
            </w:r>
          </w:p>
        </w:tc>
        <w:tc>
          <w:tcPr>
            <w:tcW w:w="3540" w:type="dxa"/>
            <w:vAlign w:val="bottom"/>
            <w:tcBorders>
              <w:bottom w:val="single" w:sz="8" w:color="EDEDED"/>
            </w:tcBorders>
            <w:gridSpan w:val="6"/>
            <w:shd w:val="clear" w:color="auto" w:fill="EDEDED"/>
          </w:tcPr>
          <w:p>
            <w:pPr>
              <w:spacing w:after="0"/>
              <w:rPr>
                <w:sz w:val="14"/>
                <w:szCs w:val="14"/>
                <w:color w:val="auto"/>
              </w:rPr>
            </w:pPr>
          </w:p>
        </w:tc>
        <w:tc>
          <w:tcPr>
            <w:tcW w:w="640" w:type="dxa"/>
            <w:vAlign w:val="bottom"/>
            <w:tcBorders>
              <w:bottom w:val="single" w:sz="8" w:color="EDEDED"/>
            </w:tcBorders>
            <w:shd w:val="clear" w:color="auto" w:fill="EDEDED"/>
          </w:tcPr>
          <w:p>
            <w:pPr>
              <w:jc w:val="right"/>
              <w:ind w:right="119"/>
              <w:spacing w:after="0" w:line="162" w:lineRule="exact"/>
              <w:rPr>
                <w:sz w:val="20"/>
                <w:szCs w:val="20"/>
                <w:color w:val="auto"/>
              </w:rPr>
            </w:pPr>
            <w:r>
              <w:rPr>
                <w:rFonts w:ascii="Arial" w:cs="Arial" w:eastAsia="Arial" w:hAnsi="Arial"/>
                <w:sz w:val="16"/>
                <w:szCs w:val="16"/>
                <w:color w:val="auto"/>
              </w:rPr>
              <w:t>19</w:t>
            </w:r>
          </w:p>
        </w:tc>
      </w:tr>
      <w:tr>
        <w:trPr>
          <w:trHeight w:val="162"/>
        </w:trPr>
        <w:tc>
          <w:tcPr>
            <w:tcW w:w="4640" w:type="dxa"/>
            <w:vAlign w:val="bottom"/>
            <w:gridSpan w:val="7"/>
          </w:tcPr>
          <w:p>
            <w:pPr>
              <w:spacing w:after="0" w:line="162" w:lineRule="exact"/>
              <w:rPr>
                <w:sz w:val="20"/>
                <w:szCs w:val="20"/>
                <w:color w:val="auto"/>
              </w:rPr>
            </w:pPr>
            <w:r>
              <w:rPr>
                <w:rFonts w:ascii="Arial" w:cs="Arial" w:eastAsia="Arial" w:hAnsi="Arial"/>
                <w:sz w:val="16"/>
                <w:szCs w:val="16"/>
                <w:color w:val="0000EE"/>
              </w:rPr>
              <w:t>Biographical Information About Director Nominees</w:t>
            </w:r>
          </w:p>
        </w:tc>
        <w:tc>
          <w:tcPr>
            <w:tcW w:w="64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20</w:t>
            </w:r>
          </w:p>
        </w:tc>
      </w:tr>
      <w:tr>
        <w:trPr>
          <w:trHeight w:val="20"/>
        </w:trPr>
        <w:tc>
          <w:tcPr>
            <w:tcW w:w="11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1080" w:type="dxa"/>
            <w:vAlign w:val="bottom"/>
            <w:tcBorders>
              <w:top w:val="single" w:sz="8" w:color="0000EE"/>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294894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48940" cy="13716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82"/>
        </w:trPr>
        <w:tc>
          <w:tcPr>
            <w:tcW w:w="4640" w:type="dxa"/>
            <w:vAlign w:val="bottom"/>
            <w:gridSpan w:val="20"/>
          </w:tcPr>
          <w:p>
            <w:pPr>
              <w:spacing w:after="0" w:line="162" w:lineRule="exact"/>
              <w:rPr>
                <w:sz w:val="20"/>
                <w:szCs w:val="20"/>
                <w:color w:val="auto"/>
              </w:rPr>
            </w:pPr>
            <w:r>
              <w:rPr>
                <w:rFonts w:ascii="Arial" w:cs="Arial" w:eastAsia="Arial" w:hAnsi="Arial"/>
                <w:sz w:val="16"/>
                <w:szCs w:val="16"/>
                <w:b w:val="1"/>
                <w:bCs w:val="1"/>
                <w:color w:val="0000EE"/>
              </w:rPr>
              <w:t>Corporate Governance</w:t>
            </w:r>
          </w:p>
        </w:tc>
        <w:tc>
          <w:tcPr>
            <w:tcW w:w="640" w:type="dxa"/>
            <w:vAlign w:val="bottom"/>
            <w:shd w:val="clear" w:color="auto" w:fill="EDEDED"/>
          </w:tcPr>
          <w:p>
            <w:pPr>
              <w:jc w:val="right"/>
              <w:ind w:right="119"/>
              <w:spacing w:after="0" w:line="162" w:lineRule="exact"/>
              <w:rPr>
                <w:sz w:val="20"/>
                <w:szCs w:val="20"/>
                <w:color w:val="auto"/>
              </w:rPr>
            </w:pPr>
            <w:r>
              <w:rPr>
                <w:rFonts w:ascii="Arial" w:cs="Arial" w:eastAsia="Arial" w:hAnsi="Arial"/>
                <w:sz w:val="16"/>
                <w:szCs w:val="16"/>
                <w:b w:val="1"/>
                <w:bCs w:val="1"/>
                <w:color w:val="00AF41"/>
              </w:rPr>
              <w:t>25</w:t>
            </w:r>
          </w:p>
        </w:tc>
      </w:tr>
      <w:tr>
        <w:trPr>
          <w:trHeight w:val="149"/>
        </w:trPr>
        <w:tc>
          <w:tcPr>
            <w:tcW w:w="1800" w:type="dxa"/>
            <w:vAlign w:val="bottom"/>
            <w:tcBorders>
              <w:top w:val="single" w:sz="8" w:color="0000EE"/>
            </w:tcBorders>
            <w:gridSpan w:val="7"/>
          </w:tcPr>
          <w:p>
            <w:pPr>
              <w:spacing w:after="0" w:line="149" w:lineRule="exact"/>
              <w:rPr>
                <w:sz w:val="20"/>
                <w:szCs w:val="20"/>
                <w:color w:val="auto"/>
              </w:rPr>
            </w:pPr>
            <w:r>
              <w:rPr>
                <w:rFonts w:ascii="Arial" w:cs="Arial" w:eastAsia="Arial" w:hAnsi="Arial"/>
                <w:sz w:val="16"/>
                <w:szCs w:val="16"/>
                <w:color w:val="0000EE"/>
                <w:w w:val="99"/>
              </w:rPr>
              <w:t>Compliance with Nasdaq</w:t>
            </w:r>
          </w:p>
        </w:tc>
        <w:tc>
          <w:tcPr>
            <w:tcW w:w="2840" w:type="dxa"/>
            <w:vAlign w:val="bottom"/>
            <w:gridSpan w:val="13"/>
          </w:tcPr>
          <w:p>
            <w:pPr>
              <w:ind w:left="40"/>
              <w:spacing w:after="0" w:line="149" w:lineRule="exact"/>
              <w:rPr>
                <w:sz w:val="20"/>
                <w:szCs w:val="20"/>
                <w:color w:val="auto"/>
              </w:rPr>
            </w:pPr>
            <w:r>
              <w:rPr>
                <w:rFonts w:ascii="Arial" w:cs="Arial" w:eastAsia="Arial" w:hAnsi="Arial"/>
                <w:sz w:val="16"/>
                <w:szCs w:val="16"/>
                <w:color w:val="0000EE"/>
              </w:rPr>
              <w:t>Independence Standards for</w:t>
            </w:r>
          </w:p>
        </w:tc>
        <w:tc>
          <w:tcPr>
            <w:tcW w:w="640" w:type="dxa"/>
            <w:vAlign w:val="bottom"/>
            <w:tcBorders>
              <w:top w:val="single" w:sz="8" w:color="EDEDED"/>
            </w:tcBorders>
          </w:tcPr>
          <w:p>
            <w:pPr>
              <w:jc w:val="right"/>
              <w:ind w:right="119"/>
              <w:spacing w:after="0" w:line="149" w:lineRule="exact"/>
              <w:rPr>
                <w:sz w:val="20"/>
                <w:szCs w:val="20"/>
                <w:color w:val="auto"/>
              </w:rPr>
            </w:pPr>
            <w:r>
              <w:rPr>
                <w:rFonts w:ascii="Arial" w:cs="Arial" w:eastAsia="Arial" w:hAnsi="Arial"/>
                <w:sz w:val="16"/>
                <w:szCs w:val="16"/>
                <w:color w:val="auto"/>
              </w:rPr>
              <w:t>25</w:t>
            </w:r>
          </w:p>
        </w:tc>
      </w:tr>
      <w:tr>
        <w:trPr>
          <w:trHeight w:val="176"/>
        </w:trPr>
        <w:tc>
          <w:tcPr>
            <w:tcW w:w="20" w:type="dxa"/>
            <w:vAlign w:val="bottom"/>
          </w:tcPr>
          <w:p>
            <w:pPr>
              <w:spacing w:after="0"/>
              <w:rPr>
                <w:sz w:val="15"/>
                <w:szCs w:val="15"/>
                <w:color w:val="auto"/>
              </w:rPr>
            </w:pPr>
          </w:p>
        </w:tc>
        <w:tc>
          <w:tcPr>
            <w:tcW w:w="1940" w:type="dxa"/>
            <w:vAlign w:val="bottom"/>
            <w:tcBorders>
              <w:top w:val="single" w:sz="8" w:color="0000EE"/>
              <w:bottom w:val="single" w:sz="8" w:color="0000EE"/>
            </w:tcBorders>
            <w:gridSpan w:val="8"/>
          </w:tcPr>
          <w:p>
            <w:pPr>
              <w:spacing w:after="0" w:line="169" w:lineRule="exact"/>
              <w:rPr>
                <w:sz w:val="20"/>
                <w:szCs w:val="20"/>
                <w:color w:val="auto"/>
              </w:rPr>
            </w:pPr>
            <w:r>
              <w:rPr>
                <w:rFonts w:ascii="Arial" w:cs="Arial" w:eastAsia="Arial" w:hAnsi="Arial"/>
                <w:sz w:val="16"/>
                <w:szCs w:val="16"/>
                <w:color w:val="0000EE"/>
                <w:w w:val="99"/>
              </w:rPr>
              <w:t>Non-Controlled Companies</w:t>
            </w:r>
          </w:p>
        </w:tc>
        <w:tc>
          <w:tcPr>
            <w:tcW w:w="1920" w:type="dxa"/>
            <w:vAlign w:val="bottom"/>
            <w:tcBorders>
              <w:top w:val="single" w:sz="8" w:color="0000EE"/>
            </w:tcBorders>
            <w:gridSpan w:val="8"/>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62"/>
        </w:trPr>
        <w:tc>
          <w:tcPr>
            <w:tcW w:w="4640" w:type="dxa"/>
            <w:vAlign w:val="bottom"/>
            <w:gridSpan w:val="20"/>
            <w:shd w:val="clear" w:color="auto" w:fill="EDEDED"/>
          </w:tcPr>
          <w:p>
            <w:pPr>
              <w:spacing w:after="0" w:line="162" w:lineRule="exact"/>
              <w:rPr>
                <w:sz w:val="20"/>
                <w:szCs w:val="20"/>
                <w:color w:val="auto"/>
              </w:rPr>
            </w:pPr>
            <w:r>
              <w:rPr>
                <w:rFonts w:ascii="Arial" w:cs="Arial" w:eastAsia="Arial" w:hAnsi="Arial"/>
                <w:sz w:val="16"/>
                <w:szCs w:val="16"/>
                <w:color w:val="0000EE"/>
              </w:rPr>
              <w:t>Role of the Board of Directors</w:t>
            </w:r>
          </w:p>
        </w:tc>
        <w:tc>
          <w:tcPr>
            <w:tcW w:w="640" w:type="dxa"/>
            <w:vAlign w:val="bottom"/>
            <w:shd w:val="clear" w:color="auto" w:fill="EDEDED"/>
          </w:tcPr>
          <w:p>
            <w:pPr>
              <w:jc w:val="right"/>
              <w:ind w:right="119"/>
              <w:spacing w:after="0" w:line="162" w:lineRule="exact"/>
              <w:rPr>
                <w:sz w:val="20"/>
                <w:szCs w:val="20"/>
                <w:color w:val="auto"/>
              </w:rPr>
            </w:pPr>
            <w:r>
              <w:rPr>
                <w:rFonts w:ascii="Arial" w:cs="Arial" w:eastAsia="Arial" w:hAnsi="Arial"/>
                <w:sz w:val="16"/>
                <w:szCs w:val="16"/>
                <w:color w:val="auto"/>
              </w:rPr>
              <w:t>25</w:t>
            </w:r>
          </w:p>
        </w:tc>
      </w:tr>
      <w:tr>
        <w:trPr>
          <w:trHeight w:val="27"/>
        </w:trPr>
        <w:tc>
          <w:tcPr>
            <w:tcW w:w="20" w:type="dxa"/>
            <w:vAlign w:val="bottom"/>
            <w:shd w:val="clear" w:color="auto" w:fill="EDEDED"/>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60" w:type="dxa"/>
            <w:vAlign w:val="bottom"/>
            <w:shd w:val="clear" w:color="auto" w:fill="EDEDED"/>
          </w:tcPr>
          <w:p>
            <w:pPr>
              <w:spacing w:after="0"/>
              <w:rPr>
                <w:sz w:val="2"/>
                <w:szCs w:val="2"/>
                <w:color w:val="auto"/>
              </w:rPr>
            </w:pPr>
          </w:p>
        </w:tc>
        <w:tc>
          <w:tcPr>
            <w:tcW w:w="420" w:type="dxa"/>
            <w:vAlign w:val="bottom"/>
            <w:shd w:val="clear" w:color="auto" w:fill="EDEDED"/>
          </w:tcPr>
          <w:p>
            <w:pPr>
              <w:spacing w:after="0"/>
              <w:rPr>
                <w:sz w:val="2"/>
                <w:szCs w:val="2"/>
                <w:color w:val="auto"/>
              </w:rPr>
            </w:pPr>
          </w:p>
        </w:tc>
        <w:tc>
          <w:tcPr>
            <w:tcW w:w="140" w:type="dxa"/>
            <w:vAlign w:val="bottom"/>
            <w:shd w:val="clear" w:color="auto" w:fill="EDEDED"/>
          </w:tcPr>
          <w:p>
            <w:pPr>
              <w:spacing w:after="0"/>
              <w:rPr>
                <w:sz w:val="2"/>
                <w:szCs w:val="2"/>
                <w:color w:val="auto"/>
              </w:rPr>
            </w:pPr>
          </w:p>
        </w:tc>
        <w:tc>
          <w:tcPr>
            <w:tcW w:w="360" w:type="dxa"/>
            <w:vAlign w:val="bottom"/>
            <w:shd w:val="clear" w:color="auto" w:fill="EDEDED"/>
          </w:tcPr>
          <w:p>
            <w:pPr>
              <w:spacing w:after="0"/>
              <w:rPr>
                <w:sz w:val="2"/>
                <w:szCs w:val="2"/>
                <w:color w:val="auto"/>
              </w:rPr>
            </w:pPr>
          </w:p>
        </w:tc>
        <w:tc>
          <w:tcPr>
            <w:tcW w:w="80" w:type="dxa"/>
            <w:vAlign w:val="bottom"/>
            <w:shd w:val="clear" w:color="auto" w:fill="EDEDED"/>
          </w:tcPr>
          <w:p>
            <w:pPr>
              <w:spacing w:after="0"/>
              <w:rPr>
                <w:sz w:val="2"/>
                <w:szCs w:val="2"/>
                <w:color w:val="auto"/>
              </w:rPr>
            </w:pPr>
          </w:p>
        </w:tc>
        <w:tc>
          <w:tcPr>
            <w:tcW w:w="460" w:type="dxa"/>
            <w:vAlign w:val="bottom"/>
            <w:shd w:val="clear" w:color="auto" w:fill="EDEDED"/>
          </w:tcPr>
          <w:p>
            <w:pPr>
              <w:spacing w:after="0"/>
              <w:rPr>
                <w:sz w:val="2"/>
                <w:szCs w:val="2"/>
                <w:color w:val="auto"/>
              </w:rPr>
            </w:pPr>
          </w:p>
        </w:tc>
        <w:tc>
          <w:tcPr>
            <w:tcW w:w="120" w:type="dxa"/>
            <w:vAlign w:val="bottom"/>
            <w:shd w:val="clear" w:color="auto" w:fill="EDEDED"/>
          </w:tcPr>
          <w:p>
            <w:pPr>
              <w:spacing w:after="0"/>
              <w:rPr>
                <w:sz w:val="2"/>
                <w:szCs w:val="2"/>
                <w:color w:val="auto"/>
              </w:rPr>
            </w:pPr>
          </w:p>
        </w:tc>
        <w:tc>
          <w:tcPr>
            <w:tcW w:w="100" w:type="dxa"/>
            <w:vAlign w:val="bottom"/>
            <w:shd w:val="clear" w:color="auto" w:fill="EDEDED"/>
          </w:tcPr>
          <w:p>
            <w:pPr>
              <w:spacing w:after="0"/>
              <w:rPr>
                <w:sz w:val="2"/>
                <w:szCs w:val="2"/>
                <w:color w:val="auto"/>
              </w:rPr>
            </w:pPr>
          </w:p>
        </w:tc>
        <w:tc>
          <w:tcPr>
            <w:tcW w:w="380" w:type="dxa"/>
            <w:vAlign w:val="bottom"/>
            <w:shd w:val="clear" w:color="auto" w:fill="EDEDED"/>
          </w:tcPr>
          <w:p>
            <w:pPr>
              <w:spacing w:after="0"/>
              <w:rPr>
                <w:sz w:val="2"/>
                <w:szCs w:val="2"/>
                <w:color w:val="auto"/>
              </w:rPr>
            </w:pPr>
          </w:p>
        </w:tc>
        <w:tc>
          <w:tcPr>
            <w:tcW w:w="280" w:type="dxa"/>
            <w:vAlign w:val="bottom"/>
            <w:shd w:val="clear" w:color="auto" w:fill="EDEDED"/>
          </w:tcPr>
          <w:p>
            <w:pPr>
              <w:spacing w:after="0"/>
              <w:rPr>
                <w:sz w:val="2"/>
                <w:szCs w:val="2"/>
                <w:color w:val="auto"/>
              </w:rPr>
            </w:pPr>
          </w:p>
        </w:tc>
        <w:tc>
          <w:tcPr>
            <w:tcW w:w="640" w:type="dxa"/>
            <w:vAlign w:val="bottom"/>
            <w:shd w:val="clear" w:color="auto" w:fill="EDEDED"/>
          </w:tcPr>
          <w:p>
            <w:pPr>
              <w:spacing w:after="0"/>
              <w:rPr>
                <w:sz w:val="2"/>
                <w:szCs w:val="2"/>
                <w:color w:val="auto"/>
              </w:rPr>
            </w:pPr>
          </w:p>
        </w:tc>
      </w:tr>
      <w:tr>
        <w:trPr>
          <w:trHeight w:val="162"/>
        </w:trPr>
        <w:tc>
          <w:tcPr>
            <w:tcW w:w="4640" w:type="dxa"/>
            <w:vAlign w:val="bottom"/>
            <w:gridSpan w:val="20"/>
          </w:tcPr>
          <w:p>
            <w:pPr>
              <w:spacing w:after="0" w:line="162" w:lineRule="exact"/>
              <w:rPr>
                <w:sz w:val="20"/>
                <w:szCs w:val="20"/>
                <w:color w:val="auto"/>
              </w:rPr>
            </w:pPr>
            <w:r>
              <w:rPr>
                <w:rFonts w:ascii="Arial" w:cs="Arial" w:eastAsia="Arial" w:hAnsi="Arial"/>
                <w:sz w:val="16"/>
                <w:szCs w:val="16"/>
                <w:color w:val="0000EE"/>
              </w:rPr>
              <w:t>Board Leadership and Governance Structure</w:t>
            </w:r>
          </w:p>
        </w:tc>
        <w:tc>
          <w:tcPr>
            <w:tcW w:w="64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26</w:t>
            </w:r>
          </w:p>
        </w:tc>
      </w:tr>
      <w:tr>
        <w:trPr>
          <w:trHeight w:val="27"/>
        </w:trPr>
        <w:tc>
          <w:tcPr>
            <w:tcW w:w="20" w:type="dxa"/>
            <w:vAlign w:val="bottom"/>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62"/>
        </w:trPr>
        <w:tc>
          <w:tcPr>
            <w:tcW w:w="4640" w:type="dxa"/>
            <w:vAlign w:val="bottom"/>
            <w:gridSpan w:val="20"/>
            <w:shd w:val="clear" w:color="auto" w:fill="EDEDED"/>
          </w:tcPr>
          <w:p>
            <w:pPr>
              <w:spacing w:after="0" w:line="162" w:lineRule="exact"/>
              <w:rPr>
                <w:sz w:val="20"/>
                <w:szCs w:val="20"/>
                <w:color w:val="auto"/>
              </w:rPr>
            </w:pPr>
            <w:r>
              <w:rPr>
                <w:rFonts w:ascii="Arial" w:cs="Arial" w:eastAsia="Arial" w:hAnsi="Arial"/>
                <w:sz w:val="16"/>
                <w:szCs w:val="16"/>
                <w:color w:val="0000EE"/>
              </w:rPr>
              <w:t>Committees of the Board</w:t>
            </w:r>
          </w:p>
        </w:tc>
        <w:tc>
          <w:tcPr>
            <w:tcW w:w="640" w:type="dxa"/>
            <w:vAlign w:val="bottom"/>
            <w:shd w:val="clear" w:color="auto" w:fill="EDEDED"/>
          </w:tcPr>
          <w:p>
            <w:pPr>
              <w:jc w:val="right"/>
              <w:ind w:right="119"/>
              <w:spacing w:after="0" w:line="162" w:lineRule="exact"/>
              <w:rPr>
                <w:sz w:val="20"/>
                <w:szCs w:val="20"/>
                <w:color w:val="auto"/>
              </w:rPr>
            </w:pPr>
            <w:r>
              <w:rPr>
                <w:rFonts w:ascii="Arial" w:cs="Arial" w:eastAsia="Arial" w:hAnsi="Arial"/>
                <w:sz w:val="16"/>
                <w:szCs w:val="16"/>
                <w:color w:val="auto"/>
              </w:rPr>
              <w:t>26</w:t>
            </w:r>
          </w:p>
        </w:tc>
      </w:tr>
      <w:tr>
        <w:trPr>
          <w:trHeight w:val="27"/>
        </w:trPr>
        <w:tc>
          <w:tcPr>
            <w:tcW w:w="20" w:type="dxa"/>
            <w:vAlign w:val="bottom"/>
            <w:shd w:val="clear" w:color="auto" w:fill="EDEDED"/>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EDEDED"/>
          </w:tcPr>
          <w:p>
            <w:pPr>
              <w:spacing w:after="0"/>
              <w:rPr>
                <w:sz w:val="2"/>
                <w:szCs w:val="2"/>
                <w:color w:val="auto"/>
              </w:rPr>
            </w:pPr>
          </w:p>
        </w:tc>
        <w:tc>
          <w:tcPr>
            <w:tcW w:w="60" w:type="dxa"/>
            <w:vAlign w:val="bottom"/>
            <w:shd w:val="clear" w:color="auto" w:fill="EDEDED"/>
          </w:tcPr>
          <w:p>
            <w:pPr>
              <w:spacing w:after="0"/>
              <w:rPr>
                <w:sz w:val="2"/>
                <w:szCs w:val="2"/>
                <w:color w:val="auto"/>
              </w:rPr>
            </w:pPr>
          </w:p>
        </w:tc>
        <w:tc>
          <w:tcPr>
            <w:tcW w:w="180" w:type="dxa"/>
            <w:vAlign w:val="bottom"/>
            <w:shd w:val="clear" w:color="auto" w:fill="EDEDED"/>
          </w:tcPr>
          <w:p>
            <w:pPr>
              <w:spacing w:after="0"/>
              <w:rPr>
                <w:sz w:val="2"/>
                <w:szCs w:val="2"/>
                <w:color w:val="auto"/>
              </w:rPr>
            </w:pPr>
          </w:p>
        </w:tc>
        <w:tc>
          <w:tcPr>
            <w:tcW w:w="160" w:type="dxa"/>
            <w:vAlign w:val="bottom"/>
            <w:shd w:val="clear" w:color="auto" w:fill="EDEDED"/>
          </w:tcPr>
          <w:p>
            <w:pPr>
              <w:spacing w:after="0"/>
              <w:rPr>
                <w:sz w:val="2"/>
                <w:szCs w:val="2"/>
                <w:color w:val="auto"/>
              </w:rPr>
            </w:pPr>
          </w:p>
        </w:tc>
        <w:tc>
          <w:tcPr>
            <w:tcW w:w="420" w:type="dxa"/>
            <w:vAlign w:val="bottom"/>
            <w:shd w:val="clear" w:color="auto" w:fill="EDEDED"/>
          </w:tcPr>
          <w:p>
            <w:pPr>
              <w:spacing w:after="0"/>
              <w:rPr>
                <w:sz w:val="2"/>
                <w:szCs w:val="2"/>
                <w:color w:val="auto"/>
              </w:rPr>
            </w:pPr>
          </w:p>
        </w:tc>
        <w:tc>
          <w:tcPr>
            <w:tcW w:w="140" w:type="dxa"/>
            <w:vAlign w:val="bottom"/>
            <w:shd w:val="clear" w:color="auto" w:fill="EDEDED"/>
          </w:tcPr>
          <w:p>
            <w:pPr>
              <w:spacing w:after="0"/>
              <w:rPr>
                <w:sz w:val="2"/>
                <w:szCs w:val="2"/>
                <w:color w:val="auto"/>
              </w:rPr>
            </w:pPr>
          </w:p>
        </w:tc>
        <w:tc>
          <w:tcPr>
            <w:tcW w:w="360" w:type="dxa"/>
            <w:vAlign w:val="bottom"/>
            <w:shd w:val="clear" w:color="auto" w:fill="EDEDED"/>
          </w:tcPr>
          <w:p>
            <w:pPr>
              <w:spacing w:after="0"/>
              <w:rPr>
                <w:sz w:val="2"/>
                <w:szCs w:val="2"/>
                <w:color w:val="auto"/>
              </w:rPr>
            </w:pPr>
          </w:p>
        </w:tc>
        <w:tc>
          <w:tcPr>
            <w:tcW w:w="80" w:type="dxa"/>
            <w:vAlign w:val="bottom"/>
            <w:shd w:val="clear" w:color="auto" w:fill="EDEDED"/>
          </w:tcPr>
          <w:p>
            <w:pPr>
              <w:spacing w:after="0"/>
              <w:rPr>
                <w:sz w:val="2"/>
                <w:szCs w:val="2"/>
                <w:color w:val="auto"/>
              </w:rPr>
            </w:pPr>
          </w:p>
        </w:tc>
        <w:tc>
          <w:tcPr>
            <w:tcW w:w="460" w:type="dxa"/>
            <w:vAlign w:val="bottom"/>
            <w:shd w:val="clear" w:color="auto" w:fill="EDEDED"/>
          </w:tcPr>
          <w:p>
            <w:pPr>
              <w:spacing w:after="0"/>
              <w:rPr>
                <w:sz w:val="2"/>
                <w:szCs w:val="2"/>
                <w:color w:val="auto"/>
              </w:rPr>
            </w:pPr>
          </w:p>
        </w:tc>
        <w:tc>
          <w:tcPr>
            <w:tcW w:w="120" w:type="dxa"/>
            <w:vAlign w:val="bottom"/>
            <w:shd w:val="clear" w:color="auto" w:fill="EDEDED"/>
          </w:tcPr>
          <w:p>
            <w:pPr>
              <w:spacing w:after="0"/>
              <w:rPr>
                <w:sz w:val="2"/>
                <w:szCs w:val="2"/>
                <w:color w:val="auto"/>
              </w:rPr>
            </w:pPr>
          </w:p>
        </w:tc>
        <w:tc>
          <w:tcPr>
            <w:tcW w:w="100" w:type="dxa"/>
            <w:vAlign w:val="bottom"/>
            <w:shd w:val="clear" w:color="auto" w:fill="EDEDED"/>
          </w:tcPr>
          <w:p>
            <w:pPr>
              <w:spacing w:after="0"/>
              <w:rPr>
                <w:sz w:val="2"/>
                <w:szCs w:val="2"/>
                <w:color w:val="auto"/>
              </w:rPr>
            </w:pPr>
          </w:p>
        </w:tc>
        <w:tc>
          <w:tcPr>
            <w:tcW w:w="380" w:type="dxa"/>
            <w:vAlign w:val="bottom"/>
            <w:shd w:val="clear" w:color="auto" w:fill="EDEDED"/>
          </w:tcPr>
          <w:p>
            <w:pPr>
              <w:spacing w:after="0"/>
              <w:rPr>
                <w:sz w:val="2"/>
                <w:szCs w:val="2"/>
                <w:color w:val="auto"/>
              </w:rPr>
            </w:pPr>
          </w:p>
        </w:tc>
        <w:tc>
          <w:tcPr>
            <w:tcW w:w="280" w:type="dxa"/>
            <w:vAlign w:val="bottom"/>
            <w:shd w:val="clear" w:color="auto" w:fill="EDEDED"/>
          </w:tcPr>
          <w:p>
            <w:pPr>
              <w:spacing w:after="0"/>
              <w:rPr>
                <w:sz w:val="2"/>
                <w:szCs w:val="2"/>
                <w:color w:val="auto"/>
              </w:rPr>
            </w:pPr>
          </w:p>
        </w:tc>
        <w:tc>
          <w:tcPr>
            <w:tcW w:w="640" w:type="dxa"/>
            <w:vAlign w:val="bottom"/>
            <w:shd w:val="clear" w:color="auto" w:fill="EDEDED"/>
          </w:tcPr>
          <w:p>
            <w:pPr>
              <w:spacing w:after="0"/>
              <w:rPr>
                <w:sz w:val="2"/>
                <w:szCs w:val="2"/>
                <w:color w:val="auto"/>
              </w:rPr>
            </w:pPr>
          </w:p>
        </w:tc>
      </w:tr>
      <w:tr>
        <w:trPr>
          <w:trHeight w:val="162"/>
        </w:trPr>
        <w:tc>
          <w:tcPr>
            <w:tcW w:w="4640" w:type="dxa"/>
            <w:vAlign w:val="bottom"/>
            <w:gridSpan w:val="20"/>
          </w:tcPr>
          <w:p>
            <w:pPr>
              <w:spacing w:after="0" w:line="162" w:lineRule="exact"/>
              <w:rPr>
                <w:sz w:val="20"/>
                <w:szCs w:val="20"/>
                <w:color w:val="auto"/>
              </w:rPr>
            </w:pPr>
            <w:r>
              <w:rPr>
                <w:rFonts w:ascii="Arial" w:cs="Arial" w:eastAsia="Arial" w:hAnsi="Arial"/>
                <w:sz w:val="16"/>
                <w:szCs w:val="16"/>
                <w:color w:val="0000EE"/>
              </w:rPr>
              <w:t>Executive Leadership</w:t>
            </w:r>
          </w:p>
        </w:tc>
        <w:tc>
          <w:tcPr>
            <w:tcW w:w="64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29</w:t>
            </w:r>
          </w:p>
        </w:tc>
      </w:tr>
      <w:tr>
        <w:trPr>
          <w:trHeight w:val="27"/>
        </w:trPr>
        <w:tc>
          <w:tcPr>
            <w:tcW w:w="20" w:type="dxa"/>
            <w:vAlign w:val="bottom"/>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62"/>
        </w:trPr>
        <w:tc>
          <w:tcPr>
            <w:tcW w:w="4640" w:type="dxa"/>
            <w:vAlign w:val="bottom"/>
            <w:gridSpan w:val="20"/>
            <w:shd w:val="clear" w:color="auto" w:fill="EDEDED"/>
          </w:tcPr>
          <w:p>
            <w:pPr>
              <w:spacing w:after="0" w:line="162" w:lineRule="exact"/>
              <w:rPr>
                <w:sz w:val="20"/>
                <w:szCs w:val="20"/>
                <w:color w:val="auto"/>
              </w:rPr>
            </w:pPr>
            <w:r>
              <w:rPr>
                <w:rFonts w:ascii="Arial" w:cs="Arial" w:eastAsia="Arial" w:hAnsi="Arial"/>
                <w:sz w:val="16"/>
                <w:szCs w:val="16"/>
                <w:color w:val="0000EE"/>
              </w:rPr>
              <w:t>Risk Governance and Oversight</w:t>
            </w:r>
          </w:p>
        </w:tc>
        <w:tc>
          <w:tcPr>
            <w:tcW w:w="640" w:type="dxa"/>
            <w:vAlign w:val="bottom"/>
            <w:shd w:val="clear" w:color="auto" w:fill="EDEDED"/>
          </w:tcPr>
          <w:p>
            <w:pPr>
              <w:jc w:val="right"/>
              <w:ind w:right="119"/>
              <w:spacing w:after="0" w:line="162" w:lineRule="exact"/>
              <w:rPr>
                <w:sz w:val="20"/>
                <w:szCs w:val="20"/>
                <w:color w:val="auto"/>
              </w:rPr>
            </w:pPr>
            <w:r>
              <w:rPr>
                <w:rFonts w:ascii="Arial" w:cs="Arial" w:eastAsia="Arial" w:hAnsi="Arial"/>
                <w:sz w:val="16"/>
                <w:szCs w:val="16"/>
                <w:color w:val="auto"/>
              </w:rPr>
              <w:t>32</w:t>
            </w:r>
          </w:p>
        </w:tc>
      </w:tr>
      <w:tr>
        <w:trPr>
          <w:trHeight w:val="27"/>
        </w:trPr>
        <w:tc>
          <w:tcPr>
            <w:tcW w:w="20" w:type="dxa"/>
            <w:vAlign w:val="bottom"/>
            <w:shd w:val="clear" w:color="auto" w:fill="EDEDED"/>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20" w:type="dxa"/>
            <w:vAlign w:val="bottom"/>
            <w:shd w:val="clear" w:color="auto" w:fill="EDEDED"/>
          </w:tcPr>
          <w:p>
            <w:pPr>
              <w:spacing w:after="0"/>
              <w:rPr>
                <w:sz w:val="2"/>
                <w:szCs w:val="2"/>
                <w:color w:val="auto"/>
              </w:rPr>
            </w:pPr>
          </w:p>
        </w:tc>
        <w:tc>
          <w:tcPr>
            <w:tcW w:w="140" w:type="dxa"/>
            <w:vAlign w:val="bottom"/>
            <w:shd w:val="clear" w:color="auto" w:fill="EDEDED"/>
          </w:tcPr>
          <w:p>
            <w:pPr>
              <w:spacing w:after="0"/>
              <w:rPr>
                <w:sz w:val="2"/>
                <w:szCs w:val="2"/>
                <w:color w:val="auto"/>
              </w:rPr>
            </w:pPr>
          </w:p>
        </w:tc>
        <w:tc>
          <w:tcPr>
            <w:tcW w:w="360" w:type="dxa"/>
            <w:vAlign w:val="bottom"/>
            <w:shd w:val="clear" w:color="auto" w:fill="EDEDED"/>
          </w:tcPr>
          <w:p>
            <w:pPr>
              <w:spacing w:after="0"/>
              <w:rPr>
                <w:sz w:val="2"/>
                <w:szCs w:val="2"/>
                <w:color w:val="auto"/>
              </w:rPr>
            </w:pPr>
          </w:p>
        </w:tc>
        <w:tc>
          <w:tcPr>
            <w:tcW w:w="80" w:type="dxa"/>
            <w:vAlign w:val="bottom"/>
            <w:shd w:val="clear" w:color="auto" w:fill="EDEDED"/>
          </w:tcPr>
          <w:p>
            <w:pPr>
              <w:spacing w:after="0"/>
              <w:rPr>
                <w:sz w:val="2"/>
                <w:szCs w:val="2"/>
                <w:color w:val="auto"/>
              </w:rPr>
            </w:pPr>
          </w:p>
        </w:tc>
        <w:tc>
          <w:tcPr>
            <w:tcW w:w="460" w:type="dxa"/>
            <w:vAlign w:val="bottom"/>
            <w:shd w:val="clear" w:color="auto" w:fill="EDEDED"/>
          </w:tcPr>
          <w:p>
            <w:pPr>
              <w:spacing w:after="0"/>
              <w:rPr>
                <w:sz w:val="2"/>
                <w:szCs w:val="2"/>
                <w:color w:val="auto"/>
              </w:rPr>
            </w:pPr>
          </w:p>
        </w:tc>
        <w:tc>
          <w:tcPr>
            <w:tcW w:w="120" w:type="dxa"/>
            <w:vAlign w:val="bottom"/>
            <w:shd w:val="clear" w:color="auto" w:fill="EDEDED"/>
          </w:tcPr>
          <w:p>
            <w:pPr>
              <w:spacing w:after="0"/>
              <w:rPr>
                <w:sz w:val="2"/>
                <w:szCs w:val="2"/>
                <w:color w:val="auto"/>
              </w:rPr>
            </w:pPr>
          </w:p>
        </w:tc>
        <w:tc>
          <w:tcPr>
            <w:tcW w:w="100" w:type="dxa"/>
            <w:vAlign w:val="bottom"/>
            <w:shd w:val="clear" w:color="auto" w:fill="EDEDED"/>
          </w:tcPr>
          <w:p>
            <w:pPr>
              <w:spacing w:after="0"/>
              <w:rPr>
                <w:sz w:val="2"/>
                <w:szCs w:val="2"/>
                <w:color w:val="auto"/>
              </w:rPr>
            </w:pPr>
          </w:p>
        </w:tc>
        <w:tc>
          <w:tcPr>
            <w:tcW w:w="380" w:type="dxa"/>
            <w:vAlign w:val="bottom"/>
            <w:shd w:val="clear" w:color="auto" w:fill="EDEDED"/>
          </w:tcPr>
          <w:p>
            <w:pPr>
              <w:spacing w:after="0"/>
              <w:rPr>
                <w:sz w:val="2"/>
                <w:szCs w:val="2"/>
                <w:color w:val="auto"/>
              </w:rPr>
            </w:pPr>
          </w:p>
        </w:tc>
        <w:tc>
          <w:tcPr>
            <w:tcW w:w="280" w:type="dxa"/>
            <w:vAlign w:val="bottom"/>
            <w:shd w:val="clear" w:color="auto" w:fill="EDEDED"/>
          </w:tcPr>
          <w:p>
            <w:pPr>
              <w:spacing w:after="0"/>
              <w:rPr>
                <w:sz w:val="2"/>
                <w:szCs w:val="2"/>
                <w:color w:val="auto"/>
              </w:rPr>
            </w:pPr>
          </w:p>
        </w:tc>
        <w:tc>
          <w:tcPr>
            <w:tcW w:w="640" w:type="dxa"/>
            <w:vAlign w:val="bottom"/>
            <w:shd w:val="clear" w:color="auto" w:fill="EDEDED"/>
          </w:tcPr>
          <w:p>
            <w:pPr>
              <w:spacing w:after="0"/>
              <w:rPr>
                <w:sz w:val="2"/>
                <w:szCs w:val="2"/>
                <w:color w:val="auto"/>
              </w:rPr>
            </w:pPr>
          </w:p>
        </w:tc>
      </w:tr>
      <w:tr>
        <w:trPr>
          <w:trHeight w:val="162"/>
        </w:trPr>
        <w:tc>
          <w:tcPr>
            <w:tcW w:w="4640" w:type="dxa"/>
            <w:vAlign w:val="bottom"/>
            <w:gridSpan w:val="20"/>
          </w:tcPr>
          <w:p>
            <w:pPr>
              <w:spacing w:after="0" w:line="162" w:lineRule="exact"/>
              <w:rPr>
                <w:sz w:val="20"/>
                <w:szCs w:val="20"/>
                <w:color w:val="auto"/>
              </w:rPr>
            </w:pPr>
            <w:r>
              <w:rPr>
                <w:rFonts w:ascii="Arial" w:cs="Arial" w:eastAsia="Arial" w:hAnsi="Arial"/>
                <w:sz w:val="16"/>
                <w:szCs w:val="16"/>
                <w:color w:val="0000EE"/>
              </w:rPr>
              <w:t xml:space="preserve">Kelly’s Corporate Sustainability and ESG Strategy </w:t>
            </w:r>
            <w:r>
              <w:rPr>
                <w:rFonts w:ascii="Arial" w:cs="Arial" w:eastAsia="Arial" w:hAnsi="Arial"/>
                <w:sz w:val="16"/>
                <w:szCs w:val="16"/>
                <w:i w:val="1"/>
                <w:iCs w:val="1"/>
                <w:color w:val="0000EE"/>
              </w:rPr>
              <w:t>– Growing</w:t>
            </w:r>
          </w:p>
        </w:tc>
        <w:tc>
          <w:tcPr>
            <w:tcW w:w="64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36</w:t>
            </w:r>
          </w:p>
        </w:tc>
      </w:tr>
      <w:tr>
        <w:trPr>
          <w:trHeight w:val="169"/>
        </w:trPr>
        <w:tc>
          <w:tcPr>
            <w:tcW w:w="4360" w:type="dxa"/>
            <w:vAlign w:val="bottom"/>
            <w:tcBorders>
              <w:top w:val="single" w:sz="8" w:color="0000EE"/>
            </w:tcBorders>
            <w:gridSpan w:val="19"/>
          </w:tcPr>
          <w:p>
            <w:pPr>
              <w:spacing w:after="0" w:line="169" w:lineRule="exact"/>
              <w:rPr>
                <w:sz w:val="20"/>
                <w:szCs w:val="20"/>
                <w:color w:val="auto"/>
              </w:rPr>
            </w:pPr>
            <w:r>
              <w:rPr>
                <w:rFonts w:ascii="Arial" w:cs="Arial" w:eastAsia="Arial" w:hAnsi="Arial"/>
                <w:sz w:val="16"/>
                <w:szCs w:val="16"/>
                <w:i w:val="1"/>
                <w:iCs w:val="1"/>
                <w:color w:val="0000EE"/>
              </w:rPr>
              <w:t>with Purpose</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62"/>
        </w:trPr>
        <w:tc>
          <w:tcPr>
            <w:tcW w:w="4640" w:type="dxa"/>
            <w:vAlign w:val="bottom"/>
            <w:gridSpan w:val="20"/>
            <w:shd w:val="clear" w:color="auto" w:fill="EDEDED"/>
          </w:tcPr>
          <w:p>
            <w:pPr>
              <w:spacing w:after="0" w:line="162" w:lineRule="exact"/>
              <w:rPr>
                <w:sz w:val="20"/>
                <w:szCs w:val="20"/>
                <w:color w:val="auto"/>
              </w:rPr>
            </w:pPr>
            <w:r>
              <w:rPr>
                <w:rFonts w:ascii="Arial" w:cs="Arial" w:eastAsia="Arial" w:hAnsi="Arial"/>
                <w:sz w:val="16"/>
                <w:szCs w:val="16"/>
                <w:color w:val="0000EE"/>
              </w:rPr>
              <w:t>Human Capital</w:t>
            </w:r>
          </w:p>
        </w:tc>
        <w:tc>
          <w:tcPr>
            <w:tcW w:w="640" w:type="dxa"/>
            <w:vAlign w:val="bottom"/>
            <w:shd w:val="clear" w:color="auto" w:fill="EDEDED"/>
          </w:tcPr>
          <w:p>
            <w:pPr>
              <w:jc w:val="right"/>
              <w:ind w:right="119"/>
              <w:spacing w:after="0" w:line="162" w:lineRule="exact"/>
              <w:rPr>
                <w:sz w:val="20"/>
                <w:szCs w:val="20"/>
                <w:color w:val="auto"/>
              </w:rPr>
            </w:pPr>
            <w:r>
              <w:rPr>
                <w:rFonts w:ascii="Arial" w:cs="Arial" w:eastAsia="Arial" w:hAnsi="Arial"/>
                <w:sz w:val="16"/>
                <w:szCs w:val="16"/>
                <w:color w:val="auto"/>
              </w:rPr>
              <w:t>41</w:t>
            </w:r>
          </w:p>
        </w:tc>
      </w:tr>
      <w:tr>
        <w:trPr>
          <w:trHeight w:val="27"/>
        </w:trPr>
        <w:tc>
          <w:tcPr>
            <w:tcW w:w="20" w:type="dxa"/>
            <w:vAlign w:val="bottom"/>
            <w:shd w:val="clear" w:color="auto" w:fill="EDEDED"/>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160" w:type="dxa"/>
            <w:vAlign w:val="bottom"/>
            <w:tcBorders>
              <w:right w:val="single" w:sz="8" w:color="EDEDED"/>
            </w:tcBorders>
            <w:shd w:val="clear" w:color="auto" w:fill="0000EE"/>
          </w:tcPr>
          <w:p>
            <w:pPr>
              <w:spacing w:after="0"/>
              <w:rPr>
                <w:sz w:val="2"/>
                <w:szCs w:val="2"/>
                <w:color w:val="auto"/>
              </w:rPr>
            </w:pPr>
          </w:p>
        </w:tc>
        <w:tc>
          <w:tcPr>
            <w:tcW w:w="140" w:type="dxa"/>
            <w:vAlign w:val="bottom"/>
            <w:shd w:val="clear" w:color="auto" w:fill="EDEDED"/>
          </w:tcPr>
          <w:p>
            <w:pPr>
              <w:spacing w:after="0"/>
              <w:rPr>
                <w:sz w:val="2"/>
                <w:szCs w:val="2"/>
                <w:color w:val="auto"/>
              </w:rPr>
            </w:pPr>
          </w:p>
        </w:tc>
        <w:tc>
          <w:tcPr>
            <w:tcW w:w="200" w:type="dxa"/>
            <w:vAlign w:val="bottom"/>
            <w:shd w:val="clear" w:color="auto" w:fill="EDEDED"/>
          </w:tcPr>
          <w:p>
            <w:pPr>
              <w:spacing w:after="0"/>
              <w:rPr>
                <w:sz w:val="2"/>
                <w:szCs w:val="2"/>
                <w:color w:val="auto"/>
              </w:rPr>
            </w:pPr>
          </w:p>
        </w:tc>
        <w:tc>
          <w:tcPr>
            <w:tcW w:w="100" w:type="dxa"/>
            <w:vAlign w:val="bottom"/>
            <w:shd w:val="clear" w:color="auto" w:fill="EDEDED"/>
          </w:tcPr>
          <w:p>
            <w:pPr>
              <w:spacing w:after="0"/>
              <w:rPr>
                <w:sz w:val="2"/>
                <w:szCs w:val="2"/>
                <w:color w:val="auto"/>
              </w:rPr>
            </w:pPr>
          </w:p>
        </w:tc>
        <w:tc>
          <w:tcPr>
            <w:tcW w:w="260" w:type="dxa"/>
            <w:vAlign w:val="bottom"/>
            <w:tcBorders>
              <w:right w:val="single" w:sz="8" w:color="EDEDED"/>
            </w:tcBorders>
            <w:shd w:val="clear" w:color="auto" w:fill="EDEDED"/>
          </w:tcPr>
          <w:p>
            <w:pPr>
              <w:spacing w:after="0"/>
              <w:rPr>
                <w:sz w:val="2"/>
                <w:szCs w:val="2"/>
                <w:color w:val="auto"/>
              </w:rPr>
            </w:pPr>
          </w:p>
        </w:tc>
        <w:tc>
          <w:tcPr>
            <w:tcW w:w="100" w:type="dxa"/>
            <w:vAlign w:val="bottom"/>
            <w:shd w:val="clear" w:color="auto" w:fill="EDEDED"/>
          </w:tcPr>
          <w:p>
            <w:pPr>
              <w:spacing w:after="0"/>
              <w:rPr>
                <w:sz w:val="2"/>
                <w:szCs w:val="2"/>
                <w:color w:val="auto"/>
              </w:rPr>
            </w:pPr>
          </w:p>
        </w:tc>
        <w:tc>
          <w:tcPr>
            <w:tcW w:w="60" w:type="dxa"/>
            <w:vAlign w:val="bottom"/>
            <w:shd w:val="clear" w:color="auto" w:fill="EDEDED"/>
          </w:tcPr>
          <w:p>
            <w:pPr>
              <w:spacing w:after="0"/>
              <w:rPr>
                <w:sz w:val="2"/>
                <w:szCs w:val="2"/>
                <w:color w:val="auto"/>
              </w:rPr>
            </w:pPr>
          </w:p>
        </w:tc>
        <w:tc>
          <w:tcPr>
            <w:tcW w:w="180" w:type="dxa"/>
            <w:vAlign w:val="bottom"/>
            <w:shd w:val="clear" w:color="auto" w:fill="EDEDED"/>
          </w:tcPr>
          <w:p>
            <w:pPr>
              <w:spacing w:after="0"/>
              <w:rPr>
                <w:sz w:val="2"/>
                <w:szCs w:val="2"/>
                <w:color w:val="auto"/>
              </w:rPr>
            </w:pPr>
          </w:p>
        </w:tc>
        <w:tc>
          <w:tcPr>
            <w:tcW w:w="160" w:type="dxa"/>
            <w:vAlign w:val="bottom"/>
            <w:shd w:val="clear" w:color="auto" w:fill="EDEDED"/>
          </w:tcPr>
          <w:p>
            <w:pPr>
              <w:spacing w:after="0"/>
              <w:rPr>
                <w:sz w:val="2"/>
                <w:szCs w:val="2"/>
                <w:color w:val="auto"/>
              </w:rPr>
            </w:pPr>
          </w:p>
        </w:tc>
        <w:tc>
          <w:tcPr>
            <w:tcW w:w="420" w:type="dxa"/>
            <w:vAlign w:val="bottom"/>
            <w:shd w:val="clear" w:color="auto" w:fill="EDEDED"/>
          </w:tcPr>
          <w:p>
            <w:pPr>
              <w:spacing w:after="0"/>
              <w:rPr>
                <w:sz w:val="2"/>
                <w:szCs w:val="2"/>
                <w:color w:val="auto"/>
              </w:rPr>
            </w:pPr>
          </w:p>
        </w:tc>
        <w:tc>
          <w:tcPr>
            <w:tcW w:w="140" w:type="dxa"/>
            <w:vAlign w:val="bottom"/>
            <w:shd w:val="clear" w:color="auto" w:fill="EDEDED"/>
          </w:tcPr>
          <w:p>
            <w:pPr>
              <w:spacing w:after="0"/>
              <w:rPr>
                <w:sz w:val="2"/>
                <w:szCs w:val="2"/>
                <w:color w:val="auto"/>
              </w:rPr>
            </w:pPr>
          </w:p>
        </w:tc>
        <w:tc>
          <w:tcPr>
            <w:tcW w:w="360" w:type="dxa"/>
            <w:vAlign w:val="bottom"/>
            <w:shd w:val="clear" w:color="auto" w:fill="EDEDED"/>
          </w:tcPr>
          <w:p>
            <w:pPr>
              <w:spacing w:after="0"/>
              <w:rPr>
                <w:sz w:val="2"/>
                <w:szCs w:val="2"/>
                <w:color w:val="auto"/>
              </w:rPr>
            </w:pPr>
          </w:p>
        </w:tc>
        <w:tc>
          <w:tcPr>
            <w:tcW w:w="80" w:type="dxa"/>
            <w:vAlign w:val="bottom"/>
            <w:shd w:val="clear" w:color="auto" w:fill="EDEDED"/>
          </w:tcPr>
          <w:p>
            <w:pPr>
              <w:spacing w:after="0"/>
              <w:rPr>
                <w:sz w:val="2"/>
                <w:szCs w:val="2"/>
                <w:color w:val="auto"/>
              </w:rPr>
            </w:pPr>
          </w:p>
        </w:tc>
        <w:tc>
          <w:tcPr>
            <w:tcW w:w="460" w:type="dxa"/>
            <w:vAlign w:val="bottom"/>
            <w:shd w:val="clear" w:color="auto" w:fill="EDEDED"/>
          </w:tcPr>
          <w:p>
            <w:pPr>
              <w:spacing w:after="0"/>
              <w:rPr>
                <w:sz w:val="2"/>
                <w:szCs w:val="2"/>
                <w:color w:val="auto"/>
              </w:rPr>
            </w:pPr>
          </w:p>
        </w:tc>
        <w:tc>
          <w:tcPr>
            <w:tcW w:w="120" w:type="dxa"/>
            <w:vAlign w:val="bottom"/>
            <w:shd w:val="clear" w:color="auto" w:fill="EDEDED"/>
          </w:tcPr>
          <w:p>
            <w:pPr>
              <w:spacing w:after="0"/>
              <w:rPr>
                <w:sz w:val="2"/>
                <w:szCs w:val="2"/>
                <w:color w:val="auto"/>
              </w:rPr>
            </w:pPr>
          </w:p>
        </w:tc>
        <w:tc>
          <w:tcPr>
            <w:tcW w:w="100" w:type="dxa"/>
            <w:vAlign w:val="bottom"/>
            <w:shd w:val="clear" w:color="auto" w:fill="EDEDED"/>
          </w:tcPr>
          <w:p>
            <w:pPr>
              <w:spacing w:after="0"/>
              <w:rPr>
                <w:sz w:val="2"/>
                <w:szCs w:val="2"/>
                <w:color w:val="auto"/>
              </w:rPr>
            </w:pPr>
          </w:p>
        </w:tc>
        <w:tc>
          <w:tcPr>
            <w:tcW w:w="380" w:type="dxa"/>
            <w:vAlign w:val="bottom"/>
            <w:shd w:val="clear" w:color="auto" w:fill="EDEDED"/>
          </w:tcPr>
          <w:p>
            <w:pPr>
              <w:spacing w:after="0"/>
              <w:rPr>
                <w:sz w:val="2"/>
                <w:szCs w:val="2"/>
                <w:color w:val="auto"/>
              </w:rPr>
            </w:pPr>
          </w:p>
        </w:tc>
        <w:tc>
          <w:tcPr>
            <w:tcW w:w="280" w:type="dxa"/>
            <w:vAlign w:val="bottom"/>
            <w:shd w:val="clear" w:color="auto" w:fill="EDEDED"/>
          </w:tcPr>
          <w:p>
            <w:pPr>
              <w:spacing w:after="0"/>
              <w:rPr>
                <w:sz w:val="2"/>
                <w:szCs w:val="2"/>
                <w:color w:val="auto"/>
              </w:rPr>
            </w:pPr>
          </w:p>
        </w:tc>
        <w:tc>
          <w:tcPr>
            <w:tcW w:w="640" w:type="dxa"/>
            <w:vAlign w:val="bottom"/>
            <w:shd w:val="clear" w:color="auto" w:fill="EDEDED"/>
          </w:tcPr>
          <w:p>
            <w:pPr>
              <w:spacing w:after="0"/>
              <w:rPr>
                <w:sz w:val="2"/>
                <w:szCs w:val="2"/>
                <w:color w:val="auto"/>
              </w:rPr>
            </w:pPr>
          </w:p>
        </w:tc>
      </w:tr>
      <w:tr>
        <w:trPr>
          <w:trHeight w:val="162"/>
        </w:trPr>
        <w:tc>
          <w:tcPr>
            <w:tcW w:w="4640" w:type="dxa"/>
            <w:vAlign w:val="bottom"/>
            <w:gridSpan w:val="20"/>
          </w:tcPr>
          <w:p>
            <w:pPr>
              <w:spacing w:after="0" w:line="162" w:lineRule="exact"/>
              <w:rPr>
                <w:sz w:val="20"/>
                <w:szCs w:val="20"/>
                <w:color w:val="auto"/>
              </w:rPr>
            </w:pPr>
            <w:r>
              <w:rPr>
                <w:rFonts w:ascii="Arial" w:cs="Arial" w:eastAsia="Arial" w:hAnsi="Arial"/>
                <w:sz w:val="16"/>
                <w:szCs w:val="16"/>
                <w:color w:val="0000EE"/>
              </w:rPr>
              <w:t>Director Selection Process</w:t>
            </w:r>
          </w:p>
        </w:tc>
        <w:tc>
          <w:tcPr>
            <w:tcW w:w="64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43</w:t>
            </w:r>
          </w:p>
        </w:tc>
      </w:tr>
      <w:tr>
        <w:trPr>
          <w:trHeight w:val="27"/>
        </w:trPr>
        <w:tc>
          <w:tcPr>
            <w:tcW w:w="20" w:type="dxa"/>
            <w:vAlign w:val="bottom"/>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62"/>
        </w:trPr>
        <w:tc>
          <w:tcPr>
            <w:tcW w:w="4640" w:type="dxa"/>
            <w:vAlign w:val="bottom"/>
            <w:gridSpan w:val="20"/>
            <w:shd w:val="clear" w:color="auto" w:fill="EDEDED"/>
          </w:tcPr>
          <w:p>
            <w:pPr>
              <w:spacing w:after="0" w:line="162" w:lineRule="exact"/>
              <w:rPr>
                <w:sz w:val="20"/>
                <w:szCs w:val="20"/>
                <w:color w:val="auto"/>
              </w:rPr>
            </w:pPr>
            <w:r>
              <w:rPr>
                <w:rFonts w:ascii="Arial" w:cs="Arial" w:eastAsia="Arial" w:hAnsi="Arial"/>
                <w:sz w:val="16"/>
                <w:szCs w:val="16"/>
                <w:color w:val="0000EE"/>
              </w:rPr>
              <w:t>Director Attendance</w:t>
            </w:r>
          </w:p>
        </w:tc>
        <w:tc>
          <w:tcPr>
            <w:tcW w:w="640" w:type="dxa"/>
            <w:vAlign w:val="bottom"/>
            <w:shd w:val="clear" w:color="auto" w:fill="EDEDED"/>
          </w:tcPr>
          <w:p>
            <w:pPr>
              <w:jc w:val="right"/>
              <w:ind w:right="119"/>
              <w:spacing w:after="0" w:line="162" w:lineRule="exact"/>
              <w:rPr>
                <w:sz w:val="20"/>
                <w:szCs w:val="20"/>
                <w:color w:val="auto"/>
              </w:rPr>
            </w:pPr>
            <w:r>
              <w:rPr>
                <w:rFonts w:ascii="Arial" w:cs="Arial" w:eastAsia="Arial" w:hAnsi="Arial"/>
                <w:sz w:val="16"/>
                <w:szCs w:val="16"/>
                <w:color w:val="auto"/>
              </w:rPr>
              <w:t>44</w:t>
            </w:r>
          </w:p>
        </w:tc>
      </w:tr>
      <w:tr>
        <w:trPr>
          <w:trHeight w:val="27"/>
        </w:trPr>
        <w:tc>
          <w:tcPr>
            <w:tcW w:w="20" w:type="dxa"/>
            <w:vAlign w:val="bottom"/>
            <w:shd w:val="clear" w:color="auto" w:fill="EDEDED"/>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EDEDED"/>
          </w:tcPr>
          <w:p>
            <w:pPr>
              <w:spacing w:after="0"/>
              <w:rPr>
                <w:sz w:val="2"/>
                <w:szCs w:val="2"/>
                <w:color w:val="auto"/>
              </w:rPr>
            </w:pPr>
          </w:p>
        </w:tc>
        <w:tc>
          <w:tcPr>
            <w:tcW w:w="260" w:type="dxa"/>
            <w:vAlign w:val="bottom"/>
            <w:tcBorders>
              <w:right w:val="single" w:sz="8" w:color="EDEDED"/>
            </w:tcBorders>
            <w:shd w:val="clear" w:color="auto" w:fill="EDEDED"/>
          </w:tcPr>
          <w:p>
            <w:pPr>
              <w:spacing w:after="0"/>
              <w:rPr>
                <w:sz w:val="2"/>
                <w:szCs w:val="2"/>
                <w:color w:val="auto"/>
              </w:rPr>
            </w:pPr>
          </w:p>
        </w:tc>
        <w:tc>
          <w:tcPr>
            <w:tcW w:w="100" w:type="dxa"/>
            <w:vAlign w:val="bottom"/>
            <w:shd w:val="clear" w:color="auto" w:fill="EDEDED"/>
          </w:tcPr>
          <w:p>
            <w:pPr>
              <w:spacing w:after="0"/>
              <w:rPr>
                <w:sz w:val="2"/>
                <w:szCs w:val="2"/>
                <w:color w:val="auto"/>
              </w:rPr>
            </w:pPr>
          </w:p>
        </w:tc>
        <w:tc>
          <w:tcPr>
            <w:tcW w:w="60" w:type="dxa"/>
            <w:vAlign w:val="bottom"/>
            <w:shd w:val="clear" w:color="auto" w:fill="EDEDED"/>
          </w:tcPr>
          <w:p>
            <w:pPr>
              <w:spacing w:after="0"/>
              <w:rPr>
                <w:sz w:val="2"/>
                <w:szCs w:val="2"/>
                <w:color w:val="auto"/>
              </w:rPr>
            </w:pPr>
          </w:p>
        </w:tc>
        <w:tc>
          <w:tcPr>
            <w:tcW w:w="180" w:type="dxa"/>
            <w:vAlign w:val="bottom"/>
            <w:shd w:val="clear" w:color="auto" w:fill="EDEDED"/>
          </w:tcPr>
          <w:p>
            <w:pPr>
              <w:spacing w:after="0"/>
              <w:rPr>
                <w:sz w:val="2"/>
                <w:szCs w:val="2"/>
                <w:color w:val="auto"/>
              </w:rPr>
            </w:pPr>
          </w:p>
        </w:tc>
        <w:tc>
          <w:tcPr>
            <w:tcW w:w="160" w:type="dxa"/>
            <w:vAlign w:val="bottom"/>
            <w:shd w:val="clear" w:color="auto" w:fill="EDEDED"/>
          </w:tcPr>
          <w:p>
            <w:pPr>
              <w:spacing w:after="0"/>
              <w:rPr>
                <w:sz w:val="2"/>
                <w:szCs w:val="2"/>
                <w:color w:val="auto"/>
              </w:rPr>
            </w:pPr>
          </w:p>
        </w:tc>
        <w:tc>
          <w:tcPr>
            <w:tcW w:w="420" w:type="dxa"/>
            <w:vAlign w:val="bottom"/>
            <w:shd w:val="clear" w:color="auto" w:fill="EDEDED"/>
          </w:tcPr>
          <w:p>
            <w:pPr>
              <w:spacing w:after="0"/>
              <w:rPr>
                <w:sz w:val="2"/>
                <w:szCs w:val="2"/>
                <w:color w:val="auto"/>
              </w:rPr>
            </w:pPr>
          </w:p>
        </w:tc>
        <w:tc>
          <w:tcPr>
            <w:tcW w:w="140" w:type="dxa"/>
            <w:vAlign w:val="bottom"/>
            <w:shd w:val="clear" w:color="auto" w:fill="EDEDED"/>
          </w:tcPr>
          <w:p>
            <w:pPr>
              <w:spacing w:after="0"/>
              <w:rPr>
                <w:sz w:val="2"/>
                <w:szCs w:val="2"/>
                <w:color w:val="auto"/>
              </w:rPr>
            </w:pPr>
          </w:p>
        </w:tc>
        <w:tc>
          <w:tcPr>
            <w:tcW w:w="360" w:type="dxa"/>
            <w:vAlign w:val="bottom"/>
            <w:shd w:val="clear" w:color="auto" w:fill="EDEDED"/>
          </w:tcPr>
          <w:p>
            <w:pPr>
              <w:spacing w:after="0"/>
              <w:rPr>
                <w:sz w:val="2"/>
                <w:szCs w:val="2"/>
                <w:color w:val="auto"/>
              </w:rPr>
            </w:pPr>
          </w:p>
        </w:tc>
        <w:tc>
          <w:tcPr>
            <w:tcW w:w="80" w:type="dxa"/>
            <w:vAlign w:val="bottom"/>
            <w:shd w:val="clear" w:color="auto" w:fill="EDEDED"/>
          </w:tcPr>
          <w:p>
            <w:pPr>
              <w:spacing w:after="0"/>
              <w:rPr>
                <w:sz w:val="2"/>
                <w:szCs w:val="2"/>
                <w:color w:val="auto"/>
              </w:rPr>
            </w:pPr>
          </w:p>
        </w:tc>
        <w:tc>
          <w:tcPr>
            <w:tcW w:w="460" w:type="dxa"/>
            <w:vAlign w:val="bottom"/>
            <w:shd w:val="clear" w:color="auto" w:fill="EDEDED"/>
          </w:tcPr>
          <w:p>
            <w:pPr>
              <w:spacing w:after="0"/>
              <w:rPr>
                <w:sz w:val="2"/>
                <w:szCs w:val="2"/>
                <w:color w:val="auto"/>
              </w:rPr>
            </w:pPr>
          </w:p>
        </w:tc>
        <w:tc>
          <w:tcPr>
            <w:tcW w:w="120" w:type="dxa"/>
            <w:vAlign w:val="bottom"/>
            <w:shd w:val="clear" w:color="auto" w:fill="EDEDED"/>
          </w:tcPr>
          <w:p>
            <w:pPr>
              <w:spacing w:after="0"/>
              <w:rPr>
                <w:sz w:val="2"/>
                <w:szCs w:val="2"/>
                <w:color w:val="auto"/>
              </w:rPr>
            </w:pPr>
          </w:p>
        </w:tc>
        <w:tc>
          <w:tcPr>
            <w:tcW w:w="100" w:type="dxa"/>
            <w:vAlign w:val="bottom"/>
            <w:shd w:val="clear" w:color="auto" w:fill="EDEDED"/>
          </w:tcPr>
          <w:p>
            <w:pPr>
              <w:spacing w:after="0"/>
              <w:rPr>
                <w:sz w:val="2"/>
                <w:szCs w:val="2"/>
                <w:color w:val="auto"/>
              </w:rPr>
            </w:pPr>
          </w:p>
        </w:tc>
        <w:tc>
          <w:tcPr>
            <w:tcW w:w="380" w:type="dxa"/>
            <w:vAlign w:val="bottom"/>
            <w:shd w:val="clear" w:color="auto" w:fill="EDEDED"/>
          </w:tcPr>
          <w:p>
            <w:pPr>
              <w:spacing w:after="0"/>
              <w:rPr>
                <w:sz w:val="2"/>
                <w:szCs w:val="2"/>
                <w:color w:val="auto"/>
              </w:rPr>
            </w:pPr>
          </w:p>
        </w:tc>
        <w:tc>
          <w:tcPr>
            <w:tcW w:w="280" w:type="dxa"/>
            <w:vAlign w:val="bottom"/>
            <w:shd w:val="clear" w:color="auto" w:fill="EDEDED"/>
          </w:tcPr>
          <w:p>
            <w:pPr>
              <w:spacing w:after="0"/>
              <w:rPr>
                <w:sz w:val="2"/>
                <w:szCs w:val="2"/>
                <w:color w:val="auto"/>
              </w:rPr>
            </w:pPr>
          </w:p>
        </w:tc>
        <w:tc>
          <w:tcPr>
            <w:tcW w:w="640" w:type="dxa"/>
            <w:vAlign w:val="bottom"/>
            <w:shd w:val="clear" w:color="auto" w:fill="EDEDED"/>
          </w:tcPr>
          <w:p>
            <w:pPr>
              <w:spacing w:after="0"/>
              <w:rPr>
                <w:sz w:val="2"/>
                <w:szCs w:val="2"/>
                <w:color w:val="auto"/>
              </w:rPr>
            </w:pPr>
          </w:p>
        </w:tc>
      </w:tr>
      <w:tr>
        <w:trPr>
          <w:trHeight w:val="162"/>
        </w:trPr>
        <w:tc>
          <w:tcPr>
            <w:tcW w:w="4640" w:type="dxa"/>
            <w:vAlign w:val="bottom"/>
            <w:gridSpan w:val="20"/>
          </w:tcPr>
          <w:p>
            <w:pPr>
              <w:spacing w:after="0" w:line="162" w:lineRule="exact"/>
              <w:rPr>
                <w:sz w:val="20"/>
                <w:szCs w:val="20"/>
                <w:color w:val="auto"/>
              </w:rPr>
            </w:pPr>
            <w:r>
              <w:rPr>
                <w:rFonts w:ascii="Arial" w:cs="Arial" w:eastAsia="Arial" w:hAnsi="Arial"/>
                <w:sz w:val="16"/>
                <w:szCs w:val="16"/>
                <w:color w:val="0000EE"/>
              </w:rPr>
              <w:t>Size of the Board</w:t>
            </w:r>
          </w:p>
        </w:tc>
        <w:tc>
          <w:tcPr>
            <w:tcW w:w="64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44</w:t>
            </w:r>
          </w:p>
        </w:tc>
      </w:tr>
      <w:tr>
        <w:trPr>
          <w:trHeight w:val="27"/>
        </w:trPr>
        <w:tc>
          <w:tcPr>
            <w:tcW w:w="20" w:type="dxa"/>
            <w:vAlign w:val="bottom"/>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62"/>
        </w:trPr>
        <w:tc>
          <w:tcPr>
            <w:tcW w:w="4640" w:type="dxa"/>
            <w:vAlign w:val="bottom"/>
            <w:gridSpan w:val="20"/>
            <w:shd w:val="clear" w:color="auto" w:fill="EDEDED"/>
          </w:tcPr>
          <w:p>
            <w:pPr>
              <w:spacing w:after="0" w:line="162" w:lineRule="exact"/>
              <w:rPr>
                <w:sz w:val="20"/>
                <w:szCs w:val="20"/>
                <w:color w:val="auto"/>
              </w:rPr>
            </w:pPr>
            <w:r>
              <w:rPr>
                <w:rFonts w:ascii="Arial" w:cs="Arial" w:eastAsia="Arial" w:hAnsi="Arial"/>
                <w:sz w:val="16"/>
                <w:szCs w:val="16"/>
                <w:color w:val="0000EE"/>
              </w:rPr>
              <w:t>Director Tenure</w:t>
            </w:r>
          </w:p>
        </w:tc>
        <w:tc>
          <w:tcPr>
            <w:tcW w:w="640" w:type="dxa"/>
            <w:vAlign w:val="bottom"/>
            <w:shd w:val="clear" w:color="auto" w:fill="EDEDED"/>
          </w:tcPr>
          <w:p>
            <w:pPr>
              <w:jc w:val="right"/>
              <w:ind w:right="119"/>
              <w:spacing w:after="0" w:line="162" w:lineRule="exact"/>
              <w:rPr>
                <w:sz w:val="20"/>
                <w:szCs w:val="20"/>
                <w:color w:val="auto"/>
              </w:rPr>
            </w:pPr>
            <w:r>
              <w:rPr>
                <w:rFonts w:ascii="Arial" w:cs="Arial" w:eastAsia="Arial" w:hAnsi="Arial"/>
                <w:sz w:val="16"/>
                <w:szCs w:val="16"/>
                <w:color w:val="auto"/>
              </w:rPr>
              <w:t>44</w:t>
            </w:r>
          </w:p>
        </w:tc>
      </w:tr>
      <w:tr>
        <w:trPr>
          <w:trHeight w:val="27"/>
        </w:trPr>
        <w:tc>
          <w:tcPr>
            <w:tcW w:w="20" w:type="dxa"/>
            <w:vAlign w:val="bottom"/>
            <w:shd w:val="clear" w:color="auto" w:fill="EDEDED"/>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EDEDED"/>
          </w:tcPr>
          <w:p>
            <w:pPr>
              <w:spacing w:after="0"/>
              <w:rPr>
                <w:sz w:val="2"/>
                <w:szCs w:val="2"/>
                <w:color w:val="auto"/>
              </w:rPr>
            </w:pPr>
          </w:p>
        </w:tc>
        <w:tc>
          <w:tcPr>
            <w:tcW w:w="200" w:type="dxa"/>
            <w:vAlign w:val="bottom"/>
            <w:shd w:val="clear" w:color="auto" w:fill="EDEDED"/>
          </w:tcPr>
          <w:p>
            <w:pPr>
              <w:spacing w:after="0"/>
              <w:rPr>
                <w:sz w:val="2"/>
                <w:szCs w:val="2"/>
                <w:color w:val="auto"/>
              </w:rPr>
            </w:pPr>
          </w:p>
        </w:tc>
        <w:tc>
          <w:tcPr>
            <w:tcW w:w="100" w:type="dxa"/>
            <w:vAlign w:val="bottom"/>
            <w:shd w:val="clear" w:color="auto" w:fill="EDEDED"/>
          </w:tcPr>
          <w:p>
            <w:pPr>
              <w:spacing w:after="0"/>
              <w:rPr>
                <w:sz w:val="2"/>
                <w:szCs w:val="2"/>
                <w:color w:val="auto"/>
              </w:rPr>
            </w:pPr>
          </w:p>
        </w:tc>
        <w:tc>
          <w:tcPr>
            <w:tcW w:w="260" w:type="dxa"/>
            <w:vAlign w:val="bottom"/>
            <w:tcBorders>
              <w:right w:val="single" w:sz="8" w:color="EDEDED"/>
            </w:tcBorders>
            <w:shd w:val="clear" w:color="auto" w:fill="EDEDED"/>
          </w:tcPr>
          <w:p>
            <w:pPr>
              <w:spacing w:after="0"/>
              <w:rPr>
                <w:sz w:val="2"/>
                <w:szCs w:val="2"/>
                <w:color w:val="auto"/>
              </w:rPr>
            </w:pPr>
          </w:p>
        </w:tc>
        <w:tc>
          <w:tcPr>
            <w:tcW w:w="100" w:type="dxa"/>
            <w:vAlign w:val="bottom"/>
            <w:shd w:val="clear" w:color="auto" w:fill="EDEDED"/>
          </w:tcPr>
          <w:p>
            <w:pPr>
              <w:spacing w:after="0"/>
              <w:rPr>
                <w:sz w:val="2"/>
                <w:szCs w:val="2"/>
                <w:color w:val="auto"/>
              </w:rPr>
            </w:pPr>
          </w:p>
        </w:tc>
        <w:tc>
          <w:tcPr>
            <w:tcW w:w="60" w:type="dxa"/>
            <w:vAlign w:val="bottom"/>
            <w:shd w:val="clear" w:color="auto" w:fill="EDEDED"/>
          </w:tcPr>
          <w:p>
            <w:pPr>
              <w:spacing w:after="0"/>
              <w:rPr>
                <w:sz w:val="2"/>
                <w:szCs w:val="2"/>
                <w:color w:val="auto"/>
              </w:rPr>
            </w:pPr>
          </w:p>
        </w:tc>
        <w:tc>
          <w:tcPr>
            <w:tcW w:w="180" w:type="dxa"/>
            <w:vAlign w:val="bottom"/>
            <w:shd w:val="clear" w:color="auto" w:fill="EDEDED"/>
          </w:tcPr>
          <w:p>
            <w:pPr>
              <w:spacing w:after="0"/>
              <w:rPr>
                <w:sz w:val="2"/>
                <w:szCs w:val="2"/>
                <w:color w:val="auto"/>
              </w:rPr>
            </w:pPr>
          </w:p>
        </w:tc>
        <w:tc>
          <w:tcPr>
            <w:tcW w:w="160" w:type="dxa"/>
            <w:vAlign w:val="bottom"/>
            <w:shd w:val="clear" w:color="auto" w:fill="EDEDED"/>
          </w:tcPr>
          <w:p>
            <w:pPr>
              <w:spacing w:after="0"/>
              <w:rPr>
                <w:sz w:val="2"/>
                <w:szCs w:val="2"/>
                <w:color w:val="auto"/>
              </w:rPr>
            </w:pPr>
          </w:p>
        </w:tc>
        <w:tc>
          <w:tcPr>
            <w:tcW w:w="420" w:type="dxa"/>
            <w:vAlign w:val="bottom"/>
            <w:shd w:val="clear" w:color="auto" w:fill="EDEDED"/>
          </w:tcPr>
          <w:p>
            <w:pPr>
              <w:spacing w:after="0"/>
              <w:rPr>
                <w:sz w:val="2"/>
                <w:szCs w:val="2"/>
                <w:color w:val="auto"/>
              </w:rPr>
            </w:pPr>
          </w:p>
        </w:tc>
        <w:tc>
          <w:tcPr>
            <w:tcW w:w="140" w:type="dxa"/>
            <w:vAlign w:val="bottom"/>
            <w:shd w:val="clear" w:color="auto" w:fill="EDEDED"/>
          </w:tcPr>
          <w:p>
            <w:pPr>
              <w:spacing w:after="0"/>
              <w:rPr>
                <w:sz w:val="2"/>
                <w:szCs w:val="2"/>
                <w:color w:val="auto"/>
              </w:rPr>
            </w:pPr>
          </w:p>
        </w:tc>
        <w:tc>
          <w:tcPr>
            <w:tcW w:w="360" w:type="dxa"/>
            <w:vAlign w:val="bottom"/>
            <w:shd w:val="clear" w:color="auto" w:fill="EDEDED"/>
          </w:tcPr>
          <w:p>
            <w:pPr>
              <w:spacing w:after="0"/>
              <w:rPr>
                <w:sz w:val="2"/>
                <w:szCs w:val="2"/>
                <w:color w:val="auto"/>
              </w:rPr>
            </w:pPr>
          </w:p>
        </w:tc>
        <w:tc>
          <w:tcPr>
            <w:tcW w:w="80" w:type="dxa"/>
            <w:vAlign w:val="bottom"/>
            <w:shd w:val="clear" w:color="auto" w:fill="EDEDED"/>
          </w:tcPr>
          <w:p>
            <w:pPr>
              <w:spacing w:after="0"/>
              <w:rPr>
                <w:sz w:val="2"/>
                <w:szCs w:val="2"/>
                <w:color w:val="auto"/>
              </w:rPr>
            </w:pPr>
          </w:p>
        </w:tc>
        <w:tc>
          <w:tcPr>
            <w:tcW w:w="460" w:type="dxa"/>
            <w:vAlign w:val="bottom"/>
            <w:shd w:val="clear" w:color="auto" w:fill="EDEDED"/>
          </w:tcPr>
          <w:p>
            <w:pPr>
              <w:spacing w:after="0"/>
              <w:rPr>
                <w:sz w:val="2"/>
                <w:szCs w:val="2"/>
                <w:color w:val="auto"/>
              </w:rPr>
            </w:pPr>
          </w:p>
        </w:tc>
        <w:tc>
          <w:tcPr>
            <w:tcW w:w="120" w:type="dxa"/>
            <w:vAlign w:val="bottom"/>
            <w:shd w:val="clear" w:color="auto" w:fill="EDEDED"/>
          </w:tcPr>
          <w:p>
            <w:pPr>
              <w:spacing w:after="0"/>
              <w:rPr>
                <w:sz w:val="2"/>
                <w:szCs w:val="2"/>
                <w:color w:val="auto"/>
              </w:rPr>
            </w:pPr>
          </w:p>
        </w:tc>
        <w:tc>
          <w:tcPr>
            <w:tcW w:w="100" w:type="dxa"/>
            <w:vAlign w:val="bottom"/>
            <w:shd w:val="clear" w:color="auto" w:fill="EDEDED"/>
          </w:tcPr>
          <w:p>
            <w:pPr>
              <w:spacing w:after="0"/>
              <w:rPr>
                <w:sz w:val="2"/>
                <w:szCs w:val="2"/>
                <w:color w:val="auto"/>
              </w:rPr>
            </w:pPr>
          </w:p>
        </w:tc>
        <w:tc>
          <w:tcPr>
            <w:tcW w:w="380" w:type="dxa"/>
            <w:vAlign w:val="bottom"/>
            <w:shd w:val="clear" w:color="auto" w:fill="EDEDED"/>
          </w:tcPr>
          <w:p>
            <w:pPr>
              <w:spacing w:after="0"/>
              <w:rPr>
                <w:sz w:val="2"/>
                <w:szCs w:val="2"/>
                <w:color w:val="auto"/>
              </w:rPr>
            </w:pPr>
          </w:p>
        </w:tc>
        <w:tc>
          <w:tcPr>
            <w:tcW w:w="280" w:type="dxa"/>
            <w:vAlign w:val="bottom"/>
            <w:shd w:val="clear" w:color="auto" w:fill="EDEDED"/>
          </w:tcPr>
          <w:p>
            <w:pPr>
              <w:spacing w:after="0"/>
              <w:rPr>
                <w:sz w:val="2"/>
                <w:szCs w:val="2"/>
                <w:color w:val="auto"/>
              </w:rPr>
            </w:pPr>
          </w:p>
        </w:tc>
        <w:tc>
          <w:tcPr>
            <w:tcW w:w="640" w:type="dxa"/>
            <w:vAlign w:val="bottom"/>
            <w:shd w:val="clear" w:color="auto" w:fill="EDEDED"/>
          </w:tcPr>
          <w:p>
            <w:pPr>
              <w:spacing w:after="0"/>
              <w:rPr>
                <w:sz w:val="2"/>
                <w:szCs w:val="2"/>
                <w:color w:val="auto"/>
              </w:rPr>
            </w:pPr>
          </w:p>
        </w:tc>
      </w:tr>
      <w:tr>
        <w:trPr>
          <w:trHeight w:val="162"/>
        </w:trPr>
        <w:tc>
          <w:tcPr>
            <w:tcW w:w="4640" w:type="dxa"/>
            <w:vAlign w:val="bottom"/>
            <w:gridSpan w:val="20"/>
          </w:tcPr>
          <w:p>
            <w:pPr>
              <w:spacing w:after="0" w:line="162" w:lineRule="exact"/>
              <w:rPr>
                <w:sz w:val="20"/>
                <w:szCs w:val="20"/>
                <w:color w:val="auto"/>
              </w:rPr>
            </w:pPr>
            <w:r>
              <w:rPr>
                <w:rFonts w:ascii="Arial" w:cs="Arial" w:eastAsia="Arial" w:hAnsi="Arial"/>
                <w:sz w:val="16"/>
                <w:szCs w:val="16"/>
                <w:color w:val="0000EE"/>
              </w:rPr>
              <w:t>Director Service on Outside Public Company Boards</w:t>
            </w:r>
          </w:p>
        </w:tc>
        <w:tc>
          <w:tcPr>
            <w:tcW w:w="64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44</w:t>
            </w:r>
          </w:p>
        </w:tc>
      </w:tr>
      <w:tr>
        <w:trPr>
          <w:trHeight w:val="27"/>
        </w:trPr>
        <w:tc>
          <w:tcPr>
            <w:tcW w:w="20" w:type="dxa"/>
            <w:vAlign w:val="bottom"/>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62"/>
        </w:trPr>
        <w:tc>
          <w:tcPr>
            <w:tcW w:w="4640" w:type="dxa"/>
            <w:vAlign w:val="bottom"/>
            <w:gridSpan w:val="20"/>
            <w:shd w:val="clear" w:color="auto" w:fill="EDEDED"/>
          </w:tcPr>
          <w:p>
            <w:pPr>
              <w:spacing w:after="0" w:line="162" w:lineRule="exact"/>
              <w:rPr>
                <w:sz w:val="20"/>
                <w:szCs w:val="20"/>
                <w:color w:val="auto"/>
              </w:rPr>
            </w:pPr>
            <w:r>
              <w:rPr>
                <w:rFonts w:ascii="Arial" w:cs="Arial" w:eastAsia="Arial" w:hAnsi="Arial"/>
                <w:sz w:val="16"/>
                <w:szCs w:val="16"/>
                <w:color w:val="0000EE"/>
              </w:rPr>
              <w:t>Director Orientation and Continuing Education</w:t>
            </w:r>
          </w:p>
        </w:tc>
        <w:tc>
          <w:tcPr>
            <w:tcW w:w="640" w:type="dxa"/>
            <w:vAlign w:val="bottom"/>
            <w:shd w:val="clear" w:color="auto" w:fill="EDEDED"/>
          </w:tcPr>
          <w:p>
            <w:pPr>
              <w:jc w:val="right"/>
              <w:ind w:right="119"/>
              <w:spacing w:after="0" w:line="162" w:lineRule="exact"/>
              <w:rPr>
                <w:sz w:val="20"/>
                <w:szCs w:val="20"/>
                <w:color w:val="auto"/>
              </w:rPr>
            </w:pPr>
            <w:r>
              <w:rPr>
                <w:rFonts w:ascii="Arial" w:cs="Arial" w:eastAsia="Arial" w:hAnsi="Arial"/>
                <w:sz w:val="16"/>
                <w:szCs w:val="16"/>
                <w:color w:val="auto"/>
              </w:rPr>
              <w:t>44</w:t>
            </w:r>
          </w:p>
        </w:tc>
      </w:tr>
      <w:tr>
        <w:trPr>
          <w:trHeight w:val="27"/>
        </w:trPr>
        <w:tc>
          <w:tcPr>
            <w:tcW w:w="20" w:type="dxa"/>
            <w:vAlign w:val="bottom"/>
            <w:shd w:val="clear" w:color="auto" w:fill="EDEDED"/>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460" w:type="dxa"/>
            <w:vAlign w:val="bottom"/>
            <w:shd w:val="clear" w:color="auto" w:fill="EDEDED"/>
          </w:tcPr>
          <w:p>
            <w:pPr>
              <w:spacing w:after="0"/>
              <w:rPr>
                <w:sz w:val="2"/>
                <w:szCs w:val="2"/>
                <w:color w:val="auto"/>
              </w:rPr>
            </w:pPr>
          </w:p>
        </w:tc>
        <w:tc>
          <w:tcPr>
            <w:tcW w:w="120" w:type="dxa"/>
            <w:vAlign w:val="bottom"/>
            <w:shd w:val="clear" w:color="auto" w:fill="EDEDED"/>
          </w:tcPr>
          <w:p>
            <w:pPr>
              <w:spacing w:after="0"/>
              <w:rPr>
                <w:sz w:val="2"/>
                <w:szCs w:val="2"/>
                <w:color w:val="auto"/>
              </w:rPr>
            </w:pPr>
          </w:p>
        </w:tc>
        <w:tc>
          <w:tcPr>
            <w:tcW w:w="100" w:type="dxa"/>
            <w:vAlign w:val="bottom"/>
            <w:shd w:val="clear" w:color="auto" w:fill="EDEDED"/>
          </w:tcPr>
          <w:p>
            <w:pPr>
              <w:spacing w:after="0"/>
              <w:rPr>
                <w:sz w:val="2"/>
                <w:szCs w:val="2"/>
                <w:color w:val="auto"/>
              </w:rPr>
            </w:pPr>
          </w:p>
        </w:tc>
        <w:tc>
          <w:tcPr>
            <w:tcW w:w="380" w:type="dxa"/>
            <w:vAlign w:val="bottom"/>
            <w:shd w:val="clear" w:color="auto" w:fill="EDEDED"/>
          </w:tcPr>
          <w:p>
            <w:pPr>
              <w:spacing w:after="0"/>
              <w:rPr>
                <w:sz w:val="2"/>
                <w:szCs w:val="2"/>
                <w:color w:val="auto"/>
              </w:rPr>
            </w:pPr>
          </w:p>
        </w:tc>
        <w:tc>
          <w:tcPr>
            <w:tcW w:w="280" w:type="dxa"/>
            <w:vAlign w:val="bottom"/>
            <w:shd w:val="clear" w:color="auto" w:fill="EDEDED"/>
          </w:tcPr>
          <w:p>
            <w:pPr>
              <w:spacing w:after="0"/>
              <w:rPr>
                <w:sz w:val="2"/>
                <w:szCs w:val="2"/>
                <w:color w:val="auto"/>
              </w:rPr>
            </w:pPr>
          </w:p>
        </w:tc>
        <w:tc>
          <w:tcPr>
            <w:tcW w:w="640" w:type="dxa"/>
            <w:vAlign w:val="bottom"/>
            <w:shd w:val="clear" w:color="auto" w:fill="EDEDED"/>
          </w:tcPr>
          <w:p>
            <w:pPr>
              <w:spacing w:after="0"/>
              <w:rPr>
                <w:sz w:val="2"/>
                <w:szCs w:val="2"/>
                <w:color w:val="auto"/>
              </w:rPr>
            </w:pPr>
          </w:p>
        </w:tc>
      </w:tr>
      <w:tr>
        <w:trPr>
          <w:trHeight w:val="162"/>
        </w:trPr>
        <w:tc>
          <w:tcPr>
            <w:tcW w:w="4640" w:type="dxa"/>
            <w:vAlign w:val="bottom"/>
            <w:gridSpan w:val="20"/>
          </w:tcPr>
          <w:p>
            <w:pPr>
              <w:spacing w:after="0" w:line="162" w:lineRule="exact"/>
              <w:rPr>
                <w:sz w:val="20"/>
                <w:szCs w:val="20"/>
                <w:color w:val="auto"/>
              </w:rPr>
            </w:pPr>
            <w:r>
              <w:rPr>
                <w:rFonts w:ascii="Arial" w:cs="Arial" w:eastAsia="Arial" w:hAnsi="Arial"/>
                <w:sz w:val="16"/>
                <w:szCs w:val="16"/>
                <w:color w:val="0000EE"/>
              </w:rPr>
              <w:t>Board, Committee, and Peer Evaluation</w:t>
            </w:r>
          </w:p>
        </w:tc>
        <w:tc>
          <w:tcPr>
            <w:tcW w:w="64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45</w:t>
            </w:r>
          </w:p>
        </w:tc>
      </w:tr>
      <w:tr>
        <w:trPr>
          <w:trHeight w:val="27"/>
        </w:trPr>
        <w:tc>
          <w:tcPr>
            <w:tcW w:w="20" w:type="dxa"/>
            <w:vAlign w:val="bottom"/>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62"/>
        </w:trPr>
        <w:tc>
          <w:tcPr>
            <w:tcW w:w="4640" w:type="dxa"/>
            <w:vAlign w:val="bottom"/>
            <w:gridSpan w:val="20"/>
            <w:shd w:val="clear" w:color="auto" w:fill="EDEDED"/>
          </w:tcPr>
          <w:p>
            <w:pPr>
              <w:spacing w:after="0" w:line="162" w:lineRule="exact"/>
              <w:rPr>
                <w:sz w:val="20"/>
                <w:szCs w:val="20"/>
                <w:color w:val="auto"/>
              </w:rPr>
            </w:pPr>
            <w:r>
              <w:rPr>
                <w:rFonts w:ascii="Arial" w:cs="Arial" w:eastAsia="Arial" w:hAnsi="Arial"/>
                <w:sz w:val="16"/>
                <w:szCs w:val="16"/>
                <w:color w:val="0000EE"/>
              </w:rPr>
              <w:t>Code of Business Conduct and Ethics</w:t>
            </w:r>
          </w:p>
        </w:tc>
        <w:tc>
          <w:tcPr>
            <w:tcW w:w="640" w:type="dxa"/>
            <w:vAlign w:val="bottom"/>
            <w:shd w:val="clear" w:color="auto" w:fill="EDEDED"/>
          </w:tcPr>
          <w:p>
            <w:pPr>
              <w:jc w:val="right"/>
              <w:ind w:right="119"/>
              <w:spacing w:after="0" w:line="162" w:lineRule="exact"/>
              <w:rPr>
                <w:sz w:val="20"/>
                <w:szCs w:val="20"/>
                <w:color w:val="auto"/>
              </w:rPr>
            </w:pPr>
            <w:r>
              <w:rPr>
                <w:rFonts w:ascii="Arial" w:cs="Arial" w:eastAsia="Arial" w:hAnsi="Arial"/>
                <w:sz w:val="16"/>
                <w:szCs w:val="16"/>
                <w:color w:val="auto"/>
              </w:rPr>
              <w:t>46</w:t>
            </w:r>
          </w:p>
        </w:tc>
      </w:tr>
      <w:tr>
        <w:trPr>
          <w:trHeight w:val="27"/>
        </w:trPr>
        <w:tc>
          <w:tcPr>
            <w:tcW w:w="20" w:type="dxa"/>
            <w:vAlign w:val="bottom"/>
            <w:shd w:val="clear" w:color="auto" w:fill="EDEDED"/>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40" w:type="dxa"/>
            <w:vAlign w:val="bottom"/>
            <w:shd w:val="clear" w:color="auto" w:fill="EDEDED"/>
          </w:tcPr>
          <w:p>
            <w:pPr>
              <w:spacing w:after="0"/>
              <w:rPr>
                <w:sz w:val="2"/>
                <w:szCs w:val="2"/>
                <w:color w:val="auto"/>
              </w:rPr>
            </w:pPr>
          </w:p>
        </w:tc>
        <w:tc>
          <w:tcPr>
            <w:tcW w:w="360" w:type="dxa"/>
            <w:vAlign w:val="bottom"/>
            <w:shd w:val="clear" w:color="auto" w:fill="EDEDED"/>
          </w:tcPr>
          <w:p>
            <w:pPr>
              <w:spacing w:after="0"/>
              <w:rPr>
                <w:sz w:val="2"/>
                <w:szCs w:val="2"/>
                <w:color w:val="auto"/>
              </w:rPr>
            </w:pPr>
          </w:p>
        </w:tc>
        <w:tc>
          <w:tcPr>
            <w:tcW w:w="80" w:type="dxa"/>
            <w:vAlign w:val="bottom"/>
            <w:shd w:val="clear" w:color="auto" w:fill="EDEDED"/>
          </w:tcPr>
          <w:p>
            <w:pPr>
              <w:spacing w:after="0"/>
              <w:rPr>
                <w:sz w:val="2"/>
                <w:szCs w:val="2"/>
                <w:color w:val="auto"/>
              </w:rPr>
            </w:pPr>
          </w:p>
        </w:tc>
        <w:tc>
          <w:tcPr>
            <w:tcW w:w="460" w:type="dxa"/>
            <w:vAlign w:val="bottom"/>
            <w:shd w:val="clear" w:color="auto" w:fill="EDEDED"/>
          </w:tcPr>
          <w:p>
            <w:pPr>
              <w:spacing w:after="0"/>
              <w:rPr>
                <w:sz w:val="2"/>
                <w:szCs w:val="2"/>
                <w:color w:val="auto"/>
              </w:rPr>
            </w:pPr>
          </w:p>
        </w:tc>
        <w:tc>
          <w:tcPr>
            <w:tcW w:w="120" w:type="dxa"/>
            <w:vAlign w:val="bottom"/>
            <w:shd w:val="clear" w:color="auto" w:fill="EDEDED"/>
          </w:tcPr>
          <w:p>
            <w:pPr>
              <w:spacing w:after="0"/>
              <w:rPr>
                <w:sz w:val="2"/>
                <w:szCs w:val="2"/>
                <w:color w:val="auto"/>
              </w:rPr>
            </w:pPr>
          </w:p>
        </w:tc>
        <w:tc>
          <w:tcPr>
            <w:tcW w:w="100" w:type="dxa"/>
            <w:vAlign w:val="bottom"/>
            <w:shd w:val="clear" w:color="auto" w:fill="EDEDED"/>
          </w:tcPr>
          <w:p>
            <w:pPr>
              <w:spacing w:after="0"/>
              <w:rPr>
                <w:sz w:val="2"/>
                <w:szCs w:val="2"/>
                <w:color w:val="auto"/>
              </w:rPr>
            </w:pPr>
          </w:p>
        </w:tc>
        <w:tc>
          <w:tcPr>
            <w:tcW w:w="380" w:type="dxa"/>
            <w:vAlign w:val="bottom"/>
            <w:shd w:val="clear" w:color="auto" w:fill="EDEDED"/>
          </w:tcPr>
          <w:p>
            <w:pPr>
              <w:spacing w:after="0"/>
              <w:rPr>
                <w:sz w:val="2"/>
                <w:szCs w:val="2"/>
                <w:color w:val="auto"/>
              </w:rPr>
            </w:pPr>
          </w:p>
        </w:tc>
        <w:tc>
          <w:tcPr>
            <w:tcW w:w="280" w:type="dxa"/>
            <w:vAlign w:val="bottom"/>
            <w:shd w:val="clear" w:color="auto" w:fill="EDEDED"/>
          </w:tcPr>
          <w:p>
            <w:pPr>
              <w:spacing w:after="0"/>
              <w:rPr>
                <w:sz w:val="2"/>
                <w:szCs w:val="2"/>
                <w:color w:val="auto"/>
              </w:rPr>
            </w:pPr>
          </w:p>
        </w:tc>
        <w:tc>
          <w:tcPr>
            <w:tcW w:w="640" w:type="dxa"/>
            <w:vAlign w:val="bottom"/>
            <w:shd w:val="clear" w:color="auto" w:fill="EDEDED"/>
          </w:tcPr>
          <w:p>
            <w:pPr>
              <w:spacing w:after="0"/>
              <w:rPr>
                <w:sz w:val="2"/>
                <w:szCs w:val="2"/>
                <w:color w:val="auto"/>
              </w:rPr>
            </w:pPr>
          </w:p>
        </w:tc>
      </w:tr>
      <w:tr>
        <w:trPr>
          <w:trHeight w:val="162"/>
        </w:trPr>
        <w:tc>
          <w:tcPr>
            <w:tcW w:w="4640" w:type="dxa"/>
            <w:vAlign w:val="bottom"/>
            <w:gridSpan w:val="20"/>
          </w:tcPr>
          <w:p>
            <w:pPr>
              <w:spacing w:after="0" w:line="162" w:lineRule="exact"/>
              <w:rPr>
                <w:sz w:val="20"/>
                <w:szCs w:val="20"/>
                <w:color w:val="auto"/>
              </w:rPr>
            </w:pPr>
            <w:r>
              <w:rPr>
                <w:rFonts w:ascii="Arial" w:cs="Arial" w:eastAsia="Arial" w:hAnsi="Arial"/>
                <w:sz w:val="16"/>
                <w:szCs w:val="16"/>
                <w:color w:val="0000EE"/>
              </w:rPr>
              <w:t>Related Person Transactions and Certain Relationships</w:t>
            </w:r>
          </w:p>
        </w:tc>
        <w:tc>
          <w:tcPr>
            <w:tcW w:w="64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46</w:t>
            </w:r>
          </w:p>
        </w:tc>
      </w:tr>
      <w:tr>
        <w:trPr>
          <w:trHeight w:val="20"/>
        </w:trPr>
        <w:tc>
          <w:tcPr>
            <w:tcW w:w="2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4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46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294894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48940" cy="13716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182"/>
        </w:trPr>
        <w:tc>
          <w:tcPr>
            <w:tcW w:w="4640" w:type="dxa"/>
            <w:vAlign w:val="bottom"/>
            <w:gridSpan w:val="17"/>
          </w:tcPr>
          <w:p>
            <w:pPr>
              <w:spacing w:after="0" w:line="162" w:lineRule="exact"/>
              <w:rPr>
                <w:sz w:val="20"/>
                <w:szCs w:val="20"/>
                <w:color w:val="auto"/>
              </w:rPr>
            </w:pPr>
            <w:r>
              <w:rPr>
                <w:rFonts w:ascii="Arial" w:cs="Arial" w:eastAsia="Arial" w:hAnsi="Arial"/>
                <w:sz w:val="16"/>
                <w:szCs w:val="16"/>
                <w:b w:val="1"/>
                <w:bCs w:val="1"/>
                <w:color w:val="0000EE"/>
              </w:rPr>
              <w:t>Director Compensation</w:t>
            </w:r>
          </w:p>
        </w:tc>
        <w:tc>
          <w:tcPr>
            <w:tcW w:w="640" w:type="dxa"/>
            <w:vAlign w:val="bottom"/>
            <w:shd w:val="clear" w:color="auto" w:fill="EDEDED"/>
          </w:tcPr>
          <w:p>
            <w:pPr>
              <w:jc w:val="right"/>
              <w:ind w:right="119"/>
              <w:spacing w:after="0" w:line="162" w:lineRule="exact"/>
              <w:rPr>
                <w:sz w:val="20"/>
                <w:szCs w:val="20"/>
                <w:color w:val="auto"/>
              </w:rPr>
            </w:pPr>
            <w:r>
              <w:rPr>
                <w:rFonts w:ascii="Arial" w:cs="Arial" w:eastAsia="Arial" w:hAnsi="Arial"/>
                <w:sz w:val="16"/>
                <w:szCs w:val="16"/>
                <w:b w:val="1"/>
                <w:bCs w:val="1"/>
                <w:color w:val="00AF41"/>
              </w:rPr>
              <w:t>47</w:t>
            </w:r>
          </w:p>
        </w:tc>
      </w:tr>
      <w:tr>
        <w:trPr>
          <w:trHeight w:val="149"/>
        </w:trPr>
        <w:tc>
          <w:tcPr>
            <w:tcW w:w="1800" w:type="dxa"/>
            <w:vAlign w:val="bottom"/>
            <w:tcBorders>
              <w:top w:val="single" w:sz="8" w:color="0000EE"/>
            </w:tcBorders>
            <w:gridSpan w:val="5"/>
          </w:tcPr>
          <w:p>
            <w:pPr>
              <w:spacing w:after="0" w:line="149" w:lineRule="exact"/>
              <w:rPr>
                <w:sz w:val="20"/>
                <w:szCs w:val="20"/>
                <w:color w:val="auto"/>
              </w:rPr>
            </w:pPr>
            <w:r>
              <w:rPr>
                <w:rFonts w:ascii="Arial" w:cs="Arial" w:eastAsia="Arial" w:hAnsi="Arial"/>
                <w:sz w:val="16"/>
                <w:szCs w:val="16"/>
                <w:color w:val="0000EE"/>
              </w:rPr>
              <w:t>Director Compensation</w:t>
            </w:r>
          </w:p>
        </w:tc>
        <w:tc>
          <w:tcPr>
            <w:tcW w:w="2840" w:type="dxa"/>
            <w:vAlign w:val="bottom"/>
            <w:gridSpan w:val="12"/>
          </w:tcPr>
          <w:p>
            <w:pPr>
              <w:spacing w:after="0" w:line="149" w:lineRule="exact"/>
              <w:rPr>
                <w:sz w:val="20"/>
                <w:szCs w:val="20"/>
                <w:color w:val="auto"/>
              </w:rPr>
            </w:pPr>
            <w:r>
              <w:rPr>
                <w:rFonts w:ascii="Arial" w:cs="Arial" w:eastAsia="Arial" w:hAnsi="Arial"/>
                <w:sz w:val="16"/>
                <w:szCs w:val="16"/>
                <w:color w:val="0000EE"/>
              </w:rPr>
              <w:t>Design</w:t>
            </w:r>
          </w:p>
        </w:tc>
        <w:tc>
          <w:tcPr>
            <w:tcW w:w="640" w:type="dxa"/>
            <w:vAlign w:val="bottom"/>
            <w:tcBorders>
              <w:top w:val="single" w:sz="8" w:color="EDEDED"/>
            </w:tcBorders>
          </w:tcPr>
          <w:p>
            <w:pPr>
              <w:jc w:val="right"/>
              <w:ind w:right="119"/>
              <w:spacing w:after="0" w:line="149" w:lineRule="exact"/>
              <w:rPr>
                <w:sz w:val="20"/>
                <w:szCs w:val="20"/>
                <w:color w:val="auto"/>
              </w:rPr>
            </w:pPr>
            <w:r>
              <w:rPr>
                <w:rFonts w:ascii="Arial" w:cs="Arial" w:eastAsia="Arial" w:hAnsi="Arial"/>
                <w:sz w:val="16"/>
                <w:szCs w:val="16"/>
                <w:color w:val="auto"/>
              </w:rPr>
              <w:t>47</w:t>
            </w:r>
          </w:p>
        </w:tc>
      </w:tr>
      <w:tr>
        <w:trPr>
          <w:trHeight w:val="27"/>
        </w:trPr>
        <w:tc>
          <w:tcPr>
            <w:tcW w:w="2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62"/>
        </w:trPr>
        <w:tc>
          <w:tcPr>
            <w:tcW w:w="4640" w:type="dxa"/>
            <w:vAlign w:val="bottom"/>
            <w:gridSpan w:val="17"/>
            <w:shd w:val="clear" w:color="auto" w:fill="EDEDED"/>
          </w:tcPr>
          <w:p>
            <w:pPr>
              <w:spacing w:after="0" w:line="162" w:lineRule="exact"/>
              <w:rPr>
                <w:sz w:val="20"/>
                <w:szCs w:val="20"/>
                <w:color w:val="auto"/>
              </w:rPr>
            </w:pPr>
            <w:r>
              <w:rPr>
                <w:rFonts w:ascii="Arial" w:cs="Arial" w:eastAsia="Arial" w:hAnsi="Arial"/>
                <w:sz w:val="16"/>
                <w:szCs w:val="16"/>
                <w:color w:val="0000EE"/>
              </w:rPr>
              <w:t>Stock Ownership Requirements</w:t>
            </w:r>
          </w:p>
        </w:tc>
        <w:tc>
          <w:tcPr>
            <w:tcW w:w="640" w:type="dxa"/>
            <w:vAlign w:val="bottom"/>
            <w:shd w:val="clear" w:color="auto" w:fill="EDEDED"/>
          </w:tcPr>
          <w:p>
            <w:pPr>
              <w:jc w:val="right"/>
              <w:ind w:right="119"/>
              <w:spacing w:after="0" w:line="162" w:lineRule="exact"/>
              <w:rPr>
                <w:sz w:val="20"/>
                <w:szCs w:val="20"/>
                <w:color w:val="auto"/>
              </w:rPr>
            </w:pPr>
            <w:r>
              <w:rPr>
                <w:rFonts w:ascii="Arial" w:cs="Arial" w:eastAsia="Arial" w:hAnsi="Arial"/>
                <w:sz w:val="16"/>
                <w:szCs w:val="16"/>
                <w:color w:val="auto"/>
              </w:rPr>
              <w:t>47</w:t>
            </w:r>
          </w:p>
        </w:tc>
      </w:tr>
      <w:tr>
        <w:trPr>
          <w:trHeight w:val="27"/>
        </w:trPr>
        <w:tc>
          <w:tcPr>
            <w:tcW w:w="20" w:type="dxa"/>
            <w:vAlign w:val="bottom"/>
            <w:shd w:val="clear" w:color="auto" w:fill="EDEDED"/>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EDEDED"/>
          </w:tcPr>
          <w:p>
            <w:pPr>
              <w:spacing w:after="0"/>
              <w:rPr>
                <w:sz w:val="2"/>
                <w:szCs w:val="2"/>
                <w:color w:val="auto"/>
              </w:rPr>
            </w:pPr>
          </w:p>
        </w:tc>
        <w:tc>
          <w:tcPr>
            <w:tcW w:w="640" w:type="dxa"/>
            <w:vAlign w:val="bottom"/>
            <w:shd w:val="clear" w:color="auto" w:fill="EDEDED"/>
          </w:tcPr>
          <w:p>
            <w:pPr>
              <w:spacing w:after="0"/>
              <w:rPr>
                <w:sz w:val="2"/>
                <w:szCs w:val="2"/>
                <w:color w:val="auto"/>
              </w:rPr>
            </w:pPr>
          </w:p>
        </w:tc>
        <w:tc>
          <w:tcPr>
            <w:tcW w:w="740" w:type="dxa"/>
            <w:vAlign w:val="bottom"/>
            <w:shd w:val="clear" w:color="auto" w:fill="EDEDED"/>
          </w:tcPr>
          <w:p>
            <w:pPr>
              <w:spacing w:after="0"/>
              <w:rPr>
                <w:sz w:val="2"/>
                <w:szCs w:val="2"/>
                <w:color w:val="auto"/>
              </w:rPr>
            </w:pPr>
          </w:p>
        </w:tc>
        <w:tc>
          <w:tcPr>
            <w:tcW w:w="80" w:type="dxa"/>
            <w:vAlign w:val="bottom"/>
            <w:shd w:val="clear" w:color="auto" w:fill="EDEDED"/>
          </w:tcPr>
          <w:p>
            <w:pPr>
              <w:spacing w:after="0"/>
              <w:rPr>
                <w:sz w:val="2"/>
                <w:szCs w:val="2"/>
                <w:color w:val="auto"/>
              </w:rPr>
            </w:pPr>
          </w:p>
        </w:tc>
        <w:tc>
          <w:tcPr>
            <w:tcW w:w="200" w:type="dxa"/>
            <w:vAlign w:val="bottom"/>
            <w:shd w:val="clear" w:color="auto" w:fill="EDEDED"/>
          </w:tcPr>
          <w:p>
            <w:pPr>
              <w:spacing w:after="0"/>
              <w:rPr>
                <w:sz w:val="2"/>
                <w:szCs w:val="2"/>
                <w:color w:val="auto"/>
              </w:rPr>
            </w:pPr>
          </w:p>
        </w:tc>
        <w:tc>
          <w:tcPr>
            <w:tcW w:w="280" w:type="dxa"/>
            <w:vAlign w:val="bottom"/>
            <w:shd w:val="clear" w:color="auto" w:fill="EDEDED"/>
          </w:tcPr>
          <w:p>
            <w:pPr>
              <w:spacing w:after="0"/>
              <w:rPr>
                <w:sz w:val="2"/>
                <w:szCs w:val="2"/>
                <w:color w:val="auto"/>
              </w:rPr>
            </w:pPr>
          </w:p>
        </w:tc>
        <w:tc>
          <w:tcPr>
            <w:tcW w:w="20" w:type="dxa"/>
            <w:vAlign w:val="bottom"/>
            <w:shd w:val="clear" w:color="auto" w:fill="EDEDED"/>
          </w:tcPr>
          <w:p>
            <w:pPr>
              <w:spacing w:after="0"/>
              <w:rPr>
                <w:sz w:val="2"/>
                <w:szCs w:val="2"/>
                <w:color w:val="auto"/>
              </w:rPr>
            </w:pPr>
          </w:p>
        </w:tc>
        <w:tc>
          <w:tcPr>
            <w:tcW w:w="240" w:type="dxa"/>
            <w:vAlign w:val="bottom"/>
            <w:shd w:val="clear" w:color="auto" w:fill="EDEDED"/>
          </w:tcPr>
          <w:p>
            <w:pPr>
              <w:spacing w:after="0"/>
              <w:rPr>
                <w:sz w:val="2"/>
                <w:szCs w:val="2"/>
                <w:color w:val="auto"/>
              </w:rPr>
            </w:pPr>
          </w:p>
        </w:tc>
        <w:tc>
          <w:tcPr>
            <w:tcW w:w="640" w:type="dxa"/>
            <w:vAlign w:val="bottom"/>
            <w:shd w:val="clear" w:color="auto" w:fill="EDEDED"/>
          </w:tcPr>
          <w:p>
            <w:pPr>
              <w:spacing w:after="0"/>
              <w:rPr>
                <w:sz w:val="2"/>
                <w:szCs w:val="2"/>
                <w:color w:val="auto"/>
              </w:rPr>
            </w:pPr>
          </w:p>
        </w:tc>
      </w:tr>
      <w:tr>
        <w:trPr>
          <w:trHeight w:val="162"/>
        </w:trPr>
        <w:tc>
          <w:tcPr>
            <w:tcW w:w="4640" w:type="dxa"/>
            <w:vAlign w:val="bottom"/>
            <w:gridSpan w:val="17"/>
          </w:tcPr>
          <w:p>
            <w:pPr>
              <w:spacing w:after="0" w:line="162" w:lineRule="exact"/>
              <w:rPr>
                <w:sz w:val="20"/>
                <w:szCs w:val="20"/>
                <w:color w:val="auto"/>
              </w:rPr>
            </w:pPr>
            <w:r>
              <w:rPr>
                <w:rFonts w:ascii="Arial" w:cs="Arial" w:eastAsia="Arial" w:hAnsi="Arial"/>
                <w:sz w:val="16"/>
                <w:szCs w:val="16"/>
                <w:color w:val="0000EE"/>
              </w:rPr>
              <w:t>Non-Employee Directors Deferred Compensation Plan</w:t>
            </w:r>
          </w:p>
        </w:tc>
        <w:tc>
          <w:tcPr>
            <w:tcW w:w="64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47</w:t>
            </w:r>
          </w:p>
        </w:tc>
      </w:tr>
      <w:tr>
        <w:trPr>
          <w:trHeight w:val="27"/>
        </w:trPr>
        <w:tc>
          <w:tcPr>
            <w:tcW w:w="2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2"/>
        </w:trPr>
        <w:tc>
          <w:tcPr>
            <w:tcW w:w="4640" w:type="dxa"/>
            <w:vAlign w:val="bottom"/>
            <w:tcBorders>
              <w:bottom w:val="single" w:sz="8" w:color="auto"/>
            </w:tcBorders>
            <w:gridSpan w:val="17"/>
            <w:shd w:val="clear" w:color="auto" w:fill="EDEDED"/>
          </w:tcPr>
          <w:p>
            <w:pPr>
              <w:spacing w:after="0" w:line="162" w:lineRule="exact"/>
              <w:rPr>
                <w:sz w:val="20"/>
                <w:szCs w:val="20"/>
                <w:color w:val="auto"/>
              </w:rPr>
            </w:pPr>
            <w:r>
              <w:rPr>
                <w:rFonts w:ascii="Arial" w:cs="Arial" w:eastAsia="Arial" w:hAnsi="Arial"/>
                <w:sz w:val="16"/>
                <w:szCs w:val="16"/>
                <w:color w:val="0000EE"/>
              </w:rPr>
              <w:t>2022 Director Compensation</w:t>
            </w:r>
          </w:p>
        </w:tc>
        <w:tc>
          <w:tcPr>
            <w:tcW w:w="640" w:type="dxa"/>
            <w:vAlign w:val="bottom"/>
            <w:tcBorders>
              <w:bottom w:val="single" w:sz="8" w:color="auto"/>
            </w:tcBorders>
            <w:shd w:val="clear" w:color="auto" w:fill="EDEDED"/>
          </w:tcPr>
          <w:p>
            <w:pPr>
              <w:jc w:val="right"/>
              <w:ind w:right="119"/>
              <w:spacing w:after="0" w:line="162" w:lineRule="exact"/>
              <w:rPr>
                <w:sz w:val="20"/>
                <w:szCs w:val="20"/>
                <w:color w:val="auto"/>
              </w:rPr>
            </w:pPr>
            <w:r>
              <w:rPr>
                <w:rFonts w:ascii="Arial" w:cs="Arial" w:eastAsia="Arial" w:hAnsi="Arial"/>
                <w:sz w:val="16"/>
                <w:szCs w:val="16"/>
                <w:color w:val="auto"/>
              </w:rPr>
              <w:t>48</w:t>
            </w:r>
          </w:p>
        </w:tc>
      </w:tr>
      <w:tr>
        <w:trPr>
          <w:trHeight w:val="156"/>
        </w:trPr>
        <w:tc>
          <w:tcPr>
            <w:tcW w:w="4640" w:type="dxa"/>
            <w:vAlign w:val="bottom"/>
            <w:gridSpan w:val="17"/>
          </w:tcPr>
          <w:p>
            <w:pPr>
              <w:spacing w:after="0" w:line="156" w:lineRule="exact"/>
              <w:rPr>
                <w:sz w:val="20"/>
                <w:szCs w:val="20"/>
                <w:color w:val="auto"/>
              </w:rPr>
            </w:pPr>
            <w:r>
              <w:rPr>
                <w:rFonts w:ascii="Arial" w:cs="Arial" w:eastAsia="Arial" w:hAnsi="Arial"/>
                <w:sz w:val="16"/>
                <w:szCs w:val="16"/>
                <w:b w:val="1"/>
                <w:bCs w:val="1"/>
                <w:color w:val="0000EE"/>
              </w:rPr>
              <w:t>Beneficial Ownership of Shares</w:t>
            </w:r>
          </w:p>
        </w:tc>
        <w:tc>
          <w:tcPr>
            <w:tcW w:w="640" w:type="dxa"/>
            <w:vAlign w:val="bottom"/>
          </w:tcPr>
          <w:p>
            <w:pPr>
              <w:jc w:val="right"/>
              <w:ind w:right="119"/>
              <w:spacing w:after="0" w:line="156" w:lineRule="exact"/>
              <w:rPr>
                <w:sz w:val="20"/>
                <w:szCs w:val="20"/>
                <w:color w:val="auto"/>
              </w:rPr>
            </w:pPr>
            <w:r>
              <w:rPr>
                <w:rFonts w:ascii="Arial" w:cs="Arial" w:eastAsia="Arial" w:hAnsi="Arial"/>
                <w:sz w:val="16"/>
                <w:szCs w:val="16"/>
                <w:b w:val="1"/>
                <w:bCs w:val="1"/>
                <w:color w:val="00AF41"/>
              </w:rPr>
              <w:t>49</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56"/>
        </w:trPr>
        <w:tc>
          <w:tcPr>
            <w:tcW w:w="4640" w:type="dxa"/>
            <w:vAlign w:val="bottom"/>
            <w:gridSpan w:val="17"/>
            <w:shd w:val="clear" w:color="auto" w:fill="EDEDED"/>
          </w:tcPr>
          <w:p>
            <w:pPr>
              <w:spacing w:after="0" w:line="156" w:lineRule="exact"/>
              <w:rPr>
                <w:sz w:val="20"/>
                <w:szCs w:val="20"/>
                <w:color w:val="auto"/>
              </w:rPr>
            </w:pPr>
            <w:r>
              <w:rPr>
                <w:rFonts w:ascii="Arial" w:cs="Arial" w:eastAsia="Arial" w:hAnsi="Arial"/>
                <w:sz w:val="16"/>
                <w:szCs w:val="16"/>
                <w:b w:val="1"/>
                <w:bCs w:val="1"/>
                <w:color w:val="0000EE"/>
              </w:rPr>
              <w:t>Proposal 2: Advisory Vote to Approve the Company’s</w:t>
            </w:r>
          </w:p>
        </w:tc>
        <w:tc>
          <w:tcPr>
            <w:tcW w:w="640" w:type="dxa"/>
            <w:vAlign w:val="bottom"/>
            <w:shd w:val="clear" w:color="auto" w:fill="EDEDED"/>
          </w:tcPr>
          <w:p>
            <w:pPr>
              <w:jc w:val="right"/>
              <w:ind w:right="119"/>
              <w:spacing w:after="0" w:line="156" w:lineRule="exact"/>
              <w:rPr>
                <w:sz w:val="20"/>
                <w:szCs w:val="20"/>
                <w:color w:val="auto"/>
              </w:rPr>
            </w:pPr>
            <w:r>
              <w:rPr>
                <w:rFonts w:ascii="Arial" w:cs="Arial" w:eastAsia="Arial" w:hAnsi="Arial"/>
                <w:sz w:val="16"/>
                <w:szCs w:val="16"/>
                <w:b w:val="1"/>
                <w:bCs w:val="1"/>
                <w:color w:val="00AF41"/>
              </w:rPr>
              <w:t>50</w:t>
            </w:r>
          </w:p>
        </w:tc>
      </w:tr>
      <w:tr>
        <w:trPr>
          <w:trHeight w:val="209"/>
        </w:trPr>
        <w:tc>
          <w:tcPr>
            <w:tcW w:w="20" w:type="dxa"/>
            <w:vAlign w:val="bottom"/>
            <w:tcBorders>
              <w:top w:val="single" w:sz="8" w:color="EDEDED"/>
              <w:bottom w:val="single" w:sz="8" w:color="auto"/>
            </w:tcBorders>
            <w:shd w:val="clear" w:color="auto" w:fill="EDEDED"/>
          </w:tcPr>
          <w:p>
            <w:pPr>
              <w:spacing w:after="0"/>
              <w:rPr>
                <w:sz w:val="18"/>
                <w:szCs w:val="18"/>
                <w:color w:val="auto"/>
              </w:rPr>
            </w:pPr>
          </w:p>
        </w:tc>
        <w:tc>
          <w:tcPr>
            <w:tcW w:w="4080" w:type="dxa"/>
            <w:vAlign w:val="bottom"/>
            <w:tcBorders>
              <w:top w:val="single" w:sz="8" w:color="0000EE"/>
              <w:bottom w:val="single" w:sz="8" w:color="auto"/>
            </w:tcBorders>
            <w:gridSpan w:val="13"/>
            <w:shd w:val="clear" w:color="auto" w:fill="EDEDED"/>
          </w:tcPr>
          <w:p>
            <w:pPr>
              <w:spacing w:after="0" w:line="169" w:lineRule="exact"/>
              <w:rPr>
                <w:sz w:val="20"/>
                <w:szCs w:val="20"/>
                <w:color w:val="auto"/>
              </w:rPr>
            </w:pPr>
            <w:r>
              <w:rPr>
                <w:rFonts w:ascii="Arial" w:cs="Arial" w:eastAsia="Arial" w:hAnsi="Arial"/>
                <w:sz w:val="16"/>
                <w:szCs w:val="16"/>
                <w:b w:val="1"/>
                <w:bCs w:val="1"/>
                <w:color w:val="0000EE"/>
              </w:rPr>
              <w:t>Executive Compensation</w:t>
            </w:r>
          </w:p>
        </w:tc>
        <w:tc>
          <w:tcPr>
            <w:tcW w:w="280" w:type="dxa"/>
            <w:vAlign w:val="bottom"/>
            <w:tcBorders>
              <w:top w:val="single" w:sz="8" w:color="EDEDED"/>
              <w:bottom w:val="single" w:sz="8" w:color="auto"/>
            </w:tcBorders>
            <w:shd w:val="clear" w:color="auto" w:fill="EDEDED"/>
          </w:tcPr>
          <w:p>
            <w:pPr>
              <w:spacing w:after="0"/>
              <w:rPr>
                <w:sz w:val="18"/>
                <w:szCs w:val="18"/>
                <w:color w:val="auto"/>
              </w:rPr>
            </w:pPr>
          </w:p>
        </w:tc>
        <w:tc>
          <w:tcPr>
            <w:tcW w:w="20" w:type="dxa"/>
            <w:vAlign w:val="bottom"/>
            <w:tcBorders>
              <w:top w:val="single" w:sz="8" w:color="EDEDED"/>
              <w:bottom w:val="single" w:sz="8" w:color="auto"/>
            </w:tcBorders>
            <w:shd w:val="clear" w:color="auto" w:fill="EDEDED"/>
          </w:tcPr>
          <w:p>
            <w:pPr>
              <w:spacing w:after="0"/>
              <w:rPr>
                <w:sz w:val="18"/>
                <w:szCs w:val="18"/>
                <w:color w:val="auto"/>
              </w:rPr>
            </w:pPr>
          </w:p>
        </w:tc>
        <w:tc>
          <w:tcPr>
            <w:tcW w:w="240" w:type="dxa"/>
            <w:vAlign w:val="bottom"/>
            <w:tcBorders>
              <w:top w:val="single" w:sz="8" w:color="EDEDED"/>
              <w:bottom w:val="single" w:sz="8" w:color="auto"/>
            </w:tcBorders>
            <w:shd w:val="clear" w:color="auto" w:fill="EDEDED"/>
          </w:tcPr>
          <w:p>
            <w:pPr>
              <w:spacing w:after="0"/>
              <w:rPr>
                <w:sz w:val="18"/>
                <w:szCs w:val="18"/>
                <w:color w:val="auto"/>
              </w:rPr>
            </w:pPr>
          </w:p>
        </w:tc>
        <w:tc>
          <w:tcPr>
            <w:tcW w:w="640" w:type="dxa"/>
            <w:vAlign w:val="bottom"/>
            <w:tcBorders>
              <w:top w:val="single" w:sz="8" w:color="EDEDED"/>
              <w:bottom w:val="single" w:sz="8" w:color="auto"/>
            </w:tcBorders>
            <w:shd w:val="clear" w:color="auto" w:fill="EDEDED"/>
          </w:tcPr>
          <w:p>
            <w:pPr>
              <w:spacing w:after="0"/>
              <w:rPr>
                <w:sz w:val="18"/>
                <w:szCs w:val="18"/>
                <w:color w:val="auto"/>
              </w:rPr>
            </w:pPr>
          </w:p>
        </w:tc>
      </w:tr>
      <w:tr>
        <w:trPr>
          <w:trHeight w:val="156"/>
        </w:trPr>
        <w:tc>
          <w:tcPr>
            <w:tcW w:w="4640" w:type="dxa"/>
            <w:vAlign w:val="bottom"/>
            <w:gridSpan w:val="17"/>
          </w:tcPr>
          <w:p>
            <w:pPr>
              <w:spacing w:after="0" w:line="156" w:lineRule="exact"/>
              <w:rPr>
                <w:sz w:val="20"/>
                <w:szCs w:val="20"/>
                <w:color w:val="auto"/>
              </w:rPr>
            </w:pPr>
            <w:r>
              <w:rPr>
                <w:rFonts w:ascii="Arial" w:cs="Arial" w:eastAsia="Arial" w:hAnsi="Arial"/>
                <w:sz w:val="16"/>
                <w:szCs w:val="16"/>
                <w:b w:val="1"/>
                <w:bCs w:val="1"/>
                <w:color w:val="0000EE"/>
              </w:rPr>
              <w:t>Compensation Discussion and Analysis</w:t>
            </w:r>
          </w:p>
        </w:tc>
        <w:tc>
          <w:tcPr>
            <w:tcW w:w="640" w:type="dxa"/>
            <w:vAlign w:val="bottom"/>
          </w:tcPr>
          <w:p>
            <w:pPr>
              <w:jc w:val="right"/>
              <w:ind w:right="119"/>
              <w:spacing w:after="0" w:line="156" w:lineRule="exact"/>
              <w:rPr>
                <w:sz w:val="20"/>
                <w:szCs w:val="20"/>
                <w:color w:val="auto"/>
              </w:rPr>
            </w:pPr>
            <w:r>
              <w:rPr>
                <w:rFonts w:ascii="Arial" w:cs="Arial" w:eastAsia="Arial" w:hAnsi="Arial"/>
                <w:sz w:val="16"/>
                <w:szCs w:val="16"/>
                <w:b w:val="1"/>
                <w:bCs w:val="1"/>
                <w:color w:val="00AF41"/>
              </w:rPr>
              <w:t>51</w:t>
            </w:r>
          </w:p>
        </w:tc>
      </w:tr>
      <w:tr>
        <w:trPr>
          <w:trHeight w:val="27"/>
        </w:trPr>
        <w:tc>
          <w:tcPr>
            <w:tcW w:w="2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4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62"/>
        </w:trPr>
        <w:tc>
          <w:tcPr>
            <w:tcW w:w="4640" w:type="dxa"/>
            <w:vAlign w:val="bottom"/>
            <w:gridSpan w:val="17"/>
            <w:shd w:val="clear" w:color="auto" w:fill="EDEDED"/>
          </w:tcPr>
          <w:p>
            <w:pPr>
              <w:spacing w:after="0" w:line="162" w:lineRule="exact"/>
              <w:rPr>
                <w:sz w:val="20"/>
                <w:szCs w:val="20"/>
                <w:color w:val="auto"/>
              </w:rPr>
            </w:pPr>
            <w:r>
              <w:rPr>
                <w:rFonts w:ascii="Arial" w:cs="Arial" w:eastAsia="Arial" w:hAnsi="Arial"/>
                <w:sz w:val="16"/>
                <w:szCs w:val="16"/>
                <w:color w:val="0000EE"/>
              </w:rPr>
              <w:t>2022 Named Executive Officers</w:t>
            </w:r>
          </w:p>
        </w:tc>
        <w:tc>
          <w:tcPr>
            <w:tcW w:w="640" w:type="dxa"/>
            <w:vAlign w:val="bottom"/>
            <w:shd w:val="clear" w:color="auto" w:fill="EDEDED"/>
          </w:tcPr>
          <w:p>
            <w:pPr>
              <w:jc w:val="right"/>
              <w:ind w:right="119"/>
              <w:spacing w:after="0" w:line="162" w:lineRule="exact"/>
              <w:rPr>
                <w:sz w:val="20"/>
                <w:szCs w:val="20"/>
                <w:color w:val="auto"/>
              </w:rPr>
            </w:pPr>
            <w:r>
              <w:rPr>
                <w:rFonts w:ascii="Arial" w:cs="Arial" w:eastAsia="Arial" w:hAnsi="Arial"/>
                <w:sz w:val="16"/>
                <w:szCs w:val="16"/>
                <w:color w:val="auto"/>
              </w:rPr>
              <w:t>51</w:t>
            </w:r>
          </w:p>
        </w:tc>
      </w:tr>
      <w:tr>
        <w:trPr>
          <w:trHeight w:val="27"/>
        </w:trPr>
        <w:tc>
          <w:tcPr>
            <w:tcW w:w="20" w:type="dxa"/>
            <w:vAlign w:val="bottom"/>
            <w:shd w:val="clear" w:color="auto" w:fill="EDEDED"/>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EDEDED"/>
          </w:tcPr>
          <w:p>
            <w:pPr>
              <w:spacing w:after="0"/>
              <w:rPr>
                <w:sz w:val="2"/>
                <w:szCs w:val="2"/>
                <w:color w:val="auto"/>
              </w:rPr>
            </w:pPr>
          </w:p>
        </w:tc>
        <w:tc>
          <w:tcPr>
            <w:tcW w:w="640" w:type="dxa"/>
            <w:vAlign w:val="bottom"/>
            <w:shd w:val="clear" w:color="auto" w:fill="EDEDED"/>
          </w:tcPr>
          <w:p>
            <w:pPr>
              <w:spacing w:after="0"/>
              <w:rPr>
                <w:sz w:val="2"/>
                <w:szCs w:val="2"/>
                <w:color w:val="auto"/>
              </w:rPr>
            </w:pPr>
          </w:p>
        </w:tc>
        <w:tc>
          <w:tcPr>
            <w:tcW w:w="740" w:type="dxa"/>
            <w:vAlign w:val="bottom"/>
            <w:shd w:val="clear" w:color="auto" w:fill="EDEDED"/>
          </w:tcPr>
          <w:p>
            <w:pPr>
              <w:spacing w:after="0"/>
              <w:rPr>
                <w:sz w:val="2"/>
                <w:szCs w:val="2"/>
                <w:color w:val="auto"/>
              </w:rPr>
            </w:pPr>
          </w:p>
        </w:tc>
        <w:tc>
          <w:tcPr>
            <w:tcW w:w="80" w:type="dxa"/>
            <w:vAlign w:val="bottom"/>
            <w:shd w:val="clear" w:color="auto" w:fill="EDEDED"/>
          </w:tcPr>
          <w:p>
            <w:pPr>
              <w:spacing w:after="0"/>
              <w:rPr>
                <w:sz w:val="2"/>
                <w:szCs w:val="2"/>
                <w:color w:val="auto"/>
              </w:rPr>
            </w:pPr>
          </w:p>
        </w:tc>
        <w:tc>
          <w:tcPr>
            <w:tcW w:w="200" w:type="dxa"/>
            <w:vAlign w:val="bottom"/>
            <w:shd w:val="clear" w:color="auto" w:fill="EDEDED"/>
          </w:tcPr>
          <w:p>
            <w:pPr>
              <w:spacing w:after="0"/>
              <w:rPr>
                <w:sz w:val="2"/>
                <w:szCs w:val="2"/>
                <w:color w:val="auto"/>
              </w:rPr>
            </w:pPr>
          </w:p>
        </w:tc>
        <w:tc>
          <w:tcPr>
            <w:tcW w:w="280" w:type="dxa"/>
            <w:vAlign w:val="bottom"/>
            <w:shd w:val="clear" w:color="auto" w:fill="EDEDED"/>
          </w:tcPr>
          <w:p>
            <w:pPr>
              <w:spacing w:after="0"/>
              <w:rPr>
                <w:sz w:val="2"/>
                <w:szCs w:val="2"/>
                <w:color w:val="auto"/>
              </w:rPr>
            </w:pPr>
          </w:p>
        </w:tc>
        <w:tc>
          <w:tcPr>
            <w:tcW w:w="20" w:type="dxa"/>
            <w:vAlign w:val="bottom"/>
            <w:shd w:val="clear" w:color="auto" w:fill="EDEDED"/>
          </w:tcPr>
          <w:p>
            <w:pPr>
              <w:spacing w:after="0"/>
              <w:rPr>
                <w:sz w:val="2"/>
                <w:szCs w:val="2"/>
                <w:color w:val="auto"/>
              </w:rPr>
            </w:pPr>
          </w:p>
        </w:tc>
        <w:tc>
          <w:tcPr>
            <w:tcW w:w="240" w:type="dxa"/>
            <w:vAlign w:val="bottom"/>
            <w:shd w:val="clear" w:color="auto" w:fill="EDEDED"/>
          </w:tcPr>
          <w:p>
            <w:pPr>
              <w:spacing w:after="0"/>
              <w:rPr>
                <w:sz w:val="2"/>
                <w:szCs w:val="2"/>
                <w:color w:val="auto"/>
              </w:rPr>
            </w:pPr>
          </w:p>
        </w:tc>
        <w:tc>
          <w:tcPr>
            <w:tcW w:w="640" w:type="dxa"/>
            <w:vAlign w:val="bottom"/>
            <w:shd w:val="clear" w:color="auto" w:fill="EDEDED"/>
          </w:tcPr>
          <w:p>
            <w:pPr>
              <w:spacing w:after="0"/>
              <w:rPr>
                <w:sz w:val="2"/>
                <w:szCs w:val="2"/>
                <w:color w:val="auto"/>
              </w:rPr>
            </w:pPr>
          </w:p>
        </w:tc>
      </w:tr>
      <w:tr>
        <w:trPr>
          <w:trHeight w:val="162"/>
        </w:trPr>
        <w:tc>
          <w:tcPr>
            <w:tcW w:w="4640" w:type="dxa"/>
            <w:vAlign w:val="bottom"/>
            <w:gridSpan w:val="17"/>
          </w:tcPr>
          <w:p>
            <w:pPr>
              <w:spacing w:after="0" w:line="162" w:lineRule="exact"/>
              <w:rPr>
                <w:sz w:val="20"/>
                <w:szCs w:val="20"/>
                <w:color w:val="auto"/>
              </w:rPr>
            </w:pPr>
            <w:r>
              <w:rPr>
                <w:rFonts w:ascii="Arial" w:cs="Arial" w:eastAsia="Arial" w:hAnsi="Arial"/>
                <w:sz w:val="16"/>
                <w:szCs w:val="16"/>
                <w:color w:val="0000EE"/>
              </w:rPr>
              <w:t>Executive Summary</w:t>
            </w:r>
          </w:p>
        </w:tc>
        <w:tc>
          <w:tcPr>
            <w:tcW w:w="64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52</w:t>
            </w:r>
          </w:p>
        </w:tc>
      </w:tr>
      <w:tr>
        <w:trPr>
          <w:trHeight w:val="27"/>
        </w:trPr>
        <w:tc>
          <w:tcPr>
            <w:tcW w:w="20" w:type="dxa"/>
            <w:vAlign w:val="bottom"/>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62"/>
        </w:trPr>
        <w:tc>
          <w:tcPr>
            <w:tcW w:w="20" w:type="dxa"/>
            <w:vAlign w:val="bottom"/>
            <w:shd w:val="clear" w:color="auto" w:fill="EDEDED"/>
          </w:tcPr>
          <w:p>
            <w:pPr>
              <w:spacing w:after="0"/>
              <w:rPr>
                <w:sz w:val="14"/>
                <w:szCs w:val="14"/>
                <w:color w:val="auto"/>
              </w:rPr>
            </w:pPr>
          </w:p>
        </w:tc>
        <w:tc>
          <w:tcPr>
            <w:tcW w:w="140" w:type="dxa"/>
            <w:vAlign w:val="bottom"/>
            <w:shd w:val="clear" w:color="auto" w:fill="EDEDED"/>
          </w:tcPr>
          <w:p>
            <w:pPr>
              <w:spacing w:after="0"/>
              <w:rPr>
                <w:sz w:val="14"/>
                <w:szCs w:val="14"/>
                <w:color w:val="auto"/>
              </w:rPr>
            </w:pPr>
          </w:p>
        </w:tc>
        <w:tc>
          <w:tcPr>
            <w:tcW w:w="4480" w:type="dxa"/>
            <w:vAlign w:val="bottom"/>
            <w:gridSpan w:val="15"/>
            <w:shd w:val="clear" w:color="auto" w:fill="EDEDED"/>
          </w:tcPr>
          <w:p>
            <w:pPr>
              <w:spacing w:after="0" w:line="162" w:lineRule="exact"/>
              <w:rPr>
                <w:sz w:val="20"/>
                <w:szCs w:val="20"/>
                <w:color w:val="auto"/>
              </w:rPr>
            </w:pPr>
            <w:r>
              <w:rPr>
                <w:rFonts w:ascii="Arial" w:cs="Arial" w:eastAsia="Arial" w:hAnsi="Arial"/>
                <w:sz w:val="16"/>
                <w:szCs w:val="16"/>
                <w:i w:val="1"/>
                <w:iCs w:val="1"/>
                <w:color w:val="0000EE"/>
              </w:rPr>
              <w:t>Fiscal 2022 Performance</w:t>
            </w:r>
          </w:p>
        </w:tc>
        <w:tc>
          <w:tcPr>
            <w:tcW w:w="640" w:type="dxa"/>
            <w:vAlign w:val="bottom"/>
            <w:shd w:val="clear" w:color="auto" w:fill="EDEDED"/>
          </w:tcPr>
          <w:p>
            <w:pPr>
              <w:jc w:val="right"/>
              <w:ind w:right="119"/>
              <w:spacing w:after="0" w:line="162" w:lineRule="exact"/>
              <w:rPr>
                <w:sz w:val="20"/>
                <w:szCs w:val="20"/>
                <w:color w:val="auto"/>
              </w:rPr>
            </w:pPr>
            <w:r>
              <w:rPr>
                <w:rFonts w:ascii="Arial" w:cs="Arial" w:eastAsia="Arial" w:hAnsi="Arial"/>
                <w:sz w:val="16"/>
                <w:szCs w:val="16"/>
                <w:color w:val="auto"/>
              </w:rPr>
              <w:t>52</w:t>
            </w:r>
          </w:p>
        </w:tc>
      </w:tr>
      <w:tr>
        <w:trPr>
          <w:trHeight w:val="27"/>
        </w:trPr>
        <w:tc>
          <w:tcPr>
            <w:tcW w:w="20" w:type="dxa"/>
            <w:vAlign w:val="bottom"/>
            <w:shd w:val="clear" w:color="auto" w:fill="EDEDED"/>
          </w:tcPr>
          <w:p>
            <w:pPr>
              <w:spacing w:after="0"/>
              <w:rPr>
                <w:sz w:val="2"/>
                <w:szCs w:val="2"/>
                <w:color w:val="auto"/>
              </w:rPr>
            </w:pPr>
          </w:p>
        </w:tc>
        <w:tc>
          <w:tcPr>
            <w:tcW w:w="140" w:type="dxa"/>
            <w:vAlign w:val="bottom"/>
            <w:shd w:val="clear" w:color="auto" w:fill="EDEDED"/>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EDEDED"/>
          </w:tcPr>
          <w:p>
            <w:pPr>
              <w:spacing w:after="0"/>
              <w:rPr>
                <w:sz w:val="2"/>
                <w:szCs w:val="2"/>
                <w:color w:val="auto"/>
              </w:rPr>
            </w:pPr>
          </w:p>
        </w:tc>
        <w:tc>
          <w:tcPr>
            <w:tcW w:w="140" w:type="dxa"/>
            <w:vAlign w:val="bottom"/>
            <w:shd w:val="clear" w:color="auto" w:fill="EDEDED"/>
          </w:tcPr>
          <w:p>
            <w:pPr>
              <w:spacing w:after="0"/>
              <w:rPr>
                <w:sz w:val="2"/>
                <w:szCs w:val="2"/>
                <w:color w:val="auto"/>
              </w:rPr>
            </w:pPr>
          </w:p>
        </w:tc>
        <w:tc>
          <w:tcPr>
            <w:tcW w:w="80" w:type="dxa"/>
            <w:vAlign w:val="bottom"/>
            <w:shd w:val="clear" w:color="auto" w:fill="EDEDED"/>
          </w:tcPr>
          <w:p>
            <w:pPr>
              <w:spacing w:after="0"/>
              <w:rPr>
                <w:sz w:val="2"/>
                <w:szCs w:val="2"/>
                <w:color w:val="auto"/>
              </w:rPr>
            </w:pPr>
          </w:p>
        </w:tc>
        <w:tc>
          <w:tcPr>
            <w:tcW w:w="160" w:type="dxa"/>
            <w:vAlign w:val="bottom"/>
            <w:shd w:val="clear" w:color="auto" w:fill="EDEDED"/>
          </w:tcPr>
          <w:p>
            <w:pPr>
              <w:spacing w:after="0"/>
              <w:rPr>
                <w:sz w:val="2"/>
                <w:szCs w:val="2"/>
                <w:color w:val="auto"/>
              </w:rPr>
            </w:pPr>
          </w:p>
        </w:tc>
        <w:tc>
          <w:tcPr>
            <w:tcW w:w="640" w:type="dxa"/>
            <w:vAlign w:val="bottom"/>
            <w:shd w:val="clear" w:color="auto" w:fill="EDEDED"/>
          </w:tcPr>
          <w:p>
            <w:pPr>
              <w:spacing w:after="0"/>
              <w:rPr>
                <w:sz w:val="2"/>
                <w:szCs w:val="2"/>
                <w:color w:val="auto"/>
              </w:rPr>
            </w:pPr>
          </w:p>
        </w:tc>
        <w:tc>
          <w:tcPr>
            <w:tcW w:w="740" w:type="dxa"/>
            <w:vAlign w:val="bottom"/>
            <w:shd w:val="clear" w:color="auto" w:fill="EDEDED"/>
          </w:tcPr>
          <w:p>
            <w:pPr>
              <w:spacing w:after="0"/>
              <w:rPr>
                <w:sz w:val="2"/>
                <w:szCs w:val="2"/>
                <w:color w:val="auto"/>
              </w:rPr>
            </w:pPr>
          </w:p>
        </w:tc>
        <w:tc>
          <w:tcPr>
            <w:tcW w:w="80" w:type="dxa"/>
            <w:vAlign w:val="bottom"/>
            <w:shd w:val="clear" w:color="auto" w:fill="EDEDED"/>
          </w:tcPr>
          <w:p>
            <w:pPr>
              <w:spacing w:after="0"/>
              <w:rPr>
                <w:sz w:val="2"/>
                <w:szCs w:val="2"/>
                <w:color w:val="auto"/>
              </w:rPr>
            </w:pPr>
          </w:p>
        </w:tc>
        <w:tc>
          <w:tcPr>
            <w:tcW w:w="200" w:type="dxa"/>
            <w:vAlign w:val="bottom"/>
            <w:shd w:val="clear" w:color="auto" w:fill="EDEDED"/>
          </w:tcPr>
          <w:p>
            <w:pPr>
              <w:spacing w:after="0"/>
              <w:rPr>
                <w:sz w:val="2"/>
                <w:szCs w:val="2"/>
                <w:color w:val="auto"/>
              </w:rPr>
            </w:pPr>
          </w:p>
        </w:tc>
        <w:tc>
          <w:tcPr>
            <w:tcW w:w="280" w:type="dxa"/>
            <w:vAlign w:val="bottom"/>
            <w:shd w:val="clear" w:color="auto" w:fill="EDEDED"/>
          </w:tcPr>
          <w:p>
            <w:pPr>
              <w:spacing w:after="0"/>
              <w:rPr>
                <w:sz w:val="2"/>
                <w:szCs w:val="2"/>
                <w:color w:val="auto"/>
              </w:rPr>
            </w:pPr>
          </w:p>
        </w:tc>
        <w:tc>
          <w:tcPr>
            <w:tcW w:w="20" w:type="dxa"/>
            <w:vAlign w:val="bottom"/>
            <w:shd w:val="clear" w:color="auto" w:fill="EDEDED"/>
          </w:tcPr>
          <w:p>
            <w:pPr>
              <w:spacing w:after="0"/>
              <w:rPr>
                <w:sz w:val="2"/>
                <w:szCs w:val="2"/>
                <w:color w:val="auto"/>
              </w:rPr>
            </w:pPr>
          </w:p>
        </w:tc>
        <w:tc>
          <w:tcPr>
            <w:tcW w:w="240" w:type="dxa"/>
            <w:vAlign w:val="bottom"/>
            <w:shd w:val="clear" w:color="auto" w:fill="EDEDED"/>
          </w:tcPr>
          <w:p>
            <w:pPr>
              <w:spacing w:after="0"/>
              <w:rPr>
                <w:sz w:val="2"/>
                <w:szCs w:val="2"/>
                <w:color w:val="auto"/>
              </w:rPr>
            </w:pPr>
          </w:p>
        </w:tc>
        <w:tc>
          <w:tcPr>
            <w:tcW w:w="640" w:type="dxa"/>
            <w:vAlign w:val="bottom"/>
            <w:shd w:val="clear" w:color="auto" w:fill="EDEDED"/>
          </w:tcPr>
          <w:p>
            <w:pPr>
              <w:spacing w:after="0"/>
              <w:rPr>
                <w:sz w:val="2"/>
                <w:szCs w:val="2"/>
                <w:color w:val="auto"/>
              </w:rPr>
            </w:pPr>
          </w:p>
        </w:tc>
      </w:t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80" w:type="dxa"/>
            <w:vAlign w:val="bottom"/>
            <w:gridSpan w:val="15"/>
          </w:tcPr>
          <w:p>
            <w:pPr>
              <w:spacing w:after="0" w:line="162" w:lineRule="exact"/>
              <w:rPr>
                <w:sz w:val="20"/>
                <w:szCs w:val="20"/>
                <w:color w:val="auto"/>
              </w:rPr>
            </w:pPr>
            <w:r>
              <w:rPr>
                <w:rFonts w:ascii="Arial" w:cs="Arial" w:eastAsia="Arial" w:hAnsi="Arial"/>
                <w:sz w:val="16"/>
                <w:szCs w:val="16"/>
                <w:i w:val="1"/>
                <w:iCs w:val="1"/>
                <w:color w:val="0000EE"/>
              </w:rPr>
              <w:t>Key Executive Compensation Program Highlights for Fiscal</w:t>
            </w:r>
          </w:p>
        </w:tc>
        <w:tc>
          <w:tcPr>
            <w:tcW w:w="64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53</w:t>
            </w:r>
          </w:p>
        </w:tc>
      </w:tr>
      <w:tr>
        <w:trPr>
          <w:trHeight w:val="169"/>
        </w:trPr>
        <w:tc>
          <w:tcPr>
            <w:tcW w:w="160" w:type="dxa"/>
            <w:vAlign w:val="bottom"/>
            <w:gridSpan w:val="2"/>
          </w:tcPr>
          <w:p>
            <w:pPr>
              <w:spacing w:after="0"/>
              <w:rPr>
                <w:sz w:val="14"/>
                <w:szCs w:val="14"/>
                <w:color w:val="auto"/>
              </w:rPr>
            </w:pPr>
          </w:p>
        </w:tc>
        <w:tc>
          <w:tcPr>
            <w:tcW w:w="1280" w:type="dxa"/>
            <w:vAlign w:val="bottom"/>
            <w:tcBorders>
              <w:top w:val="single" w:sz="8" w:color="0000EE"/>
            </w:tcBorders>
            <w:gridSpan w:val="2"/>
          </w:tcPr>
          <w:p>
            <w:pPr>
              <w:spacing w:after="0" w:line="169" w:lineRule="exact"/>
              <w:rPr>
                <w:sz w:val="20"/>
                <w:szCs w:val="20"/>
                <w:color w:val="auto"/>
              </w:rPr>
            </w:pPr>
            <w:r>
              <w:rPr>
                <w:rFonts w:ascii="Arial" w:cs="Arial" w:eastAsia="Arial" w:hAnsi="Arial"/>
                <w:sz w:val="16"/>
                <w:szCs w:val="16"/>
                <w:i w:val="1"/>
                <w:iCs w:val="1"/>
                <w:color w:val="0000EE"/>
              </w:rPr>
              <w:t>2022</w:t>
            </w:r>
          </w:p>
        </w:tc>
        <w:tc>
          <w:tcPr>
            <w:tcW w:w="36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64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69"/>
        </w:trPr>
        <w:tc>
          <w:tcPr>
            <w:tcW w:w="20" w:type="dxa"/>
            <w:vAlign w:val="bottom"/>
            <w:tcBorders>
              <w:bottom w:val="single" w:sz="8" w:color="EDEDED"/>
            </w:tcBorders>
            <w:shd w:val="clear" w:color="auto" w:fill="EDEDED"/>
          </w:tcPr>
          <w:p>
            <w:pPr>
              <w:spacing w:after="0"/>
              <w:rPr>
                <w:sz w:val="14"/>
                <w:szCs w:val="14"/>
                <w:color w:val="auto"/>
              </w:rPr>
            </w:pPr>
          </w:p>
        </w:tc>
        <w:tc>
          <w:tcPr>
            <w:tcW w:w="140" w:type="dxa"/>
            <w:vAlign w:val="bottom"/>
            <w:tcBorders>
              <w:bottom w:val="single" w:sz="8" w:color="EDEDED"/>
            </w:tcBorders>
            <w:shd w:val="clear" w:color="auto" w:fill="EDEDED"/>
          </w:tcPr>
          <w:p>
            <w:pPr>
              <w:spacing w:after="0"/>
              <w:rPr>
                <w:sz w:val="14"/>
                <w:szCs w:val="14"/>
                <w:color w:val="auto"/>
              </w:rPr>
            </w:pPr>
          </w:p>
        </w:tc>
        <w:tc>
          <w:tcPr>
            <w:tcW w:w="1800" w:type="dxa"/>
            <w:vAlign w:val="bottom"/>
            <w:tcBorders>
              <w:bottom w:val="single" w:sz="8" w:color="0000EE"/>
              <w:right w:val="single" w:sz="8" w:color="EDEDED"/>
            </w:tcBorders>
            <w:gridSpan w:val="4"/>
            <w:shd w:val="clear" w:color="auto" w:fill="EDEDED"/>
          </w:tcPr>
          <w:p>
            <w:pPr>
              <w:spacing w:after="0" w:line="162" w:lineRule="exact"/>
              <w:rPr>
                <w:sz w:val="20"/>
                <w:szCs w:val="20"/>
                <w:color w:val="auto"/>
              </w:rPr>
            </w:pPr>
            <w:r>
              <w:rPr>
                <w:rFonts w:ascii="Arial" w:cs="Arial" w:eastAsia="Arial" w:hAnsi="Arial"/>
                <w:sz w:val="16"/>
                <w:szCs w:val="16"/>
                <w:i w:val="1"/>
                <w:iCs w:val="1"/>
                <w:color w:val="0000EE"/>
              </w:rPr>
              <w:t>Annual Say on Pay Vote</w:t>
            </w:r>
          </w:p>
        </w:tc>
        <w:tc>
          <w:tcPr>
            <w:tcW w:w="2680" w:type="dxa"/>
            <w:vAlign w:val="bottom"/>
            <w:tcBorders>
              <w:bottom w:val="single" w:sz="8" w:color="EDEDED"/>
            </w:tcBorders>
            <w:gridSpan w:val="11"/>
            <w:shd w:val="clear" w:color="auto" w:fill="EDEDED"/>
          </w:tcPr>
          <w:p>
            <w:pPr>
              <w:spacing w:after="0"/>
              <w:rPr>
                <w:sz w:val="14"/>
                <w:szCs w:val="14"/>
                <w:color w:val="auto"/>
              </w:rPr>
            </w:pPr>
          </w:p>
        </w:tc>
        <w:tc>
          <w:tcPr>
            <w:tcW w:w="640" w:type="dxa"/>
            <w:vAlign w:val="bottom"/>
            <w:tcBorders>
              <w:bottom w:val="single" w:sz="8" w:color="EDEDED"/>
            </w:tcBorders>
            <w:shd w:val="clear" w:color="auto" w:fill="EDEDED"/>
          </w:tcPr>
          <w:p>
            <w:pPr>
              <w:jc w:val="right"/>
              <w:ind w:right="119"/>
              <w:spacing w:after="0" w:line="162" w:lineRule="exact"/>
              <w:rPr>
                <w:sz w:val="20"/>
                <w:szCs w:val="20"/>
                <w:color w:val="auto"/>
              </w:rPr>
            </w:pPr>
            <w:r>
              <w:rPr>
                <w:rFonts w:ascii="Arial" w:cs="Arial" w:eastAsia="Arial" w:hAnsi="Arial"/>
                <w:sz w:val="16"/>
                <w:szCs w:val="16"/>
                <w:color w:val="auto"/>
              </w:rPr>
              <w:t>54</w:t>
            </w:r>
          </w:p>
        </w:tc>
      </w:tr>
      <w:tr>
        <w:trPr>
          <w:trHeight w:val="169"/>
        </w:trPr>
        <w:tc>
          <w:tcPr>
            <w:tcW w:w="4640" w:type="dxa"/>
            <w:vAlign w:val="bottom"/>
            <w:gridSpan w:val="17"/>
          </w:tcPr>
          <w:p>
            <w:pPr>
              <w:spacing w:after="0" w:line="162" w:lineRule="exact"/>
              <w:rPr>
                <w:sz w:val="20"/>
                <w:szCs w:val="20"/>
                <w:color w:val="auto"/>
              </w:rPr>
            </w:pPr>
            <w:r>
              <w:rPr>
                <w:rFonts w:ascii="Arial" w:cs="Arial" w:eastAsia="Arial" w:hAnsi="Arial"/>
                <w:sz w:val="16"/>
                <w:szCs w:val="16"/>
                <w:color w:val="0000EE"/>
              </w:rPr>
              <w:t>Executive Compensation Philosophy, Objectives, and Design</w:t>
            </w:r>
          </w:p>
        </w:tc>
        <w:tc>
          <w:tcPr>
            <w:tcW w:w="640" w:type="dxa"/>
            <w:vAlign w:val="bottom"/>
          </w:tcPr>
          <w:p>
            <w:pPr>
              <w:jc w:val="right"/>
              <w:ind w:right="119"/>
              <w:spacing w:after="0" w:line="162" w:lineRule="exact"/>
              <w:rPr>
                <w:sz w:val="20"/>
                <w:szCs w:val="20"/>
                <w:color w:val="auto"/>
              </w:rPr>
            </w:pPr>
            <w:r>
              <w:rPr>
                <w:rFonts w:ascii="Arial" w:cs="Arial" w:eastAsia="Arial" w:hAnsi="Arial"/>
                <w:sz w:val="16"/>
                <w:szCs w:val="16"/>
                <w:color w:val="auto"/>
              </w:rPr>
              <w:t>56</w:t>
            </w:r>
          </w:p>
        </w:tc>
      </w:tr>
      <w:tr>
        <w:trPr>
          <w:trHeight w:val="169"/>
        </w:trPr>
        <w:tc>
          <w:tcPr>
            <w:tcW w:w="20" w:type="dxa"/>
            <w:vAlign w:val="bottom"/>
            <w:tcBorders>
              <w:bottom w:val="single" w:sz="8" w:color="EDEDED"/>
            </w:tcBorders>
            <w:shd w:val="clear" w:color="auto" w:fill="EDEDED"/>
          </w:tcPr>
          <w:p>
            <w:pPr>
              <w:spacing w:after="0"/>
              <w:rPr>
                <w:sz w:val="14"/>
                <w:szCs w:val="14"/>
                <w:color w:val="auto"/>
              </w:rPr>
            </w:pPr>
          </w:p>
        </w:tc>
        <w:tc>
          <w:tcPr>
            <w:tcW w:w="140" w:type="dxa"/>
            <w:vAlign w:val="bottom"/>
            <w:tcBorders>
              <w:top w:val="single" w:sz="8" w:color="0000EE"/>
              <w:bottom w:val="single" w:sz="8" w:color="EDEDED"/>
            </w:tcBorders>
            <w:shd w:val="clear" w:color="auto" w:fill="EDEDED"/>
          </w:tcPr>
          <w:p>
            <w:pPr>
              <w:spacing w:after="0"/>
              <w:rPr>
                <w:sz w:val="14"/>
                <w:szCs w:val="14"/>
                <w:color w:val="auto"/>
              </w:rPr>
            </w:pPr>
          </w:p>
        </w:tc>
        <w:tc>
          <w:tcPr>
            <w:tcW w:w="3660" w:type="dxa"/>
            <w:vAlign w:val="bottom"/>
            <w:tcBorders>
              <w:top w:val="single" w:sz="8" w:color="0000EE"/>
              <w:bottom w:val="single" w:sz="8" w:color="0000EE"/>
            </w:tcBorders>
            <w:gridSpan w:val="10"/>
            <w:shd w:val="clear" w:color="auto" w:fill="EDEDED"/>
          </w:tcPr>
          <w:p>
            <w:pPr>
              <w:spacing w:after="0" w:line="162" w:lineRule="exact"/>
              <w:rPr>
                <w:sz w:val="20"/>
                <w:szCs w:val="20"/>
                <w:color w:val="auto"/>
              </w:rPr>
            </w:pPr>
            <w:r>
              <w:rPr>
                <w:rFonts w:ascii="Arial" w:cs="Arial" w:eastAsia="Arial" w:hAnsi="Arial"/>
                <w:sz w:val="16"/>
                <w:szCs w:val="16"/>
                <w:i w:val="1"/>
                <w:iCs w:val="1"/>
                <w:color w:val="0000EE"/>
              </w:rPr>
              <w:t>CEO and Other Named Executive Officers Pay Mix</w:t>
            </w:r>
          </w:p>
        </w:tc>
        <w:tc>
          <w:tcPr>
            <w:tcW w:w="560" w:type="dxa"/>
            <w:vAlign w:val="bottom"/>
            <w:tcBorders>
              <w:top w:val="single" w:sz="8" w:color="0000EE"/>
              <w:bottom w:val="single" w:sz="8" w:color="EDEDED"/>
            </w:tcBorders>
            <w:gridSpan w:val="3"/>
            <w:shd w:val="clear" w:color="auto" w:fill="EDEDED"/>
          </w:tcPr>
          <w:p>
            <w:pPr>
              <w:spacing w:after="0"/>
              <w:rPr>
                <w:sz w:val="14"/>
                <w:szCs w:val="14"/>
                <w:color w:val="auto"/>
              </w:rPr>
            </w:pPr>
          </w:p>
        </w:tc>
        <w:tc>
          <w:tcPr>
            <w:tcW w:w="260" w:type="dxa"/>
            <w:vAlign w:val="bottom"/>
            <w:tcBorders>
              <w:bottom w:val="single" w:sz="8" w:color="EDEDED"/>
            </w:tcBorders>
            <w:gridSpan w:val="2"/>
            <w:shd w:val="clear" w:color="auto" w:fill="EDEDED"/>
          </w:tcPr>
          <w:p>
            <w:pPr>
              <w:spacing w:after="0"/>
              <w:rPr>
                <w:sz w:val="14"/>
                <w:szCs w:val="14"/>
                <w:color w:val="auto"/>
              </w:rPr>
            </w:pPr>
          </w:p>
        </w:tc>
        <w:tc>
          <w:tcPr>
            <w:tcW w:w="640" w:type="dxa"/>
            <w:vAlign w:val="bottom"/>
            <w:tcBorders>
              <w:bottom w:val="single" w:sz="8" w:color="EDEDED"/>
            </w:tcBorders>
            <w:shd w:val="clear" w:color="auto" w:fill="EDEDED"/>
          </w:tcPr>
          <w:p>
            <w:pPr>
              <w:jc w:val="right"/>
              <w:ind w:right="119"/>
              <w:spacing w:after="0" w:line="162" w:lineRule="exact"/>
              <w:rPr>
                <w:sz w:val="20"/>
                <w:szCs w:val="20"/>
                <w:color w:val="auto"/>
              </w:rPr>
            </w:pPr>
            <w:r>
              <w:rPr>
                <w:rFonts w:ascii="Arial" w:cs="Arial" w:eastAsia="Arial" w:hAnsi="Arial"/>
                <w:sz w:val="16"/>
                <w:szCs w:val="16"/>
                <w:color w:val="auto"/>
              </w:rPr>
              <w:t>56</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580" w:type="dxa"/>
            <w:vAlign w:val="bottom"/>
            <w:gridSpan w:val="39"/>
          </w:tcPr>
          <w:p>
            <w:pPr>
              <w:spacing w:after="0"/>
              <w:rPr>
                <w:sz w:val="20"/>
                <w:szCs w:val="20"/>
                <w:color w:val="auto"/>
              </w:rPr>
            </w:pPr>
            <w:r>
              <w:rPr>
                <w:rFonts w:ascii="Arial" w:cs="Arial" w:eastAsia="Arial" w:hAnsi="Arial"/>
                <w:sz w:val="16"/>
                <w:szCs w:val="16"/>
                <w:i w:val="1"/>
                <w:iCs w:val="1"/>
                <w:color w:val="0000EE"/>
              </w:rPr>
              <w:t>Elements of Compensation for Named Executive Officers</w:t>
            </w: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Borders>
              <w:bottom w:val="single" w:sz="8" w:color="EDEDED"/>
            </w:tcBorders>
            <w:shd w:val="clear" w:color="auto" w:fill="EDEDED"/>
          </w:tcPr>
          <w:p>
            <w:pPr>
              <w:spacing w:after="0"/>
              <w:rPr>
                <w:sz w:val="15"/>
                <w:szCs w:val="15"/>
                <w:color w:val="auto"/>
              </w:rPr>
            </w:pPr>
          </w:p>
        </w:tc>
        <w:tc>
          <w:tcPr>
            <w:tcW w:w="2260" w:type="dxa"/>
            <w:vAlign w:val="bottom"/>
            <w:tcBorders>
              <w:bottom w:val="single" w:sz="8" w:color="0000EE"/>
            </w:tcBorders>
            <w:gridSpan w:val="13"/>
            <w:shd w:val="clear" w:color="auto" w:fill="EDEDED"/>
          </w:tcPr>
          <w:p>
            <w:pPr>
              <w:spacing w:after="0" w:line="162" w:lineRule="exact"/>
              <w:rPr>
                <w:sz w:val="20"/>
                <w:szCs w:val="20"/>
                <w:color w:val="auto"/>
              </w:rPr>
            </w:pPr>
            <w:r>
              <w:rPr>
                <w:rFonts w:ascii="Arial" w:cs="Arial" w:eastAsia="Arial" w:hAnsi="Arial"/>
                <w:sz w:val="16"/>
                <w:szCs w:val="16"/>
                <w:i w:val="1"/>
                <w:iCs w:val="1"/>
                <w:color w:val="0000EE"/>
              </w:rPr>
              <w:t>2023 Executive Incentive Plans</w:t>
            </w:r>
          </w:p>
        </w:tc>
        <w:tc>
          <w:tcPr>
            <w:tcW w:w="2320" w:type="dxa"/>
            <w:vAlign w:val="bottom"/>
            <w:tcBorders>
              <w:bottom w:val="single" w:sz="8" w:color="EDEDED"/>
            </w:tcBorders>
            <w:gridSpan w:val="26"/>
            <w:shd w:val="clear" w:color="auto" w:fill="EDEDED"/>
          </w:tcPr>
          <w:p>
            <w:pPr>
              <w:spacing w:after="0"/>
              <w:rPr>
                <w:sz w:val="15"/>
                <w:szCs w:val="15"/>
                <w:color w:val="auto"/>
              </w:rPr>
            </w:pPr>
          </w:p>
        </w:tc>
        <w:tc>
          <w:tcPr>
            <w:tcW w:w="660" w:type="dxa"/>
            <w:vAlign w:val="bottom"/>
            <w:tcBorders>
              <w:bottom w:val="single" w:sz="8" w:color="EDEDED"/>
            </w:tcBorders>
            <w:shd w:val="clear" w:color="auto" w:fill="EDEDED"/>
          </w:tcPr>
          <w:p>
            <w:pPr>
              <w:jc w:val="right"/>
              <w:ind w:right="139"/>
              <w:spacing w:after="0" w:line="162" w:lineRule="exact"/>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gridSpan w:val="40"/>
          </w:tcPr>
          <w:p>
            <w:pPr>
              <w:spacing w:after="0" w:line="162" w:lineRule="exact"/>
              <w:rPr>
                <w:sz w:val="20"/>
                <w:szCs w:val="20"/>
                <w:color w:val="auto"/>
              </w:rPr>
            </w:pPr>
            <w:r>
              <w:rPr>
                <w:rFonts w:ascii="Arial" w:cs="Arial" w:eastAsia="Arial" w:hAnsi="Arial"/>
                <w:sz w:val="16"/>
                <w:szCs w:val="16"/>
                <w:color w:val="0000EE"/>
              </w:rPr>
              <w:t>Process for Determining Executive Compensation</w:t>
            </w:r>
          </w:p>
        </w:tc>
        <w:tc>
          <w:tcPr>
            <w:tcW w:w="660" w:type="dxa"/>
            <w:vAlign w:val="bottom"/>
          </w:tcPr>
          <w:p>
            <w:pPr>
              <w:jc w:val="right"/>
              <w:ind w:right="139"/>
              <w:spacing w:after="0" w:line="162" w:lineRule="exact"/>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shd w:val="clear" w:color="auto" w:fill="EDEDED"/>
          </w:tcPr>
          <w:p>
            <w:pPr>
              <w:spacing w:after="0"/>
              <w:rPr>
                <w:sz w:val="15"/>
                <w:szCs w:val="15"/>
                <w:color w:val="auto"/>
              </w:rPr>
            </w:pPr>
          </w:p>
        </w:tc>
        <w:tc>
          <w:tcPr>
            <w:tcW w:w="4580" w:type="dxa"/>
            <w:vAlign w:val="bottom"/>
            <w:gridSpan w:val="39"/>
            <w:shd w:val="clear" w:color="auto" w:fill="EDEDED"/>
          </w:tcPr>
          <w:p>
            <w:pPr>
              <w:spacing w:after="0" w:line="162" w:lineRule="exact"/>
              <w:rPr>
                <w:sz w:val="20"/>
                <w:szCs w:val="20"/>
                <w:color w:val="auto"/>
              </w:rPr>
            </w:pPr>
            <w:r>
              <w:rPr>
                <w:rFonts w:ascii="Arial" w:cs="Arial" w:eastAsia="Arial" w:hAnsi="Arial"/>
                <w:sz w:val="16"/>
                <w:szCs w:val="16"/>
                <w:i w:val="1"/>
                <w:iCs w:val="1"/>
                <w:color w:val="0000EE"/>
              </w:rPr>
              <w:t>Role of the Compensation and Talent Management Committee</w:t>
            </w:r>
          </w:p>
        </w:tc>
        <w:tc>
          <w:tcPr>
            <w:tcW w:w="660" w:type="dxa"/>
            <w:vAlign w:val="bottom"/>
            <w:shd w:val="clear" w:color="auto" w:fill="EDEDED"/>
          </w:tcPr>
          <w:p>
            <w:pPr>
              <w:jc w:val="right"/>
              <w:ind w:right="139"/>
              <w:spacing w:after="0" w:line="162" w:lineRule="exact"/>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tcBorders>
              <w:top w:val="single" w:sz="8" w:color="EDEDED"/>
            </w:tcBorders>
          </w:tcPr>
          <w:p>
            <w:pPr>
              <w:spacing w:after="0"/>
              <w:rPr>
                <w:sz w:val="14"/>
                <w:szCs w:val="14"/>
                <w:color w:val="auto"/>
              </w:rPr>
            </w:pPr>
          </w:p>
        </w:tc>
        <w:tc>
          <w:tcPr>
            <w:tcW w:w="4480" w:type="dxa"/>
            <w:vAlign w:val="bottom"/>
            <w:tcBorders>
              <w:top w:val="single" w:sz="8" w:color="0000EE"/>
            </w:tcBorders>
            <w:gridSpan w:val="37"/>
          </w:tcPr>
          <w:p>
            <w:pPr>
              <w:spacing w:after="0" w:line="162" w:lineRule="exact"/>
              <w:rPr>
                <w:sz w:val="20"/>
                <w:szCs w:val="20"/>
                <w:color w:val="auto"/>
              </w:rPr>
            </w:pPr>
            <w:r>
              <w:rPr>
                <w:rFonts w:ascii="Arial" w:cs="Arial" w:eastAsia="Arial" w:hAnsi="Arial"/>
                <w:sz w:val="16"/>
                <w:szCs w:val="16"/>
                <w:i w:val="1"/>
                <w:iCs w:val="1"/>
                <w:color w:val="0000EE"/>
              </w:rPr>
              <w:t>Role of the Independent Compensation Consultant</w:t>
            </w:r>
          </w:p>
        </w:tc>
        <w:tc>
          <w:tcPr>
            <w:tcW w:w="100" w:type="dxa"/>
            <w:vAlign w:val="bottom"/>
            <w:tcBorders>
              <w:top w:val="single" w:sz="8" w:color="EDEDED"/>
            </w:tcBorders>
            <w:gridSpan w:val="2"/>
          </w:tcPr>
          <w:p>
            <w:pPr>
              <w:spacing w:after="0"/>
              <w:rPr>
                <w:sz w:val="14"/>
                <w:szCs w:val="14"/>
                <w:color w:val="auto"/>
              </w:rPr>
            </w:pPr>
          </w:p>
        </w:tc>
        <w:tc>
          <w:tcPr>
            <w:tcW w:w="660" w:type="dxa"/>
            <w:vAlign w:val="bottom"/>
            <w:tcBorders>
              <w:top w:val="single" w:sz="8" w:color="EDEDED"/>
            </w:tcBorders>
          </w:tcPr>
          <w:p>
            <w:pPr>
              <w:jc w:val="right"/>
              <w:ind w:right="139"/>
              <w:spacing w:after="0" w:line="162" w:lineRule="exact"/>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shd w:val="clear" w:color="auto" w:fill="EDEDED"/>
          </w:tcPr>
          <w:p>
            <w:pPr>
              <w:spacing w:after="0"/>
              <w:rPr>
                <w:sz w:val="15"/>
                <w:szCs w:val="15"/>
                <w:color w:val="auto"/>
              </w:rPr>
            </w:pPr>
          </w:p>
        </w:tc>
        <w:tc>
          <w:tcPr>
            <w:tcW w:w="4580" w:type="dxa"/>
            <w:vAlign w:val="bottom"/>
            <w:gridSpan w:val="39"/>
            <w:shd w:val="clear" w:color="auto" w:fill="EDEDED"/>
          </w:tcPr>
          <w:p>
            <w:pPr>
              <w:spacing w:after="0" w:line="162" w:lineRule="exact"/>
              <w:rPr>
                <w:sz w:val="20"/>
                <w:szCs w:val="20"/>
                <w:color w:val="auto"/>
              </w:rPr>
            </w:pPr>
            <w:r>
              <w:rPr>
                <w:rFonts w:ascii="Arial" w:cs="Arial" w:eastAsia="Arial" w:hAnsi="Arial"/>
                <w:sz w:val="16"/>
                <w:szCs w:val="16"/>
                <w:i w:val="1"/>
                <w:iCs w:val="1"/>
                <w:color w:val="0000EE"/>
              </w:rPr>
              <w:t>Role of Management</w:t>
            </w:r>
          </w:p>
        </w:tc>
        <w:tc>
          <w:tcPr>
            <w:tcW w:w="660" w:type="dxa"/>
            <w:vAlign w:val="bottom"/>
            <w:shd w:val="clear" w:color="auto" w:fill="EDEDED"/>
          </w:tcPr>
          <w:p>
            <w:pPr>
              <w:jc w:val="right"/>
              <w:ind w:right="139"/>
              <w:spacing w:after="0" w:line="162" w:lineRule="exact"/>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tcBorders>
              <w:top w:val="single" w:sz="8" w:color="EDEDED"/>
            </w:tcBorders>
          </w:tcPr>
          <w:p>
            <w:pPr>
              <w:spacing w:after="0"/>
              <w:rPr>
                <w:sz w:val="14"/>
                <w:szCs w:val="14"/>
                <w:color w:val="auto"/>
              </w:rPr>
            </w:pPr>
          </w:p>
        </w:tc>
        <w:tc>
          <w:tcPr>
            <w:tcW w:w="1500" w:type="dxa"/>
            <w:vAlign w:val="bottom"/>
            <w:tcBorders>
              <w:top w:val="single" w:sz="8" w:color="0000EE"/>
            </w:tcBorders>
            <w:gridSpan w:val="8"/>
          </w:tcPr>
          <w:p>
            <w:pPr>
              <w:spacing w:after="0" w:line="162" w:lineRule="exact"/>
              <w:rPr>
                <w:sz w:val="20"/>
                <w:szCs w:val="20"/>
                <w:color w:val="auto"/>
              </w:rPr>
            </w:pPr>
            <w:r>
              <w:rPr>
                <w:rFonts w:ascii="Arial" w:cs="Arial" w:eastAsia="Arial" w:hAnsi="Arial"/>
                <w:sz w:val="16"/>
                <w:szCs w:val="16"/>
                <w:i w:val="1"/>
                <w:iCs w:val="1"/>
                <w:color w:val="0000EE"/>
              </w:rPr>
              <w:t>Comparator Data</w:t>
            </w:r>
          </w:p>
        </w:tc>
        <w:tc>
          <w:tcPr>
            <w:tcW w:w="3080" w:type="dxa"/>
            <w:vAlign w:val="bottom"/>
            <w:tcBorders>
              <w:top w:val="single" w:sz="8" w:color="EDEDED"/>
            </w:tcBorders>
            <w:gridSpan w:val="31"/>
          </w:tcPr>
          <w:p>
            <w:pPr>
              <w:spacing w:after="0"/>
              <w:rPr>
                <w:sz w:val="14"/>
                <w:szCs w:val="14"/>
                <w:color w:val="auto"/>
              </w:rPr>
            </w:pPr>
          </w:p>
        </w:tc>
        <w:tc>
          <w:tcPr>
            <w:tcW w:w="660" w:type="dxa"/>
            <w:vAlign w:val="bottom"/>
            <w:tcBorders>
              <w:top w:val="single" w:sz="8" w:color="EDEDED"/>
            </w:tcBorders>
          </w:tcPr>
          <w:p>
            <w:pPr>
              <w:jc w:val="right"/>
              <w:ind w:right="139"/>
              <w:spacing w:after="0" w:line="162" w:lineRule="exact"/>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shd w:val="clear" w:color="auto" w:fill="EDEDED"/>
          </w:tcPr>
          <w:p>
            <w:pPr>
              <w:spacing w:after="0"/>
              <w:rPr>
                <w:sz w:val="14"/>
                <w:szCs w:val="14"/>
                <w:color w:val="auto"/>
              </w:rPr>
            </w:pPr>
          </w:p>
        </w:tc>
        <w:tc>
          <w:tcPr>
            <w:tcW w:w="4580" w:type="dxa"/>
            <w:vAlign w:val="bottom"/>
            <w:gridSpan w:val="39"/>
            <w:shd w:val="clear" w:color="auto" w:fill="EDEDED"/>
          </w:tcPr>
          <w:p>
            <w:pPr>
              <w:spacing w:after="0" w:line="162" w:lineRule="exact"/>
              <w:rPr>
                <w:sz w:val="20"/>
                <w:szCs w:val="20"/>
                <w:color w:val="auto"/>
              </w:rPr>
            </w:pPr>
            <w:r>
              <w:rPr>
                <w:rFonts w:ascii="Arial" w:cs="Arial" w:eastAsia="Arial" w:hAnsi="Arial"/>
                <w:sz w:val="16"/>
                <w:szCs w:val="16"/>
                <w:i w:val="1"/>
                <w:iCs w:val="1"/>
                <w:color w:val="0000EE"/>
              </w:rPr>
              <w:t>Senior Officer Performance Reviews and Succession Planning</w:t>
            </w:r>
          </w:p>
        </w:tc>
        <w:tc>
          <w:tcPr>
            <w:tcW w:w="660" w:type="dxa"/>
            <w:vAlign w:val="bottom"/>
            <w:shd w:val="clear" w:color="auto" w:fill="EDEDED"/>
          </w:tcPr>
          <w:p>
            <w:pPr>
              <w:jc w:val="right"/>
              <w:ind w:right="139"/>
              <w:spacing w:after="0" w:line="162" w:lineRule="exact"/>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 w:type="dxa"/>
            <w:vAlign w:val="bottom"/>
            <w:tcBorders>
              <w:top w:val="single" w:sz="8" w:color="EDEDED"/>
            </w:tcBorders>
            <w:shd w:val="clear" w:color="auto" w:fill="EDEDED"/>
          </w:tcPr>
          <w:p>
            <w:pPr>
              <w:spacing w:after="0" w:line="20" w:lineRule="exact"/>
              <w:rPr>
                <w:sz w:val="1"/>
                <w:szCs w:val="1"/>
                <w:color w:val="auto"/>
              </w:rPr>
            </w:pPr>
          </w:p>
        </w:tc>
        <w:tc>
          <w:tcPr>
            <w:tcW w:w="800" w:type="dxa"/>
            <w:vAlign w:val="bottom"/>
            <w:tcBorders>
              <w:top w:val="single" w:sz="8" w:color="0000EE"/>
            </w:tcBorders>
            <w:shd w:val="clear" w:color="auto" w:fill="EDEDED"/>
          </w:tcPr>
          <w:p>
            <w:pPr>
              <w:spacing w:after="0" w:line="20" w:lineRule="exact"/>
              <w:rPr>
                <w:sz w:val="1"/>
                <w:szCs w:val="1"/>
                <w:color w:val="auto"/>
              </w:rPr>
            </w:pPr>
          </w:p>
        </w:tc>
        <w:tc>
          <w:tcPr>
            <w:tcW w:w="80" w:type="dxa"/>
            <w:vAlign w:val="bottom"/>
            <w:tcBorders>
              <w:top w:val="single" w:sz="8" w:color="0000EE"/>
            </w:tcBorders>
            <w:shd w:val="clear" w:color="auto" w:fill="EDEDED"/>
          </w:tcPr>
          <w:p>
            <w:pPr>
              <w:spacing w:after="0" w:line="20" w:lineRule="exact"/>
              <w:rPr>
                <w:sz w:val="1"/>
                <w:szCs w:val="1"/>
                <w:color w:val="auto"/>
              </w:rPr>
            </w:pPr>
          </w:p>
        </w:tc>
        <w:tc>
          <w:tcPr>
            <w:tcW w:w="100" w:type="dxa"/>
            <w:vAlign w:val="bottom"/>
            <w:tcBorders>
              <w:top w:val="single" w:sz="8" w:color="0000EE"/>
            </w:tcBorders>
            <w:shd w:val="clear" w:color="auto" w:fill="EDEDED"/>
          </w:tcPr>
          <w:p>
            <w:pPr>
              <w:spacing w:after="0" w:line="20" w:lineRule="exact"/>
              <w:rPr>
                <w:sz w:val="1"/>
                <w:szCs w:val="1"/>
                <w:color w:val="auto"/>
              </w:rPr>
            </w:pPr>
          </w:p>
        </w:tc>
        <w:tc>
          <w:tcPr>
            <w:tcW w:w="60" w:type="dxa"/>
            <w:vAlign w:val="bottom"/>
            <w:tcBorders>
              <w:top w:val="single" w:sz="8" w:color="0000EE"/>
            </w:tcBorders>
            <w:shd w:val="clear" w:color="auto" w:fill="EDEDED"/>
          </w:tcPr>
          <w:p>
            <w:pPr>
              <w:spacing w:after="0" w:line="20" w:lineRule="exact"/>
              <w:rPr>
                <w:sz w:val="1"/>
                <w:szCs w:val="1"/>
                <w:color w:val="auto"/>
              </w:rPr>
            </w:pPr>
          </w:p>
        </w:tc>
        <w:tc>
          <w:tcPr>
            <w:tcW w:w="200" w:type="dxa"/>
            <w:vAlign w:val="bottom"/>
            <w:tcBorders>
              <w:top w:val="single" w:sz="8" w:color="0000EE"/>
            </w:tcBorders>
            <w:shd w:val="clear" w:color="auto" w:fill="EDEDED"/>
          </w:tcPr>
          <w:p>
            <w:pPr>
              <w:spacing w:after="0" w:line="20" w:lineRule="exact"/>
              <w:rPr>
                <w:sz w:val="1"/>
                <w:szCs w:val="1"/>
                <w:color w:val="auto"/>
              </w:rPr>
            </w:pPr>
          </w:p>
        </w:tc>
        <w:tc>
          <w:tcPr>
            <w:tcW w:w="180" w:type="dxa"/>
            <w:vAlign w:val="bottom"/>
            <w:tcBorders>
              <w:top w:val="single" w:sz="8" w:color="0000EE"/>
            </w:tcBorders>
            <w:shd w:val="clear" w:color="auto" w:fill="EDEDED"/>
          </w:tcPr>
          <w:p>
            <w:pPr>
              <w:spacing w:after="0" w:line="20" w:lineRule="exact"/>
              <w:rPr>
                <w:sz w:val="1"/>
                <w:szCs w:val="1"/>
                <w:color w:val="auto"/>
              </w:rPr>
            </w:pPr>
          </w:p>
        </w:tc>
        <w:tc>
          <w:tcPr>
            <w:tcW w:w="20" w:type="dxa"/>
            <w:vAlign w:val="bottom"/>
            <w:tcBorders>
              <w:top w:val="single" w:sz="8" w:color="0000EE"/>
            </w:tcBorders>
            <w:shd w:val="clear" w:color="auto" w:fill="EDEDED"/>
          </w:tcPr>
          <w:p>
            <w:pPr>
              <w:spacing w:after="0" w:line="20" w:lineRule="exact"/>
              <w:rPr>
                <w:sz w:val="1"/>
                <w:szCs w:val="1"/>
                <w:color w:val="auto"/>
              </w:rPr>
            </w:pPr>
          </w:p>
        </w:tc>
        <w:tc>
          <w:tcPr>
            <w:tcW w:w="60" w:type="dxa"/>
            <w:vAlign w:val="bottom"/>
            <w:tcBorders>
              <w:top w:val="single" w:sz="8" w:color="0000EE"/>
            </w:tcBorders>
            <w:shd w:val="clear" w:color="auto" w:fill="EDEDED"/>
          </w:tcPr>
          <w:p>
            <w:pPr>
              <w:spacing w:after="0" w:line="20" w:lineRule="exact"/>
              <w:rPr>
                <w:sz w:val="1"/>
                <w:szCs w:val="1"/>
                <w:color w:val="auto"/>
              </w:rPr>
            </w:pPr>
          </w:p>
        </w:tc>
        <w:tc>
          <w:tcPr>
            <w:tcW w:w="60" w:type="dxa"/>
            <w:vAlign w:val="bottom"/>
            <w:tcBorders>
              <w:top w:val="single" w:sz="8" w:color="0000EE"/>
            </w:tcBorders>
            <w:shd w:val="clear" w:color="auto" w:fill="EDEDED"/>
          </w:tcPr>
          <w:p>
            <w:pPr>
              <w:spacing w:after="0" w:line="20" w:lineRule="exact"/>
              <w:rPr>
                <w:sz w:val="1"/>
                <w:szCs w:val="1"/>
                <w:color w:val="auto"/>
              </w:rPr>
            </w:pPr>
          </w:p>
        </w:tc>
        <w:tc>
          <w:tcPr>
            <w:tcW w:w="60" w:type="dxa"/>
            <w:vAlign w:val="bottom"/>
            <w:tcBorders>
              <w:top w:val="single" w:sz="8" w:color="0000EE"/>
            </w:tcBorders>
            <w:shd w:val="clear" w:color="auto" w:fill="EDEDED"/>
          </w:tcPr>
          <w:p>
            <w:pPr>
              <w:spacing w:after="0" w:line="20" w:lineRule="exact"/>
              <w:rPr>
                <w:sz w:val="1"/>
                <w:szCs w:val="1"/>
                <w:color w:val="auto"/>
              </w:rPr>
            </w:pPr>
          </w:p>
        </w:tc>
        <w:tc>
          <w:tcPr>
            <w:tcW w:w="80" w:type="dxa"/>
            <w:vAlign w:val="bottom"/>
            <w:tcBorders>
              <w:top w:val="single" w:sz="8" w:color="0000EE"/>
            </w:tcBorders>
            <w:shd w:val="clear" w:color="auto" w:fill="EDEDED"/>
          </w:tcPr>
          <w:p>
            <w:pPr>
              <w:spacing w:after="0" w:line="20" w:lineRule="exact"/>
              <w:rPr>
                <w:sz w:val="1"/>
                <w:szCs w:val="1"/>
                <w:color w:val="auto"/>
              </w:rPr>
            </w:pPr>
          </w:p>
        </w:tc>
        <w:tc>
          <w:tcPr>
            <w:tcW w:w="320" w:type="dxa"/>
            <w:vAlign w:val="bottom"/>
            <w:tcBorders>
              <w:top w:val="single" w:sz="8" w:color="0000EE"/>
            </w:tcBorders>
            <w:shd w:val="clear" w:color="auto" w:fill="EDEDED"/>
          </w:tcPr>
          <w:p>
            <w:pPr>
              <w:spacing w:after="0" w:line="20" w:lineRule="exact"/>
              <w:rPr>
                <w:sz w:val="1"/>
                <w:szCs w:val="1"/>
                <w:color w:val="auto"/>
              </w:rPr>
            </w:pPr>
          </w:p>
        </w:tc>
        <w:tc>
          <w:tcPr>
            <w:tcW w:w="240" w:type="dxa"/>
            <w:vAlign w:val="bottom"/>
            <w:tcBorders>
              <w:top w:val="single" w:sz="8" w:color="0000EE"/>
            </w:tcBorders>
            <w:shd w:val="clear" w:color="auto" w:fill="EDEDED"/>
          </w:tcPr>
          <w:p>
            <w:pPr>
              <w:spacing w:after="0" w:line="20" w:lineRule="exact"/>
              <w:rPr>
                <w:sz w:val="1"/>
                <w:szCs w:val="1"/>
                <w:color w:val="auto"/>
              </w:rPr>
            </w:pPr>
          </w:p>
        </w:tc>
        <w:tc>
          <w:tcPr>
            <w:tcW w:w="60" w:type="dxa"/>
            <w:vAlign w:val="bottom"/>
            <w:tcBorders>
              <w:top w:val="single" w:sz="8" w:color="0000EE"/>
            </w:tcBorders>
            <w:shd w:val="clear" w:color="auto" w:fill="EDEDED"/>
          </w:tcPr>
          <w:p>
            <w:pPr>
              <w:spacing w:after="0" w:line="20" w:lineRule="exact"/>
              <w:rPr>
                <w:sz w:val="1"/>
                <w:szCs w:val="1"/>
                <w:color w:val="auto"/>
              </w:rPr>
            </w:pPr>
          </w:p>
        </w:tc>
        <w:tc>
          <w:tcPr>
            <w:tcW w:w="20" w:type="dxa"/>
            <w:vAlign w:val="bottom"/>
            <w:tcBorders>
              <w:top w:val="single" w:sz="8" w:color="0000EE"/>
            </w:tcBorders>
            <w:shd w:val="clear" w:color="auto" w:fill="EDEDED"/>
          </w:tcPr>
          <w:p>
            <w:pPr>
              <w:spacing w:after="0" w:line="20" w:lineRule="exact"/>
              <w:rPr>
                <w:sz w:val="1"/>
                <w:szCs w:val="1"/>
                <w:color w:val="auto"/>
              </w:rPr>
            </w:pPr>
          </w:p>
        </w:tc>
        <w:tc>
          <w:tcPr>
            <w:tcW w:w="40" w:type="dxa"/>
            <w:vAlign w:val="bottom"/>
            <w:tcBorders>
              <w:top w:val="single" w:sz="8" w:color="0000EE"/>
            </w:tcBorders>
            <w:shd w:val="clear" w:color="auto" w:fill="EDEDED"/>
          </w:tcPr>
          <w:p>
            <w:pPr>
              <w:spacing w:after="0" w:line="20" w:lineRule="exact"/>
              <w:rPr>
                <w:sz w:val="1"/>
                <w:szCs w:val="1"/>
                <w:color w:val="auto"/>
              </w:rPr>
            </w:pPr>
          </w:p>
        </w:tc>
        <w:tc>
          <w:tcPr>
            <w:tcW w:w="20" w:type="dxa"/>
            <w:vAlign w:val="bottom"/>
            <w:tcBorders>
              <w:top w:val="single" w:sz="8" w:color="0000EE"/>
            </w:tcBorders>
            <w:shd w:val="clear" w:color="auto" w:fill="EDEDED"/>
          </w:tcPr>
          <w:p>
            <w:pPr>
              <w:spacing w:after="0" w:line="20" w:lineRule="exact"/>
              <w:rPr>
                <w:sz w:val="1"/>
                <w:szCs w:val="1"/>
                <w:color w:val="auto"/>
              </w:rPr>
            </w:pPr>
          </w:p>
        </w:tc>
        <w:tc>
          <w:tcPr>
            <w:tcW w:w="60" w:type="dxa"/>
            <w:vAlign w:val="bottom"/>
            <w:tcBorders>
              <w:top w:val="single" w:sz="8" w:color="0000EE"/>
            </w:tcBorders>
            <w:shd w:val="clear" w:color="auto" w:fill="EDEDED"/>
          </w:tcPr>
          <w:p>
            <w:pPr>
              <w:spacing w:after="0" w:line="20" w:lineRule="exact"/>
              <w:rPr>
                <w:sz w:val="1"/>
                <w:szCs w:val="1"/>
                <w:color w:val="auto"/>
              </w:rPr>
            </w:pPr>
          </w:p>
        </w:tc>
        <w:tc>
          <w:tcPr>
            <w:tcW w:w="220" w:type="dxa"/>
            <w:vAlign w:val="bottom"/>
            <w:tcBorders>
              <w:top w:val="single" w:sz="8" w:color="0000EE"/>
            </w:tcBorders>
            <w:shd w:val="clear" w:color="auto" w:fill="EDEDED"/>
          </w:tcPr>
          <w:p>
            <w:pPr>
              <w:spacing w:after="0" w:line="20" w:lineRule="exact"/>
              <w:rPr>
                <w:sz w:val="1"/>
                <w:szCs w:val="1"/>
                <w:color w:val="auto"/>
              </w:rPr>
            </w:pPr>
          </w:p>
        </w:tc>
        <w:tc>
          <w:tcPr>
            <w:tcW w:w="40" w:type="dxa"/>
            <w:vAlign w:val="bottom"/>
            <w:tcBorders>
              <w:top w:val="single" w:sz="8" w:color="0000EE"/>
            </w:tcBorders>
            <w:shd w:val="clear" w:color="auto" w:fill="EDEDED"/>
          </w:tcPr>
          <w:p>
            <w:pPr>
              <w:spacing w:after="0" w:line="20" w:lineRule="exact"/>
              <w:rPr>
                <w:sz w:val="1"/>
                <w:szCs w:val="1"/>
                <w:color w:val="auto"/>
              </w:rPr>
            </w:pPr>
          </w:p>
        </w:tc>
        <w:tc>
          <w:tcPr>
            <w:tcW w:w="60" w:type="dxa"/>
            <w:vAlign w:val="bottom"/>
            <w:tcBorders>
              <w:top w:val="single" w:sz="8" w:color="0000EE"/>
            </w:tcBorders>
            <w:shd w:val="clear" w:color="auto" w:fill="EDEDED"/>
          </w:tcPr>
          <w:p>
            <w:pPr>
              <w:spacing w:after="0" w:line="20" w:lineRule="exact"/>
              <w:rPr>
                <w:sz w:val="1"/>
                <w:szCs w:val="1"/>
                <w:color w:val="auto"/>
              </w:rPr>
            </w:pPr>
          </w:p>
        </w:tc>
        <w:tc>
          <w:tcPr>
            <w:tcW w:w="140" w:type="dxa"/>
            <w:vAlign w:val="bottom"/>
            <w:tcBorders>
              <w:top w:val="single" w:sz="8" w:color="0000EE"/>
            </w:tcBorders>
            <w:shd w:val="clear" w:color="auto" w:fill="EDEDED"/>
          </w:tcPr>
          <w:p>
            <w:pPr>
              <w:spacing w:after="0" w:line="20" w:lineRule="exact"/>
              <w:rPr>
                <w:sz w:val="1"/>
                <w:szCs w:val="1"/>
                <w:color w:val="auto"/>
              </w:rPr>
            </w:pPr>
          </w:p>
        </w:tc>
        <w:tc>
          <w:tcPr>
            <w:tcW w:w="80" w:type="dxa"/>
            <w:vAlign w:val="bottom"/>
            <w:tcBorders>
              <w:top w:val="single" w:sz="8" w:color="0000EE"/>
            </w:tcBorders>
            <w:shd w:val="clear" w:color="auto" w:fill="EDEDED"/>
          </w:tcPr>
          <w:p>
            <w:pPr>
              <w:spacing w:after="0" w:line="20" w:lineRule="exact"/>
              <w:rPr>
                <w:sz w:val="1"/>
                <w:szCs w:val="1"/>
                <w:color w:val="auto"/>
              </w:rPr>
            </w:pPr>
          </w:p>
        </w:tc>
        <w:tc>
          <w:tcPr>
            <w:tcW w:w="380" w:type="dxa"/>
            <w:vAlign w:val="bottom"/>
            <w:tcBorders>
              <w:top w:val="single" w:sz="8" w:color="0000EE"/>
            </w:tcBorders>
            <w:shd w:val="clear" w:color="auto" w:fill="EDEDED"/>
          </w:tcPr>
          <w:p>
            <w:pPr>
              <w:spacing w:after="0" w:line="20" w:lineRule="exact"/>
              <w:rPr>
                <w:sz w:val="1"/>
                <w:szCs w:val="1"/>
                <w:color w:val="auto"/>
              </w:rPr>
            </w:pPr>
          </w:p>
        </w:tc>
        <w:tc>
          <w:tcPr>
            <w:tcW w:w="40" w:type="dxa"/>
            <w:vAlign w:val="bottom"/>
            <w:tcBorders>
              <w:top w:val="single" w:sz="8" w:color="0000EE"/>
            </w:tcBorders>
            <w:shd w:val="clear" w:color="auto" w:fill="EDEDED"/>
          </w:tcPr>
          <w:p>
            <w:pPr>
              <w:spacing w:after="0" w:line="20" w:lineRule="exact"/>
              <w:rPr>
                <w:sz w:val="1"/>
                <w:szCs w:val="1"/>
                <w:color w:val="auto"/>
              </w:rPr>
            </w:pPr>
          </w:p>
        </w:tc>
        <w:tc>
          <w:tcPr>
            <w:tcW w:w="60" w:type="dxa"/>
            <w:vAlign w:val="bottom"/>
            <w:tcBorders>
              <w:top w:val="single" w:sz="8" w:color="0000EE"/>
            </w:tcBorders>
            <w:shd w:val="clear" w:color="auto" w:fill="EDEDED"/>
          </w:tcPr>
          <w:p>
            <w:pPr>
              <w:spacing w:after="0" w:line="20" w:lineRule="exact"/>
              <w:rPr>
                <w:sz w:val="1"/>
                <w:szCs w:val="1"/>
                <w:color w:val="auto"/>
              </w:rPr>
            </w:pPr>
          </w:p>
        </w:tc>
        <w:tc>
          <w:tcPr>
            <w:tcW w:w="60" w:type="dxa"/>
            <w:vAlign w:val="bottom"/>
            <w:tcBorders>
              <w:top w:val="single" w:sz="8" w:color="0000EE"/>
            </w:tcBorders>
            <w:shd w:val="clear" w:color="auto" w:fill="EDEDED"/>
          </w:tcPr>
          <w:p>
            <w:pPr>
              <w:spacing w:after="0" w:line="20" w:lineRule="exact"/>
              <w:rPr>
                <w:sz w:val="1"/>
                <w:szCs w:val="1"/>
                <w:color w:val="auto"/>
              </w:rPr>
            </w:pPr>
          </w:p>
        </w:tc>
        <w:tc>
          <w:tcPr>
            <w:tcW w:w="100" w:type="dxa"/>
            <w:vAlign w:val="bottom"/>
            <w:tcBorders>
              <w:top w:val="single" w:sz="8" w:color="0000EE"/>
            </w:tcBorders>
            <w:shd w:val="clear" w:color="auto" w:fill="EDEDED"/>
          </w:tcPr>
          <w:p>
            <w:pPr>
              <w:spacing w:after="0" w:line="20" w:lineRule="exact"/>
              <w:rPr>
                <w:sz w:val="1"/>
                <w:szCs w:val="1"/>
                <w:color w:val="auto"/>
              </w:rPr>
            </w:pPr>
          </w:p>
        </w:tc>
        <w:tc>
          <w:tcPr>
            <w:tcW w:w="260" w:type="dxa"/>
            <w:vAlign w:val="bottom"/>
            <w:tcBorders>
              <w:top w:val="single" w:sz="8" w:color="0000EE"/>
            </w:tcBorders>
            <w:shd w:val="clear" w:color="auto" w:fill="EDEDED"/>
          </w:tcPr>
          <w:p>
            <w:pPr>
              <w:spacing w:after="0" w:line="20" w:lineRule="exact"/>
              <w:rPr>
                <w:sz w:val="1"/>
                <w:szCs w:val="1"/>
                <w:color w:val="auto"/>
              </w:rPr>
            </w:pPr>
          </w:p>
        </w:tc>
        <w:tc>
          <w:tcPr>
            <w:tcW w:w="120" w:type="dxa"/>
            <w:vAlign w:val="bottom"/>
            <w:tcBorders>
              <w:top w:val="single" w:sz="8" w:color="0000EE"/>
            </w:tcBorders>
            <w:shd w:val="clear" w:color="auto" w:fill="EDEDED"/>
          </w:tcPr>
          <w:p>
            <w:pPr>
              <w:spacing w:after="0" w:line="20" w:lineRule="exact"/>
              <w:rPr>
                <w:sz w:val="1"/>
                <w:szCs w:val="1"/>
                <w:color w:val="auto"/>
              </w:rPr>
            </w:pPr>
          </w:p>
        </w:tc>
        <w:tc>
          <w:tcPr>
            <w:tcW w:w="60" w:type="dxa"/>
            <w:vAlign w:val="bottom"/>
            <w:tcBorders>
              <w:top w:val="single" w:sz="8" w:color="0000EE"/>
            </w:tcBorders>
            <w:shd w:val="clear" w:color="auto" w:fill="EDEDED"/>
          </w:tcPr>
          <w:p>
            <w:pPr>
              <w:spacing w:after="0" w:line="20" w:lineRule="exact"/>
              <w:rPr>
                <w:sz w:val="1"/>
                <w:szCs w:val="1"/>
                <w:color w:val="auto"/>
              </w:rPr>
            </w:pPr>
          </w:p>
        </w:tc>
        <w:tc>
          <w:tcPr>
            <w:tcW w:w="20" w:type="dxa"/>
            <w:vAlign w:val="bottom"/>
            <w:tcBorders>
              <w:top w:val="single" w:sz="8" w:color="0000EE"/>
            </w:tcBorders>
            <w:shd w:val="clear" w:color="auto" w:fill="EDEDED"/>
          </w:tcPr>
          <w:p>
            <w:pPr>
              <w:spacing w:after="0" w:line="20" w:lineRule="exact"/>
              <w:rPr>
                <w:sz w:val="1"/>
                <w:szCs w:val="1"/>
                <w:color w:val="auto"/>
              </w:rPr>
            </w:pPr>
          </w:p>
        </w:tc>
        <w:tc>
          <w:tcPr>
            <w:tcW w:w="260" w:type="dxa"/>
            <w:vAlign w:val="bottom"/>
            <w:tcBorders>
              <w:top w:val="single" w:sz="8" w:color="0000EE"/>
            </w:tcBorders>
            <w:shd w:val="clear" w:color="auto" w:fill="EDEDED"/>
          </w:tcPr>
          <w:p>
            <w:pPr>
              <w:spacing w:after="0" w:line="20" w:lineRule="exact"/>
              <w:rPr>
                <w:sz w:val="1"/>
                <w:szCs w:val="1"/>
                <w:color w:val="auto"/>
              </w:rPr>
            </w:pPr>
          </w:p>
        </w:tc>
        <w:tc>
          <w:tcPr>
            <w:tcW w:w="20" w:type="dxa"/>
            <w:vAlign w:val="bottom"/>
            <w:tcBorders>
              <w:top w:val="single" w:sz="8" w:color="0000EE"/>
            </w:tcBorders>
            <w:shd w:val="clear" w:color="auto" w:fill="EDEDED"/>
          </w:tcPr>
          <w:p>
            <w:pPr>
              <w:spacing w:after="0" w:line="20" w:lineRule="exact"/>
              <w:rPr>
                <w:sz w:val="1"/>
                <w:szCs w:val="1"/>
                <w:color w:val="auto"/>
              </w:rPr>
            </w:pPr>
          </w:p>
        </w:tc>
        <w:tc>
          <w:tcPr>
            <w:tcW w:w="20" w:type="dxa"/>
            <w:vAlign w:val="bottom"/>
            <w:tcBorders>
              <w:top w:val="single" w:sz="8" w:color="0000EE"/>
            </w:tcBorders>
            <w:shd w:val="clear" w:color="auto" w:fill="EDEDED"/>
          </w:tcPr>
          <w:p>
            <w:pPr>
              <w:spacing w:after="0" w:line="20" w:lineRule="exact"/>
              <w:rPr>
                <w:sz w:val="1"/>
                <w:szCs w:val="1"/>
                <w:color w:val="auto"/>
              </w:rPr>
            </w:pPr>
          </w:p>
        </w:tc>
        <w:tc>
          <w:tcPr>
            <w:tcW w:w="40" w:type="dxa"/>
            <w:vAlign w:val="bottom"/>
            <w:tcBorders>
              <w:top w:val="single" w:sz="8" w:color="0000EE"/>
            </w:tcBorders>
            <w:shd w:val="clear" w:color="auto" w:fill="EDEDED"/>
          </w:tcPr>
          <w:p>
            <w:pPr>
              <w:spacing w:after="0" w:line="20" w:lineRule="exact"/>
              <w:rPr>
                <w:sz w:val="1"/>
                <w:szCs w:val="1"/>
                <w:color w:val="auto"/>
              </w:rPr>
            </w:pPr>
          </w:p>
        </w:tc>
        <w:tc>
          <w:tcPr>
            <w:tcW w:w="40" w:type="dxa"/>
            <w:vAlign w:val="bottom"/>
            <w:tcBorders>
              <w:top w:val="single" w:sz="8" w:color="0000EE"/>
            </w:tcBorders>
            <w:shd w:val="clear" w:color="auto" w:fill="EDEDED"/>
          </w:tcPr>
          <w:p>
            <w:pPr>
              <w:spacing w:after="0" w:line="20" w:lineRule="exact"/>
              <w:rPr>
                <w:sz w:val="1"/>
                <w:szCs w:val="1"/>
                <w:color w:val="auto"/>
              </w:rPr>
            </w:pPr>
          </w:p>
        </w:tc>
        <w:tc>
          <w:tcPr>
            <w:tcW w:w="20" w:type="dxa"/>
            <w:vAlign w:val="bottom"/>
            <w:tcBorders>
              <w:top w:val="single" w:sz="8" w:color="EDEDED"/>
            </w:tcBorders>
            <w:shd w:val="clear" w:color="auto" w:fill="EDEDED"/>
          </w:tcPr>
          <w:p>
            <w:pPr>
              <w:spacing w:after="0" w:line="20" w:lineRule="exact"/>
              <w:rPr>
                <w:sz w:val="1"/>
                <w:szCs w:val="1"/>
                <w:color w:val="auto"/>
              </w:rPr>
            </w:pPr>
          </w:p>
        </w:tc>
        <w:tc>
          <w:tcPr>
            <w:tcW w:w="80" w:type="dxa"/>
            <w:vAlign w:val="bottom"/>
            <w:tcBorders>
              <w:top w:val="single" w:sz="8" w:color="EDEDED"/>
            </w:tcBorders>
            <w:shd w:val="clear" w:color="auto" w:fill="EDEDED"/>
          </w:tcPr>
          <w:p>
            <w:pPr>
              <w:spacing w:after="0" w:line="20" w:lineRule="exact"/>
              <w:rPr>
                <w:sz w:val="1"/>
                <w:szCs w:val="1"/>
                <w:color w:val="auto"/>
              </w:rPr>
            </w:pPr>
          </w:p>
        </w:tc>
        <w:tc>
          <w:tcPr>
            <w:tcW w:w="660" w:type="dxa"/>
            <w:vAlign w:val="bottom"/>
            <w:tcBorders>
              <w:top w:val="single" w:sz="8" w:color="EDEDED"/>
            </w:tcBorders>
            <w:shd w:val="clear" w:color="auto" w:fill="EDEDE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20" w:type="dxa"/>
            <w:vAlign w:val="bottom"/>
            <w:gridSpan w:val="40"/>
          </w:tcPr>
          <w:p>
            <w:pPr>
              <w:spacing w:after="0" w:line="162" w:lineRule="exact"/>
              <w:rPr>
                <w:sz w:val="20"/>
                <w:szCs w:val="20"/>
                <w:color w:val="auto"/>
              </w:rPr>
            </w:pPr>
            <w:r>
              <w:rPr>
                <w:rFonts w:ascii="Arial" w:cs="Arial" w:eastAsia="Arial" w:hAnsi="Arial"/>
                <w:sz w:val="16"/>
                <w:szCs w:val="16"/>
                <w:color w:val="0000EE"/>
              </w:rPr>
              <w:t>Compensation Programs: Decisions and Actions in 2022</w:t>
            </w:r>
          </w:p>
        </w:tc>
        <w:tc>
          <w:tcPr>
            <w:tcW w:w="660" w:type="dxa"/>
            <w:vAlign w:val="bottom"/>
          </w:tcPr>
          <w:p>
            <w:pPr>
              <w:jc w:val="right"/>
              <w:ind w:right="139"/>
              <w:spacing w:after="0" w:line="162" w:lineRule="exact"/>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Borders>
              <w:bottom w:val="single" w:sz="8" w:color="EDEDED"/>
            </w:tcBorders>
            <w:shd w:val="clear" w:color="auto" w:fill="EDEDED"/>
          </w:tcPr>
          <w:p>
            <w:pPr>
              <w:spacing w:after="0"/>
              <w:rPr>
                <w:sz w:val="15"/>
                <w:szCs w:val="15"/>
                <w:color w:val="auto"/>
              </w:rPr>
            </w:pPr>
          </w:p>
        </w:tc>
        <w:tc>
          <w:tcPr>
            <w:tcW w:w="880" w:type="dxa"/>
            <w:vAlign w:val="bottom"/>
            <w:tcBorders>
              <w:bottom w:val="single" w:sz="8" w:color="0000EE"/>
            </w:tcBorders>
            <w:gridSpan w:val="2"/>
            <w:shd w:val="clear" w:color="auto" w:fill="EDEDED"/>
          </w:tcPr>
          <w:p>
            <w:pPr>
              <w:spacing w:after="0" w:line="162" w:lineRule="exact"/>
              <w:rPr>
                <w:sz w:val="20"/>
                <w:szCs w:val="20"/>
                <w:color w:val="auto"/>
              </w:rPr>
            </w:pPr>
            <w:r>
              <w:rPr>
                <w:rFonts w:ascii="Arial" w:cs="Arial" w:eastAsia="Arial" w:hAnsi="Arial"/>
                <w:sz w:val="16"/>
                <w:szCs w:val="16"/>
                <w:i w:val="1"/>
                <w:iCs w:val="1"/>
                <w:color w:val="0000EE"/>
                <w:w w:val="99"/>
              </w:rPr>
              <w:t>Base Salary</w:t>
            </w:r>
          </w:p>
        </w:tc>
        <w:tc>
          <w:tcPr>
            <w:tcW w:w="3700" w:type="dxa"/>
            <w:vAlign w:val="bottom"/>
            <w:tcBorders>
              <w:bottom w:val="single" w:sz="8" w:color="EDEDED"/>
            </w:tcBorders>
            <w:gridSpan w:val="37"/>
            <w:shd w:val="clear" w:color="auto" w:fill="EDEDED"/>
          </w:tcPr>
          <w:p>
            <w:pPr>
              <w:spacing w:after="0"/>
              <w:rPr>
                <w:sz w:val="15"/>
                <w:szCs w:val="15"/>
                <w:color w:val="auto"/>
              </w:rPr>
            </w:pPr>
          </w:p>
        </w:tc>
        <w:tc>
          <w:tcPr>
            <w:tcW w:w="660" w:type="dxa"/>
            <w:vAlign w:val="bottom"/>
            <w:tcBorders>
              <w:bottom w:val="single" w:sz="8" w:color="EDEDED"/>
            </w:tcBorders>
            <w:shd w:val="clear" w:color="auto" w:fill="EDEDED"/>
          </w:tcPr>
          <w:p>
            <w:pPr>
              <w:jc w:val="right"/>
              <w:ind w:right="139"/>
              <w:spacing w:after="0" w:line="162" w:lineRule="exact"/>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580" w:type="dxa"/>
            <w:vAlign w:val="bottom"/>
            <w:gridSpan w:val="39"/>
          </w:tcPr>
          <w:p>
            <w:pPr>
              <w:spacing w:after="0" w:line="162" w:lineRule="exact"/>
              <w:rPr>
                <w:sz w:val="20"/>
                <w:szCs w:val="20"/>
                <w:color w:val="auto"/>
              </w:rPr>
            </w:pPr>
            <w:r>
              <w:rPr>
                <w:rFonts w:ascii="Arial" w:cs="Arial" w:eastAsia="Arial" w:hAnsi="Arial"/>
                <w:sz w:val="16"/>
                <w:szCs w:val="16"/>
                <w:i w:val="1"/>
                <w:iCs w:val="1"/>
                <w:color w:val="0000EE"/>
              </w:rPr>
              <w:t>Annual Cash Incentive</w:t>
            </w:r>
          </w:p>
        </w:tc>
        <w:tc>
          <w:tcPr>
            <w:tcW w:w="660" w:type="dxa"/>
            <w:vAlign w:val="bottom"/>
          </w:tcPr>
          <w:p>
            <w:pPr>
              <w:jc w:val="right"/>
              <w:ind w:right="139"/>
              <w:spacing w:after="0" w:line="162" w:lineRule="exact"/>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Borders>
              <w:bottom w:val="single" w:sz="8" w:color="EDEDED"/>
            </w:tcBorders>
            <w:shd w:val="clear" w:color="auto" w:fill="EDEDED"/>
          </w:tcPr>
          <w:p>
            <w:pPr>
              <w:spacing w:after="0"/>
              <w:rPr>
                <w:sz w:val="15"/>
                <w:szCs w:val="15"/>
                <w:color w:val="auto"/>
              </w:rPr>
            </w:pPr>
          </w:p>
        </w:tc>
        <w:tc>
          <w:tcPr>
            <w:tcW w:w="1560" w:type="dxa"/>
            <w:vAlign w:val="bottom"/>
            <w:tcBorders>
              <w:bottom w:val="single" w:sz="8" w:color="0000EE"/>
            </w:tcBorders>
            <w:gridSpan w:val="9"/>
            <w:shd w:val="clear" w:color="auto" w:fill="EDEDED"/>
          </w:tcPr>
          <w:p>
            <w:pPr>
              <w:spacing w:after="0" w:line="162" w:lineRule="exact"/>
              <w:rPr>
                <w:sz w:val="20"/>
                <w:szCs w:val="20"/>
                <w:color w:val="auto"/>
              </w:rPr>
            </w:pPr>
            <w:r>
              <w:rPr>
                <w:rFonts w:ascii="Arial" w:cs="Arial" w:eastAsia="Arial" w:hAnsi="Arial"/>
                <w:sz w:val="16"/>
                <w:szCs w:val="16"/>
                <w:i w:val="1"/>
                <w:iCs w:val="1"/>
                <w:color w:val="0000EE"/>
                <w:w w:val="99"/>
              </w:rPr>
              <w:t>Long-Term Incentives</w:t>
            </w:r>
          </w:p>
        </w:tc>
        <w:tc>
          <w:tcPr>
            <w:tcW w:w="3020" w:type="dxa"/>
            <w:vAlign w:val="bottom"/>
            <w:tcBorders>
              <w:bottom w:val="single" w:sz="8" w:color="EDEDED"/>
            </w:tcBorders>
            <w:gridSpan w:val="30"/>
            <w:shd w:val="clear" w:color="auto" w:fill="EDEDED"/>
          </w:tcPr>
          <w:p>
            <w:pPr>
              <w:spacing w:after="0"/>
              <w:rPr>
                <w:sz w:val="15"/>
                <w:szCs w:val="15"/>
                <w:color w:val="auto"/>
              </w:rPr>
            </w:pPr>
          </w:p>
        </w:tc>
        <w:tc>
          <w:tcPr>
            <w:tcW w:w="660" w:type="dxa"/>
            <w:vAlign w:val="bottom"/>
            <w:tcBorders>
              <w:bottom w:val="single" w:sz="8" w:color="EDEDED"/>
            </w:tcBorders>
            <w:shd w:val="clear" w:color="auto" w:fill="EDEDED"/>
          </w:tcPr>
          <w:p>
            <w:pPr>
              <w:jc w:val="right"/>
              <w:ind w:right="139"/>
              <w:spacing w:after="0" w:line="162" w:lineRule="exact"/>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580" w:type="dxa"/>
            <w:vAlign w:val="bottom"/>
            <w:gridSpan w:val="39"/>
          </w:tcPr>
          <w:p>
            <w:pPr>
              <w:spacing w:after="0" w:line="162" w:lineRule="exact"/>
              <w:rPr>
                <w:sz w:val="20"/>
                <w:szCs w:val="20"/>
                <w:color w:val="auto"/>
              </w:rPr>
            </w:pPr>
            <w:r>
              <w:rPr>
                <w:rFonts w:ascii="Arial" w:cs="Arial" w:eastAsia="Arial" w:hAnsi="Arial"/>
                <w:sz w:val="16"/>
                <w:szCs w:val="16"/>
                <w:i w:val="1"/>
                <w:iCs w:val="1"/>
                <w:color w:val="0000EE"/>
              </w:rPr>
              <w:t>Retirement Benefits</w:t>
            </w:r>
          </w:p>
        </w:tc>
        <w:tc>
          <w:tcPr>
            <w:tcW w:w="660" w:type="dxa"/>
            <w:vAlign w:val="bottom"/>
          </w:tcPr>
          <w:p>
            <w:pPr>
              <w:jc w:val="right"/>
              <w:ind w:right="139"/>
              <w:spacing w:after="0" w:line="162" w:lineRule="exact"/>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Borders>
              <w:bottom w:val="single" w:sz="8" w:color="EDEDED"/>
            </w:tcBorders>
            <w:shd w:val="clear" w:color="auto" w:fill="EDEDED"/>
          </w:tcPr>
          <w:p>
            <w:pPr>
              <w:spacing w:after="0"/>
              <w:rPr>
                <w:sz w:val="15"/>
                <w:szCs w:val="15"/>
                <w:color w:val="auto"/>
              </w:rPr>
            </w:pPr>
          </w:p>
        </w:tc>
        <w:tc>
          <w:tcPr>
            <w:tcW w:w="2020" w:type="dxa"/>
            <w:vAlign w:val="bottom"/>
            <w:tcBorders>
              <w:bottom w:val="single" w:sz="8" w:color="0000EE"/>
            </w:tcBorders>
            <w:gridSpan w:val="12"/>
            <w:shd w:val="clear" w:color="auto" w:fill="EDEDED"/>
          </w:tcPr>
          <w:p>
            <w:pPr>
              <w:spacing w:after="0" w:line="162" w:lineRule="exact"/>
              <w:rPr>
                <w:sz w:val="20"/>
                <w:szCs w:val="20"/>
                <w:color w:val="auto"/>
              </w:rPr>
            </w:pPr>
            <w:r>
              <w:rPr>
                <w:rFonts w:ascii="Arial" w:cs="Arial" w:eastAsia="Arial" w:hAnsi="Arial"/>
                <w:sz w:val="16"/>
                <w:szCs w:val="16"/>
                <w:i w:val="1"/>
                <w:iCs w:val="1"/>
                <w:color w:val="0000EE"/>
              </w:rPr>
              <w:t>Health and Welfare Benefits</w:t>
            </w:r>
          </w:p>
        </w:tc>
        <w:tc>
          <w:tcPr>
            <w:tcW w:w="2560" w:type="dxa"/>
            <w:vAlign w:val="bottom"/>
            <w:tcBorders>
              <w:bottom w:val="single" w:sz="8" w:color="EDEDED"/>
            </w:tcBorders>
            <w:gridSpan w:val="27"/>
            <w:shd w:val="clear" w:color="auto" w:fill="EDEDED"/>
          </w:tcPr>
          <w:p>
            <w:pPr>
              <w:spacing w:after="0"/>
              <w:rPr>
                <w:sz w:val="15"/>
                <w:szCs w:val="15"/>
                <w:color w:val="auto"/>
              </w:rPr>
            </w:pPr>
          </w:p>
        </w:tc>
        <w:tc>
          <w:tcPr>
            <w:tcW w:w="660" w:type="dxa"/>
            <w:vAlign w:val="bottom"/>
            <w:tcBorders>
              <w:bottom w:val="single" w:sz="8" w:color="EDEDED"/>
            </w:tcBorders>
            <w:shd w:val="clear" w:color="auto" w:fill="EDEDED"/>
          </w:tcPr>
          <w:p>
            <w:pPr>
              <w:jc w:val="right"/>
              <w:ind w:right="139"/>
              <w:spacing w:after="0" w:line="162" w:lineRule="exact"/>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580" w:type="dxa"/>
            <w:vAlign w:val="bottom"/>
            <w:gridSpan w:val="39"/>
          </w:tcPr>
          <w:p>
            <w:pPr>
              <w:spacing w:after="0" w:line="162" w:lineRule="exact"/>
              <w:rPr>
                <w:sz w:val="20"/>
                <w:szCs w:val="20"/>
                <w:color w:val="auto"/>
              </w:rPr>
            </w:pPr>
            <w:r>
              <w:rPr>
                <w:rFonts w:ascii="Arial" w:cs="Arial" w:eastAsia="Arial" w:hAnsi="Arial"/>
                <w:sz w:val="16"/>
                <w:szCs w:val="16"/>
                <w:i w:val="1"/>
                <w:iCs w:val="1"/>
                <w:color w:val="0000EE"/>
              </w:rPr>
              <w:t>Perquisites</w:t>
            </w:r>
          </w:p>
        </w:tc>
        <w:tc>
          <w:tcPr>
            <w:tcW w:w="660" w:type="dxa"/>
            <w:vAlign w:val="bottom"/>
          </w:tcPr>
          <w:p>
            <w:pPr>
              <w:jc w:val="right"/>
              <w:ind w:right="139"/>
              <w:spacing w:after="0" w:line="162" w:lineRule="exact"/>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shd w:val="clear" w:color="auto" w:fill="EDEDED"/>
          </w:tcPr>
          <w:p>
            <w:pPr>
              <w:spacing w:after="0"/>
              <w:rPr>
                <w:sz w:val="14"/>
                <w:szCs w:val="14"/>
                <w:color w:val="auto"/>
              </w:rPr>
            </w:pPr>
          </w:p>
        </w:tc>
        <w:tc>
          <w:tcPr>
            <w:tcW w:w="4580" w:type="dxa"/>
            <w:vAlign w:val="bottom"/>
            <w:gridSpan w:val="39"/>
            <w:shd w:val="clear" w:color="auto" w:fill="EDEDED"/>
          </w:tcPr>
          <w:p>
            <w:pPr>
              <w:spacing w:after="0" w:line="162" w:lineRule="exact"/>
              <w:rPr>
                <w:sz w:val="20"/>
                <w:szCs w:val="20"/>
                <w:color w:val="auto"/>
              </w:rPr>
            </w:pPr>
            <w:r>
              <w:rPr>
                <w:rFonts w:ascii="Arial" w:cs="Arial" w:eastAsia="Arial" w:hAnsi="Arial"/>
                <w:sz w:val="16"/>
                <w:szCs w:val="16"/>
                <w:i w:val="1"/>
                <w:iCs w:val="1"/>
                <w:color w:val="0000EE"/>
              </w:rPr>
              <w:t>Senior Executive Severance Plan</w:t>
            </w:r>
          </w:p>
        </w:tc>
        <w:tc>
          <w:tcPr>
            <w:tcW w:w="660" w:type="dxa"/>
            <w:vAlign w:val="bottom"/>
            <w:shd w:val="clear" w:color="auto" w:fill="EDEDED"/>
          </w:tcPr>
          <w:p>
            <w:pPr>
              <w:jc w:val="right"/>
              <w:ind w:right="139"/>
              <w:spacing w:after="0" w:line="162" w:lineRule="exact"/>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 w:type="dxa"/>
            <w:vAlign w:val="bottom"/>
            <w:tcBorders>
              <w:top w:val="single" w:sz="8" w:color="EDEDED"/>
            </w:tcBorders>
            <w:shd w:val="clear" w:color="auto" w:fill="EDEDED"/>
          </w:tcPr>
          <w:p>
            <w:pPr>
              <w:spacing w:after="0" w:line="20" w:lineRule="exact"/>
              <w:rPr>
                <w:sz w:val="1"/>
                <w:szCs w:val="1"/>
                <w:color w:val="auto"/>
              </w:rPr>
            </w:pPr>
          </w:p>
        </w:tc>
        <w:tc>
          <w:tcPr>
            <w:tcW w:w="800" w:type="dxa"/>
            <w:vAlign w:val="bottom"/>
            <w:tcBorders>
              <w:top w:val="single" w:sz="8" w:color="0000EE"/>
            </w:tcBorders>
            <w:shd w:val="clear" w:color="auto" w:fill="EDEDED"/>
          </w:tcPr>
          <w:p>
            <w:pPr>
              <w:spacing w:after="0" w:line="20" w:lineRule="exact"/>
              <w:rPr>
                <w:sz w:val="1"/>
                <w:szCs w:val="1"/>
                <w:color w:val="auto"/>
              </w:rPr>
            </w:pPr>
          </w:p>
        </w:tc>
        <w:tc>
          <w:tcPr>
            <w:tcW w:w="80" w:type="dxa"/>
            <w:vAlign w:val="bottom"/>
            <w:tcBorders>
              <w:top w:val="single" w:sz="8" w:color="0000EE"/>
            </w:tcBorders>
            <w:shd w:val="clear" w:color="auto" w:fill="EDEDED"/>
          </w:tcPr>
          <w:p>
            <w:pPr>
              <w:spacing w:after="0" w:line="20" w:lineRule="exact"/>
              <w:rPr>
                <w:sz w:val="1"/>
                <w:szCs w:val="1"/>
                <w:color w:val="auto"/>
              </w:rPr>
            </w:pPr>
          </w:p>
        </w:tc>
        <w:tc>
          <w:tcPr>
            <w:tcW w:w="100" w:type="dxa"/>
            <w:vAlign w:val="bottom"/>
            <w:tcBorders>
              <w:top w:val="single" w:sz="8" w:color="0000EE"/>
            </w:tcBorders>
            <w:shd w:val="clear" w:color="auto" w:fill="EDEDED"/>
          </w:tcPr>
          <w:p>
            <w:pPr>
              <w:spacing w:after="0" w:line="20" w:lineRule="exact"/>
              <w:rPr>
                <w:sz w:val="1"/>
                <w:szCs w:val="1"/>
                <w:color w:val="auto"/>
              </w:rPr>
            </w:pPr>
          </w:p>
        </w:tc>
        <w:tc>
          <w:tcPr>
            <w:tcW w:w="60" w:type="dxa"/>
            <w:vAlign w:val="bottom"/>
            <w:tcBorders>
              <w:top w:val="single" w:sz="8" w:color="0000EE"/>
            </w:tcBorders>
            <w:shd w:val="clear" w:color="auto" w:fill="EDEDED"/>
          </w:tcPr>
          <w:p>
            <w:pPr>
              <w:spacing w:after="0" w:line="20" w:lineRule="exact"/>
              <w:rPr>
                <w:sz w:val="1"/>
                <w:szCs w:val="1"/>
                <w:color w:val="auto"/>
              </w:rPr>
            </w:pPr>
          </w:p>
        </w:tc>
        <w:tc>
          <w:tcPr>
            <w:tcW w:w="200" w:type="dxa"/>
            <w:vAlign w:val="bottom"/>
            <w:tcBorders>
              <w:top w:val="single" w:sz="8" w:color="0000EE"/>
            </w:tcBorders>
            <w:shd w:val="clear" w:color="auto" w:fill="EDEDED"/>
          </w:tcPr>
          <w:p>
            <w:pPr>
              <w:spacing w:after="0" w:line="20" w:lineRule="exact"/>
              <w:rPr>
                <w:sz w:val="1"/>
                <w:szCs w:val="1"/>
                <w:color w:val="auto"/>
              </w:rPr>
            </w:pPr>
          </w:p>
        </w:tc>
        <w:tc>
          <w:tcPr>
            <w:tcW w:w="180" w:type="dxa"/>
            <w:vAlign w:val="bottom"/>
            <w:tcBorders>
              <w:top w:val="single" w:sz="8" w:color="0000EE"/>
            </w:tcBorders>
            <w:shd w:val="clear" w:color="auto" w:fill="EDEDED"/>
          </w:tcPr>
          <w:p>
            <w:pPr>
              <w:spacing w:after="0" w:line="20" w:lineRule="exact"/>
              <w:rPr>
                <w:sz w:val="1"/>
                <w:szCs w:val="1"/>
                <w:color w:val="auto"/>
              </w:rPr>
            </w:pPr>
          </w:p>
        </w:tc>
        <w:tc>
          <w:tcPr>
            <w:tcW w:w="20" w:type="dxa"/>
            <w:vAlign w:val="bottom"/>
            <w:tcBorders>
              <w:top w:val="single" w:sz="8" w:color="0000EE"/>
            </w:tcBorders>
            <w:shd w:val="clear" w:color="auto" w:fill="EDEDED"/>
          </w:tcPr>
          <w:p>
            <w:pPr>
              <w:spacing w:after="0" w:line="20" w:lineRule="exact"/>
              <w:rPr>
                <w:sz w:val="1"/>
                <w:szCs w:val="1"/>
                <w:color w:val="auto"/>
              </w:rPr>
            </w:pPr>
          </w:p>
        </w:tc>
        <w:tc>
          <w:tcPr>
            <w:tcW w:w="60" w:type="dxa"/>
            <w:vAlign w:val="bottom"/>
            <w:tcBorders>
              <w:top w:val="single" w:sz="8" w:color="0000EE"/>
            </w:tcBorders>
            <w:shd w:val="clear" w:color="auto" w:fill="EDEDED"/>
          </w:tcPr>
          <w:p>
            <w:pPr>
              <w:spacing w:after="0" w:line="20" w:lineRule="exact"/>
              <w:rPr>
                <w:sz w:val="1"/>
                <w:szCs w:val="1"/>
                <w:color w:val="auto"/>
              </w:rPr>
            </w:pPr>
          </w:p>
        </w:tc>
        <w:tc>
          <w:tcPr>
            <w:tcW w:w="60" w:type="dxa"/>
            <w:vAlign w:val="bottom"/>
            <w:tcBorders>
              <w:top w:val="single" w:sz="8" w:color="0000EE"/>
            </w:tcBorders>
            <w:shd w:val="clear" w:color="auto" w:fill="EDEDED"/>
          </w:tcPr>
          <w:p>
            <w:pPr>
              <w:spacing w:after="0" w:line="20" w:lineRule="exact"/>
              <w:rPr>
                <w:sz w:val="1"/>
                <w:szCs w:val="1"/>
                <w:color w:val="auto"/>
              </w:rPr>
            </w:pPr>
          </w:p>
        </w:tc>
        <w:tc>
          <w:tcPr>
            <w:tcW w:w="60" w:type="dxa"/>
            <w:vAlign w:val="bottom"/>
            <w:tcBorders>
              <w:top w:val="single" w:sz="8" w:color="0000EE"/>
            </w:tcBorders>
            <w:shd w:val="clear" w:color="auto" w:fill="EDEDED"/>
          </w:tcPr>
          <w:p>
            <w:pPr>
              <w:spacing w:after="0" w:line="20" w:lineRule="exact"/>
              <w:rPr>
                <w:sz w:val="1"/>
                <w:szCs w:val="1"/>
                <w:color w:val="auto"/>
              </w:rPr>
            </w:pPr>
          </w:p>
        </w:tc>
        <w:tc>
          <w:tcPr>
            <w:tcW w:w="80" w:type="dxa"/>
            <w:vAlign w:val="bottom"/>
            <w:tcBorders>
              <w:top w:val="single" w:sz="8" w:color="0000EE"/>
            </w:tcBorders>
            <w:shd w:val="clear" w:color="auto" w:fill="EDEDED"/>
          </w:tcPr>
          <w:p>
            <w:pPr>
              <w:spacing w:after="0" w:line="20" w:lineRule="exact"/>
              <w:rPr>
                <w:sz w:val="1"/>
                <w:szCs w:val="1"/>
                <w:color w:val="auto"/>
              </w:rPr>
            </w:pPr>
          </w:p>
        </w:tc>
        <w:tc>
          <w:tcPr>
            <w:tcW w:w="320" w:type="dxa"/>
            <w:vAlign w:val="bottom"/>
            <w:tcBorders>
              <w:top w:val="single" w:sz="8" w:color="0000EE"/>
            </w:tcBorders>
            <w:shd w:val="clear" w:color="auto" w:fill="EDEDED"/>
          </w:tcPr>
          <w:p>
            <w:pPr>
              <w:spacing w:after="0" w:line="20" w:lineRule="exact"/>
              <w:rPr>
                <w:sz w:val="1"/>
                <w:szCs w:val="1"/>
                <w:color w:val="auto"/>
              </w:rPr>
            </w:pPr>
          </w:p>
        </w:tc>
        <w:tc>
          <w:tcPr>
            <w:tcW w:w="240" w:type="dxa"/>
            <w:vAlign w:val="bottom"/>
            <w:tcBorders>
              <w:top w:val="single" w:sz="8" w:color="0000EE"/>
            </w:tcBorders>
            <w:shd w:val="clear" w:color="auto" w:fill="EDEDED"/>
          </w:tcPr>
          <w:p>
            <w:pPr>
              <w:spacing w:after="0" w:line="20" w:lineRule="exact"/>
              <w:rPr>
                <w:sz w:val="1"/>
                <w:szCs w:val="1"/>
                <w:color w:val="auto"/>
              </w:rPr>
            </w:pPr>
          </w:p>
        </w:tc>
        <w:tc>
          <w:tcPr>
            <w:tcW w:w="60" w:type="dxa"/>
            <w:vAlign w:val="bottom"/>
            <w:tcBorders>
              <w:top w:val="single" w:sz="8" w:color="0000EE"/>
            </w:tcBorders>
            <w:shd w:val="clear" w:color="auto" w:fill="EDEDED"/>
          </w:tcPr>
          <w:p>
            <w:pPr>
              <w:spacing w:after="0" w:line="20" w:lineRule="exact"/>
              <w:rPr>
                <w:sz w:val="1"/>
                <w:szCs w:val="1"/>
                <w:color w:val="auto"/>
              </w:rPr>
            </w:pPr>
          </w:p>
        </w:tc>
        <w:tc>
          <w:tcPr>
            <w:tcW w:w="20" w:type="dxa"/>
            <w:vAlign w:val="bottom"/>
            <w:tcBorders>
              <w:top w:val="single" w:sz="8" w:color="0000EE"/>
            </w:tcBorders>
            <w:shd w:val="clear" w:color="auto" w:fill="EDEDED"/>
          </w:tcPr>
          <w:p>
            <w:pPr>
              <w:spacing w:after="0" w:line="20" w:lineRule="exact"/>
              <w:rPr>
                <w:sz w:val="1"/>
                <w:szCs w:val="1"/>
                <w:color w:val="auto"/>
              </w:rPr>
            </w:pPr>
          </w:p>
        </w:tc>
        <w:tc>
          <w:tcPr>
            <w:tcW w:w="40" w:type="dxa"/>
            <w:vAlign w:val="bottom"/>
            <w:tcBorders>
              <w:top w:val="single" w:sz="8" w:color="0000EE"/>
            </w:tcBorders>
            <w:shd w:val="clear" w:color="auto" w:fill="EDEDED"/>
          </w:tcPr>
          <w:p>
            <w:pPr>
              <w:spacing w:after="0" w:line="20" w:lineRule="exact"/>
              <w:rPr>
                <w:sz w:val="1"/>
                <w:szCs w:val="1"/>
                <w:color w:val="auto"/>
              </w:rPr>
            </w:pPr>
          </w:p>
        </w:tc>
        <w:tc>
          <w:tcPr>
            <w:tcW w:w="20" w:type="dxa"/>
            <w:vAlign w:val="bottom"/>
            <w:tcBorders>
              <w:top w:val="single" w:sz="8" w:color="0000EE"/>
            </w:tcBorders>
            <w:shd w:val="clear" w:color="auto" w:fill="EDEDED"/>
          </w:tcPr>
          <w:p>
            <w:pPr>
              <w:spacing w:after="0" w:line="20" w:lineRule="exact"/>
              <w:rPr>
                <w:sz w:val="1"/>
                <w:szCs w:val="1"/>
                <w:color w:val="auto"/>
              </w:rPr>
            </w:pPr>
          </w:p>
        </w:tc>
        <w:tc>
          <w:tcPr>
            <w:tcW w:w="60" w:type="dxa"/>
            <w:vAlign w:val="bottom"/>
            <w:tcBorders>
              <w:top w:val="single" w:sz="8" w:color="EDEDED"/>
            </w:tcBorders>
            <w:shd w:val="clear" w:color="auto" w:fill="EDEDED"/>
          </w:tcPr>
          <w:p>
            <w:pPr>
              <w:spacing w:after="0" w:line="20" w:lineRule="exact"/>
              <w:rPr>
                <w:sz w:val="1"/>
                <w:szCs w:val="1"/>
                <w:color w:val="auto"/>
              </w:rPr>
            </w:pPr>
          </w:p>
        </w:tc>
        <w:tc>
          <w:tcPr>
            <w:tcW w:w="220" w:type="dxa"/>
            <w:vAlign w:val="bottom"/>
            <w:tcBorders>
              <w:top w:val="single" w:sz="8" w:color="EDEDED"/>
            </w:tcBorders>
            <w:shd w:val="clear" w:color="auto" w:fill="EDEDED"/>
          </w:tcPr>
          <w:p>
            <w:pPr>
              <w:spacing w:after="0" w:line="20" w:lineRule="exact"/>
              <w:rPr>
                <w:sz w:val="1"/>
                <w:szCs w:val="1"/>
                <w:color w:val="auto"/>
              </w:rPr>
            </w:pPr>
          </w:p>
        </w:tc>
        <w:tc>
          <w:tcPr>
            <w:tcW w:w="40" w:type="dxa"/>
            <w:vAlign w:val="bottom"/>
            <w:tcBorders>
              <w:top w:val="single" w:sz="8" w:color="EDEDED"/>
            </w:tcBorders>
            <w:shd w:val="clear" w:color="auto" w:fill="EDEDED"/>
          </w:tcPr>
          <w:p>
            <w:pPr>
              <w:spacing w:after="0" w:line="20" w:lineRule="exact"/>
              <w:rPr>
                <w:sz w:val="1"/>
                <w:szCs w:val="1"/>
                <w:color w:val="auto"/>
              </w:rPr>
            </w:pPr>
          </w:p>
        </w:tc>
        <w:tc>
          <w:tcPr>
            <w:tcW w:w="60" w:type="dxa"/>
            <w:vAlign w:val="bottom"/>
            <w:tcBorders>
              <w:top w:val="single" w:sz="8" w:color="EDEDED"/>
            </w:tcBorders>
            <w:shd w:val="clear" w:color="auto" w:fill="EDEDED"/>
          </w:tcPr>
          <w:p>
            <w:pPr>
              <w:spacing w:after="0" w:line="20" w:lineRule="exact"/>
              <w:rPr>
                <w:sz w:val="1"/>
                <w:szCs w:val="1"/>
                <w:color w:val="auto"/>
              </w:rPr>
            </w:pPr>
          </w:p>
        </w:tc>
        <w:tc>
          <w:tcPr>
            <w:tcW w:w="140" w:type="dxa"/>
            <w:vAlign w:val="bottom"/>
            <w:tcBorders>
              <w:top w:val="single" w:sz="8" w:color="EDEDED"/>
            </w:tcBorders>
            <w:shd w:val="clear" w:color="auto" w:fill="EDEDED"/>
          </w:tcPr>
          <w:p>
            <w:pPr>
              <w:spacing w:after="0" w:line="20" w:lineRule="exact"/>
              <w:rPr>
                <w:sz w:val="1"/>
                <w:szCs w:val="1"/>
                <w:color w:val="auto"/>
              </w:rPr>
            </w:pPr>
          </w:p>
        </w:tc>
        <w:tc>
          <w:tcPr>
            <w:tcW w:w="80" w:type="dxa"/>
            <w:vAlign w:val="bottom"/>
            <w:tcBorders>
              <w:top w:val="single" w:sz="8" w:color="EDEDED"/>
            </w:tcBorders>
            <w:shd w:val="clear" w:color="auto" w:fill="EDEDED"/>
          </w:tcPr>
          <w:p>
            <w:pPr>
              <w:spacing w:after="0" w:line="20" w:lineRule="exact"/>
              <w:rPr>
                <w:sz w:val="1"/>
                <w:szCs w:val="1"/>
                <w:color w:val="auto"/>
              </w:rPr>
            </w:pPr>
          </w:p>
        </w:tc>
        <w:tc>
          <w:tcPr>
            <w:tcW w:w="380" w:type="dxa"/>
            <w:vAlign w:val="bottom"/>
            <w:tcBorders>
              <w:top w:val="single" w:sz="8" w:color="EDEDED"/>
            </w:tcBorders>
            <w:shd w:val="clear" w:color="auto" w:fill="EDEDED"/>
          </w:tcPr>
          <w:p>
            <w:pPr>
              <w:spacing w:after="0" w:line="20" w:lineRule="exact"/>
              <w:rPr>
                <w:sz w:val="1"/>
                <w:szCs w:val="1"/>
                <w:color w:val="auto"/>
              </w:rPr>
            </w:pPr>
          </w:p>
        </w:tc>
        <w:tc>
          <w:tcPr>
            <w:tcW w:w="40" w:type="dxa"/>
            <w:vAlign w:val="bottom"/>
            <w:tcBorders>
              <w:top w:val="single" w:sz="8" w:color="EDEDED"/>
            </w:tcBorders>
            <w:shd w:val="clear" w:color="auto" w:fill="EDEDED"/>
          </w:tcPr>
          <w:p>
            <w:pPr>
              <w:spacing w:after="0" w:line="20" w:lineRule="exact"/>
              <w:rPr>
                <w:sz w:val="1"/>
                <w:szCs w:val="1"/>
                <w:color w:val="auto"/>
              </w:rPr>
            </w:pPr>
          </w:p>
        </w:tc>
        <w:tc>
          <w:tcPr>
            <w:tcW w:w="60" w:type="dxa"/>
            <w:vAlign w:val="bottom"/>
            <w:tcBorders>
              <w:top w:val="single" w:sz="8" w:color="EDEDED"/>
            </w:tcBorders>
            <w:shd w:val="clear" w:color="auto" w:fill="EDEDED"/>
          </w:tcPr>
          <w:p>
            <w:pPr>
              <w:spacing w:after="0" w:line="20" w:lineRule="exact"/>
              <w:rPr>
                <w:sz w:val="1"/>
                <w:szCs w:val="1"/>
                <w:color w:val="auto"/>
              </w:rPr>
            </w:pPr>
          </w:p>
        </w:tc>
        <w:tc>
          <w:tcPr>
            <w:tcW w:w="60" w:type="dxa"/>
            <w:vAlign w:val="bottom"/>
            <w:tcBorders>
              <w:top w:val="single" w:sz="8" w:color="EDEDED"/>
            </w:tcBorders>
            <w:shd w:val="clear" w:color="auto" w:fill="EDEDED"/>
          </w:tcPr>
          <w:p>
            <w:pPr>
              <w:spacing w:after="0" w:line="20" w:lineRule="exact"/>
              <w:rPr>
                <w:sz w:val="1"/>
                <w:szCs w:val="1"/>
                <w:color w:val="auto"/>
              </w:rPr>
            </w:pPr>
          </w:p>
        </w:tc>
        <w:tc>
          <w:tcPr>
            <w:tcW w:w="100" w:type="dxa"/>
            <w:vAlign w:val="bottom"/>
            <w:tcBorders>
              <w:top w:val="single" w:sz="8" w:color="EDEDED"/>
            </w:tcBorders>
            <w:shd w:val="clear" w:color="auto" w:fill="EDEDED"/>
          </w:tcPr>
          <w:p>
            <w:pPr>
              <w:spacing w:after="0" w:line="20" w:lineRule="exact"/>
              <w:rPr>
                <w:sz w:val="1"/>
                <w:szCs w:val="1"/>
                <w:color w:val="auto"/>
              </w:rPr>
            </w:pPr>
          </w:p>
        </w:tc>
        <w:tc>
          <w:tcPr>
            <w:tcW w:w="260" w:type="dxa"/>
            <w:vAlign w:val="bottom"/>
            <w:tcBorders>
              <w:top w:val="single" w:sz="8" w:color="EDEDED"/>
            </w:tcBorders>
            <w:shd w:val="clear" w:color="auto" w:fill="EDEDED"/>
          </w:tcPr>
          <w:p>
            <w:pPr>
              <w:spacing w:after="0" w:line="20" w:lineRule="exact"/>
              <w:rPr>
                <w:sz w:val="1"/>
                <w:szCs w:val="1"/>
                <w:color w:val="auto"/>
              </w:rPr>
            </w:pPr>
          </w:p>
        </w:tc>
        <w:tc>
          <w:tcPr>
            <w:tcW w:w="120" w:type="dxa"/>
            <w:vAlign w:val="bottom"/>
            <w:tcBorders>
              <w:top w:val="single" w:sz="8" w:color="EDEDED"/>
            </w:tcBorders>
            <w:shd w:val="clear" w:color="auto" w:fill="EDEDED"/>
          </w:tcPr>
          <w:p>
            <w:pPr>
              <w:spacing w:after="0" w:line="20" w:lineRule="exact"/>
              <w:rPr>
                <w:sz w:val="1"/>
                <w:szCs w:val="1"/>
                <w:color w:val="auto"/>
              </w:rPr>
            </w:pPr>
          </w:p>
        </w:tc>
        <w:tc>
          <w:tcPr>
            <w:tcW w:w="60" w:type="dxa"/>
            <w:vAlign w:val="bottom"/>
            <w:tcBorders>
              <w:top w:val="single" w:sz="8" w:color="EDEDED"/>
            </w:tcBorders>
            <w:shd w:val="clear" w:color="auto" w:fill="EDEDED"/>
          </w:tcPr>
          <w:p>
            <w:pPr>
              <w:spacing w:after="0" w:line="20" w:lineRule="exact"/>
              <w:rPr>
                <w:sz w:val="1"/>
                <w:szCs w:val="1"/>
                <w:color w:val="auto"/>
              </w:rPr>
            </w:pPr>
          </w:p>
        </w:tc>
        <w:tc>
          <w:tcPr>
            <w:tcW w:w="20" w:type="dxa"/>
            <w:vAlign w:val="bottom"/>
            <w:tcBorders>
              <w:top w:val="single" w:sz="8" w:color="EDEDED"/>
            </w:tcBorders>
            <w:shd w:val="clear" w:color="auto" w:fill="EDEDED"/>
          </w:tcPr>
          <w:p>
            <w:pPr>
              <w:spacing w:after="0" w:line="20" w:lineRule="exact"/>
              <w:rPr>
                <w:sz w:val="1"/>
                <w:szCs w:val="1"/>
                <w:color w:val="auto"/>
              </w:rPr>
            </w:pPr>
          </w:p>
        </w:tc>
        <w:tc>
          <w:tcPr>
            <w:tcW w:w="260" w:type="dxa"/>
            <w:vAlign w:val="bottom"/>
            <w:tcBorders>
              <w:top w:val="single" w:sz="8" w:color="EDEDED"/>
            </w:tcBorders>
            <w:shd w:val="clear" w:color="auto" w:fill="EDEDED"/>
          </w:tcPr>
          <w:p>
            <w:pPr>
              <w:spacing w:after="0" w:line="20" w:lineRule="exact"/>
              <w:rPr>
                <w:sz w:val="1"/>
                <w:szCs w:val="1"/>
                <w:color w:val="auto"/>
              </w:rPr>
            </w:pPr>
          </w:p>
        </w:tc>
        <w:tc>
          <w:tcPr>
            <w:tcW w:w="20" w:type="dxa"/>
            <w:vAlign w:val="bottom"/>
            <w:tcBorders>
              <w:top w:val="single" w:sz="8" w:color="EDEDED"/>
            </w:tcBorders>
            <w:shd w:val="clear" w:color="auto" w:fill="EDEDED"/>
          </w:tcPr>
          <w:p>
            <w:pPr>
              <w:spacing w:after="0" w:line="20" w:lineRule="exact"/>
              <w:rPr>
                <w:sz w:val="1"/>
                <w:szCs w:val="1"/>
                <w:color w:val="auto"/>
              </w:rPr>
            </w:pPr>
          </w:p>
        </w:tc>
        <w:tc>
          <w:tcPr>
            <w:tcW w:w="20" w:type="dxa"/>
            <w:vAlign w:val="bottom"/>
            <w:tcBorders>
              <w:top w:val="single" w:sz="8" w:color="EDEDED"/>
            </w:tcBorders>
            <w:shd w:val="clear" w:color="auto" w:fill="EDEDED"/>
          </w:tcPr>
          <w:p>
            <w:pPr>
              <w:spacing w:after="0" w:line="20" w:lineRule="exact"/>
              <w:rPr>
                <w:sz w:val="1"/>
                <w:szCs w:val="1"/>
                <w:color w:val="auto"/>
              </w:rPr>
            </w:pPr>
          </w:p>
        </w:tc>
        <w:tc>
          <w:tcPr>
            <w:tcW w:w="40" w:type="dxa"/>
            <w:vAlign w:val="bottom"/>
            <w:tcBorders>
              <w:top w:val="single" w:sz="8" w:color="EDEDED"/>
            </w:tcBorders>
            <w:shd w:val="clear" w:color="auto" w:fill="EDEDED"/>
          </w:tcPr>
          <w:p>
            <w:pPr>
              <w:spacing w:after="0" w:line="20" w:lineRule="exact"/>
              <w:rPr>
                <w:sz w:val="1"/>
                <w:szCs w:val="1"/>
                <w:color w:val="auto"/>
              </w:rPr>
            </w:pPr>
          </w:p>
        </w:tc>
        <w:tc>
          <w:tcPr>
            <w:tcW w:w="40" w:type="dxa"/>
            <w:vAlign w:val="bottom"/>
            <w:tcBorders>
              <w:top w:val="single" w:sz="8" w:color="EDEDED"/>
            </w:tcBorders>
            <w:shd w:val="clear" w:color="auto" w:fill="EDEDED"/>
          </w:tcPr>
          <w:p>
            <w:pPr>
              <w:spacing w:after="0" w:line="20" w:lineRule="exact"/>
              <w:rPr>
                <w:sz w:val="1"/>
                <w:szCs w:val="1"/>
                <w:color w:val="auto"/>
              </w:rPr>
            </w:pPr>
          </w:p>
        </w:tc>
        <w:tc>
          <w:tcPr>
            <w:tcW w:w="20" w:type="dxa"/>
            <w:vAlign w:val="bottom"/>
            <w:tcBorders>
              <w:top w:val="single" w:sz="8" w:color="EDEDED"/>
            </w:tcBorders>
            <w:shd w:val="clear" w:color="auto" w:fill="EDEDED"/>
          </w:tcPr>
          <w:p>
            <w:pPr>
              <w:spacing w:after="0" w:line="20" w:lineRule="exact"/>
              <w:rPr>
                <w:sz w:val="1"/>
                <w:szCs w:val="1"/>
                <w:color w:val="auto"/>
              </w:rPr>
            </w:pPr>
          </w:p>
        </w:tc>
        <w:tc>
          <w:tcPr>
            <w:tcW w:w="80" w:type="dxa"/>
            <w:vAlign w:val="bottom"/>
            <w:tcBorders>
              <w:top w:val="single" w:sz="8" w:color="EDEDED"/>
            </w:tcBorders>
            <w:shd w:val="clear" w:color="auto" w:fill="EDEDED"/>
          </w:tcPr>
          <w:p>
            <w:pPr>
              <w:spacing w:after="0" w:line="20" w:lineRule="exact"/>
              <w:rPr>
                <w:sz w:val="1"/>
                <w:szCs w:val="1"/>
                <w:color w:val="auto"/>
              </w:rPr>
            </w:pPr>
          </w:p>
        </w:tc>
        <w:tc>
          <w:tcPr>
            <w:tcW w:w="660" w:type="dxa"/>
            <w:vAlign w:val="bottom"/>
            <w:tcBorders>
              <w:top w:val="single" w:sz="8" w:color="EDEDED"/>
            </w:tcBorders>
            <w:shd w:val="clear" w:color="auto" w:fill="EDEDE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20" w:type="dxa"/>
            <w:vAlign w:val="bottom"/>
            <w:gridSpan w:val="40"/>
          </w:tcPr>
          <w:p>
            <w:pPr>
              <w:spacing w:after="0" w:line="162" w:lineRule="exact"/>
              <w:rPr>
                <w:sz w:val="20"/>
                <w:szCs w:val="20"/>
                <w:color w:val="auto"/>
              </w:rPr>
            </w:pPr>
            <w:r>
              <w:rPr>
                <w:rFonts w:ascii="Arial" w:cs="Arial" w:eastAsia="Arial" w:hAnsi="Arial"/>
                <w:sz w:val="16"/>
                <w:szCs w:val="16"/>
                <w:color w:val="0000EE"/>
              </w:rPr>
              <w:t>Governance of Executive Compensation Programs</w:t>
            </w:r>
          </w:p>
        </w:tc>
        <w:tc>
          <w:tcPr>
            <w:tcW w:w="660" w:type="dxa"/>
            <w:vAlign w:val="bottom"/>
          </w:tcPr>
          <w:p>
            <w:pPr>
              <w:jc w:val="right"/>
              <w:ind w:right="139"/>
              <w:spacing w:after="0" w:line="162" w:lineRule="exact"/>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Borders>
              <w:bottom w:val="single" w:sz="8" w:color="EDEDED"/>
            </w:tcBorders>
            <w:shd w:val="clear" w:color="auto" w:fill="EDEDED"/>
          </w:tcPr>
          <w:p>
            <w:pPr>
              <w:spacing w:after="0"/>
              <w:rPr>
                <w:sz w:val="15"/>
                <w:szCs w:val="15"/>
                <w:color w:val="auto"/>
              </w:rPr>
            </w:pPr>
          </w:p>
        </w:tc>
        <w:tc>
          <w:tcPr>
            <w:tcW w:w="4080" w:type="dxa"/>
            <w:vAlign w:val="bottom"/>
            <w:tcBorders>
              <w:bottom w:val="single" w:sz="8" w:color="0000EE"/>
            </w:tcBorders>
            <w:gridSpan w:val="31"/>
            <w:shd w:val="clear" w:color="auto" w:fill="EDEDED"/>
          </w:tcPr>
          <w:p>
            <w:pPr>
              <w:spacing w:after="0" w:line="162" w:lineRule="exact"/>
              <w:rPr>
                <w:sz w:val="20"/>
                <w:szCs w:val="20"/>
                <w:color w:val="auto"/>
              </w:rPr>
            </w:pPr>
            <w:r>
              <w:rPr>
                <w:rFonts w:ascii="Arial" w:cs="Arial" w:eastAsia="Arial" w:hAnsi="Arial"/>
                <w:sz w:val="16"/>
                <w:szCs w:val="16"/>
                <w:i w:val="1"/>
                <w:iCs w:val="1"/>
                <w:color w:val="0000EE"/>
              </w:rPr>
              <w:t>Executive Stock Ownership and Retention Requirements</w:t>
            </w:r>
          </w:p>
        </w:tc>
        <w:tc>
          <w:tcPr>
            <w:tcW w:w="500" w:type="dxa"/>
            <w:vAlign w:val="bottom"/>
            <w:tcBorders>
              <w:bottom w:val="single" w:sz="8" w:color="EDEDED"/>
            </w:tcBorders>
            <w:gridSpan w:val="8"/>
            <w:shd w:val="clear" w:color="auto" w:fill="EDEDED"/>
          </w:tcPr>
          <w:p>
            <w:pPr>
              <w:spacing w:after="0"/>
              <w:rPr>
                <w:sz w:val="15"/>
                <w:szCs w:val="15"/>
                <w:color w:val="auto"/>
              </w:rPr>
            </w:pPr>
          </w:p>
        </w:tc>
        <w:tc>
          <w:tcPr>
            <w:tcW w:w="660" w:type="dxa"/>
            <w:vAlign w:val="bottom"/>
            <w:tcBorders>
              <w:bottom w:val="single" w:sz="8" w:color="EDEDED"/>
            </w:tcBorders>
            <w:shd w:val="clear" w:color="auto" w:fill="EDEDED"/>
          </w:tcPr>
          <w:p>
            <w:pPr>
              <w:jc w:val="right"/>
              <w:ind w:right="139"/>
              <w:spacing w:after="0" w:line="162" w:lineRule="exact"/>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580" w:type="dxa"/>
            <w:vAlign w:val="bottom"/>
            <w:gridSpan w:val="39"/>
          </w:tcPr>
          <w:p>
            <w:pPr>
              <w:spacing w:after="0" w:line="162" w:lineRule="exact"/>
              <w:rPr>
                <w:sz w:val="20"/>
                <w:szCs w:val="20"/>
                <w:color w:val="auto"/>
              </w:rPr>
            </w:pPr>
            <w:r>
              <w:rPr>
                <w:rFonts w:ascii="Arial" w:cs="Arial" w:eastAsia="Arial" w:hAnsi="Arial"/>
                <w:sz w:val="16"/>
                <w:szCs w:val="16"/>
                <w:i w:val="1"/>
                <w:iCs w:val="1"/>
                <w:color w:val="0000EE"/>
              </w:rPr>
              <w:t>Incentive Compensation Recovery (“Clawback”) Policy</w:t>
            </w:r>
          </w:p>
        </w:tc>
        <w:tc>
          <w:tcPr>
            <w:tcW w:w="660" w:type="dxa"/>
            <w:vAlign w:val="bottom"/>
          </w:tcPr>
          <w:p>
            <w:pPr>
              <w:jc w:val="right"/>
              <w:ind w:right="139"/>
              <w:spacing w:after="0" w:line="162" w:lineRule="exact"/>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Borders>
              <w:bottom w:val="single" w:sz="8" w:color="EDEDED"/>
            </w:tcBorders>
            <w:shd w:val="clear" w:color="auto" w:fill="EDEDED"/>
          </w:tcPr>
          <w:p>
            <w:pPr>
              <w:spacing w:after="0"/>
              <w:rPr>
                <w:sz w:val="15"/>
                <w:szCs w:val="15"/>
                <w:color w:val="auto"/>
              </w:rPr>
            </w:pPr>
          </w:p>
        </w:tc>
        <w:tc>
          <w:tcPr>
            <w:tcW w:w="2340" w:type="dxa"/>
            <w:vAlign w:val="bottom"/>
            <w:tcBorders>
              <w:bottom w:val="single" w:sz="8" w:color="0000EE"/>
            </w:tcBorders>
            <w:gridSpan w:val="15"/>
            <w:shd w:val="clear" w:color="auto" w:fill="EDEDED"/>
          </w:tcPr>
          <w:p>
            <w:pPr>
              <w:spacing w:after="0" w:line="162" w:lineRule="exact"/>
              <w:rPr>
                <w:sz w:val="20"/>
                <w:szCs w:val="20"/>
                <w:color w:val="auto"/>
              </w:rPr>
            </w:pPr>
            <w:r>
              <w:rPr>
                <w:rFonts w:ascii="Arial" w:cs="Arial" w:eastAsia="Arial" w:hAnsi="Arial"/>
                <w:sz w:val="16"/>
                <w:szCs w:val="16"/>
                <w:i w:val="1"/>
                <w:iCs w:val="1"/>
                <w:color w:val="0000EE"/>
              </w:rPr>
              <w:t>Hedging and Pledging of Shares</w:t>
            </w:r>
          </w:p>
        </w:tc>
        <w:tc>
          <w:tcPr>
            <w:tcW w:w="2240" w:type="dxa"/>
            <w:vAlign w:val="bottom"/>
            <w:tcBorders>
              <w:bottom w:val="single" w:sz="8" w:color="EDEDED"/>
            </w:tcBorders>
            <w:gridSpan w:val="24"/>
            <w:shd w:val="clear" w:color="auto" w:fill="EDEDED"/>
          </w:tcPr>
          <w:p>
            <w:pPr>
              <w:spacing w:after="0"/>
              <w:rPr>
                <w:sz w:val="15"/>
                <w:szCs w:val="15"/>
                <w:color w:val="auto"/>
              </w:rPr>
            </w:pPr>
          </w:p>
        </w:tc>
        <w:tc>
          <w:tcPr>
            <w:tcW w:w="660" w:type="dxa"/>
            <w:vAlign w:val="bottom"/>
            <w:tcBorders>
              <w:bottom w:val="single" w:sz="8" w:color="EDEDED"/>
            </w:tcBorders>
            <w:shd w:val="clear" w:color="auto" w:fill="EDEDED"/>
          </w:tcPr>
          <w:p>
            <w:pPr>
              <w:jc w:val="right"/>
              <w:ind w:right="139"/>
              <w:spacing w:after="0" w:line="162"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580" w:type="dxa"/>
            <w:vAlign w:val="bottom"/>
            <w:gridSpan w:val="39"/>
          </w:tcPr>
          <w:p>
            <w:pPr>
              <w:spacing w:after="0" w:line="162" w:lineRule="exact"/>
              <w:rPr>
                <w:sz w:val="20"/>
                <w:szCs w:val="20"/>
                <w:color w:val="auto"/>
              </w:rPr>
            </w:pPr>
            <w:r>
              <w:rPr>
                <w:rFonts w:ascii="Arial" w:cs="Arial" w:eastAsia="Arial" w:hAnsi="Arial"/>
                <w:sz w:val="16"/>
                <w:szCs w:val="16"/>
                <w:i w:val="1"/>
                <w:iCs w:val="1"/>
                <w:color w:val="0000EE"/>
              </w:rPr>
              <w:t>Tax Considerations: Deductibility of Executive Compensation</w:t>
            </w:r>
          </w:p>
        </w:tc>
        <w:tc>
          <w:tcPr>
            <w:tcW w:w="660" w:type="dxa"/>
            <w:vAlign w:val="bottom"/>
          </w:tcPr>
          <w:p>
            <w:pPr>
              <w:jc w:val="right"/>
              <w:ind w:right="139"/>
              <w:spacing w:after="0" w:line="162"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20" w:type="dxa"/>
            <w:vAlign w:val="bottom"/>
            <w:gridSpan w:val="40"/>
            <w:shd w:val="clear" w:color="auto" w:fill="EDEDED"/>
          </w:tcPr>
          <w:p>
            <w:pPr>
              <w:spacing w:after="0" w:line="162" w:lineRule="exact"/>
              <w:rPr>
                <w:sz w:val="20"/>
                <w:szCs w:val="20"/>
                <w:color w:val="auto"/>
              </w:rPr>
            </w:pPr>
            <w:r>
              <w:rPr>
                <w:rFonts w:ascii="Arial" w:cs="Arial" w:eastAsia="Arial" w:hAnsi="Arial"/>
                <w:sz w:val="16"/>
                <w:szCs w:val="16"/>
                <w:color w:val="0000EE"/>
              </w:rPr>
              <w:t>Compensation and Talent Management Committee Report</w:t>
            </w:r>
          </w:p>
        </w:tc>
        <w:tc>
          <w:tcPr>
            <w:tcW w:w="660" w:type="dxa"/>
            <w:vAlign w:val="bottom"/>
            <w:shd w:val="clear" w:color="auto" w:fill="EDEDED"/>
          </w:tcPr>
          <w:p>
            <w:pPr>
              <w:jc w:val="right"/>
              <w:ind w:right="139"/>
              <w:spacing w:after="0" w:line="162" w:lineRule="exact"/>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61"/>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bottom w:val="single" w:sz="8" w:color="auto"/>
            </w:tcBorders>
            <w:shd w:val="clear" w:color="auto" w:fill="EDEDED"/>
          </w:tcPr>
          <w:p>
            <w:pPr>
              <w:spacing w:after="0"/>
              <w:rPr>
                <w:sz w:val="5"/>
                <w:szCs w:val="5"/>
                <w:color w:val="auto"/>
              </w:rPr>
            </w:pPr>
          </w:p>
        </w:tc>
        <w:tc>
          <w:tcPr>
            <w:tcW w:w="800" w:type="dxa"/>
            <w:vAlign w:val="bottom"/>
            <w:tcBorders>
              <w:top w:val="single" w:sz="8" w:color="0000EE"/>
              <w:bottom w:val="single" w:sz="8" w:color="auto"/>
            </w:tcBorders>
            <w:shd w:val="clear" w:color="auto" w:fill="EDEDED"/>
          </w:tcPr>
          <w:p>
            <w:pPr>
              <w:spacing w:after="0"/>
              <w:rPr>
                <w:sz w:val="5"/>
                <w:szCs w:val="5"/>
                <w:color w:val="auto"/>
              </w:rPr>
            </w:pPr>
          </w:p>
        </w:tc>
        <w:tc>
          <w:tcPr>
            <w:tcW w:w="80" w:type="dxa"/>
            <w:vAlign w:val="bottom"/>
            <w:tcBorders>
              <w:top w:val="single" w:sz="8" w:color="0000EE"/>
              <w:bottom w:val="single" w:sz="8" w:color="auto"/>
            </w:tcBorders>
            <w:shd w:val="clear" w:color="auto" w:fill="EDEDED"/>
          </w:tcPr>
          <w:p>
            <w:pPr>
              <w:spacing w:after="0"/>
              <w:rPr>
                <w:sz w:val="5"/>
                <w:szCs w:val="5"/>
                <w:color w:val="auto"/>
              </w:rPr>
            </w:pPr>
          </w:p>
        </w:tc>
        <w:tc>
          <w:tcPr>
            <w:tcW w:w="100" w:type="dxa"/>
            <w:vAlign w:val="bottom"/>
            <w:tcBorders>
              <w:top w:val="single" w:sz="8" w:color="0000EE"/>
              <w:bottom w:val="single" w:sz="8" w:color="auto"/>
            </w:tcBorders>
            <w:shd w:val="clear" w:color="auto" w:fill="EDEDED"/>
          </w:tcPr>
          <w:p>
            <w:pPr>
              <w:spacing w:after="0"/>
              <w:rPr>
                <w:sz w:val="5"/>
                <w:szCs w:val="5"/>
                <w:color w:val="auto"/>
              </w:rPr>
            </w:pPr>
          </w:p>
        </w:tc>
        <w:tc>
          <w:tcPr>
            <w:tcW w:w="60" w:type="dxa"/>
            <w:vAlign w:val="bottom"/>
            <w:tcBorders>
              <w:top w:val="single" w:sz="8" w:color="0000EE"/>
              <w:bottom w:val="single" w:sz="8" w:color="auto"/>
            </w:tcBorders>
            <w:shd w:val="clear" w:color="auto" w:fill="EDEDED"/>
          </w:tcPr>
          <w:p>
            <w:pPr>
              <w:spacing w:after="0"/>
              <w:rPr>
                <w:sz w:val="5"/>
                <w:szCs w:val="5"/>
                <w:color w:val="auto"/>
              </w:rPr>
            </w:pPr>
          </w:p>
        </w:tc>
        <w:tc>
          <w:tcPr>
            <w:tcW w:w="200" w:type="dxa"/>
            <w:vAlign w:val="bottom"/>
            <w:tcBorders>
              <w:top w:val="single" w:sz="8" w:color="0000EE"/>
              <w:bottom w:val="single" w:sz="8" w:color="auto"/>
            </w:tcBorders>
            <w:shd w:val="clear" w:color="auto" w:fill="EDEDED"/>
          </w:tcPr>
          <w:p>
            <w:pPr>
              <w:spacing w:after="0"/>
              <w:rPr>
                <w:sz w:val="5"/>
                <w:szCs w:val="5"/>
                <w:color w:val="auto"/>
              </w:rPr>
            </w:pPr>
          </w:p>
        </w:tc>
        <w:tc>
          <w:tcPr>
            <w:tcW w:w="180" w:type="dxa"/>
            <w:vAlign w:val="bottom"/>
            <w:tcBorders>
              <w:top w:val="single" w:sz="8" w:color="0000EE"/>
              <w:bottom w:val="single" w:sz="8" w:color="auto"/>
            </w:tcBorders>
            <w:shd w:val="clear" w:color="auto" w:fill="EDEDED"/>
          </w:tcPr>
          <w:p>
            <w:pPr>
              <w:spacing w:after="0"/>
              <w:rPr>
                <w:sz w:val="5"/>
                <w:szCs w:val="5"/>
                <w:color w:val="auto"/>
              </w:rPr>
            </w:pPr>
          </w:p>
        </w:tc>
        <w:tc>
          <w:tcPr>
            <w:tcW w:w="20" w:type="dxa"/>
            <w:vAlign w:val="bottom"/>
            <w:tcBorders>
              <w:top w:val="single" w:sz="8" w:color="0000EE"/>
              <w:bottom w:val="single" w:sz="8" w:color="auto"/>
            </w:tcBorders>
            <w:shd w:val="clear" w:color="auto" w:fill="EDEDED"/>
          </w:tcPr>
          <w:p>
            <w:pPr>
              <w:spacing w:after="0"/>
              <w:rPr>
                <w:sz w:val="5"/>
                <w:szCs w:val="5"/>
                <w:color w:val="auto"/>
              </w:rPr>
            </w:pPr>
          </w:p>
        </w:tc>
        <w:tc>
          <w:tcPr>
            <w:tcW w:w="60" w:type="dxa"/>
            <w:vAlign w:val="bottom"/>
            <w:tcBorders>
              <w:top w:val="single" w:sz="8" w:color="0000EE"/>
              <w:bottom w:val="single" w:sz="8" w:color="auto"/>
            </w:tcBorders>
            <w:shd w:val="clear" w:color="auto" w:fill="EDEDED"/>
          </w:tcPr>
          <w:p>
            <w:pPr>
              <w:spacing w:after="0"/>
              <w:rPr>
                <w:sz w:val="5"/>
                <w:szCs w:val="5"/>
                <w:color w:val="auto"/>
              </w:rPr>
            </w:pPr>
          </w:p>
        </w:tc>
        <w:tc>
          <w:tcPr>
            <w:tcW w:w="60" w:type="dxa"/>
            <w:vAlign w:val="bottom"/>
            <w:tcBorders>
              <w:top w:val="single" w:sz="8" w:color="0000EE"/>
              <w:bottom w:val="single" w:sz="8" w:color="auto"/>
            </w:tcBorders>
            <w:shd w:val="clear" w:color="auto" w:fill="EDEDED"/>
          </w:tcPr>
          <w:p>
            <w:pPr>
              <w:spacing w:after="0"/>
              <w:rPr>
                <w:sz w:val="5"/>
                <w:szCs w:val="5"/>
                <w:color w:val="auto"/>
              </w:rPr>
            </w:pPr>
          </w:p>
        </w:tc>
        <w:tc>
          <w:tcPr>
            <w:tcW w:w="60" w:type="dxa"/>
            <w:vAlign w:val="bottom"/>
            <w:tcBorders>
              <w:top w:val="single" w:sz="8" w:color="0000EE"/>
              <w:bottom w:val="single" w:sz="8" w:color="auto"/>
            </w:tcBorders>
            <w:shd w:val="clear" w:color="auto" w:fill="EDEDED"/>
          </w:tcPr>
          <w:p>
            <w:pPr>
              <w:spacing w:after="0"/>
              <w:rPr>
                <w:sz w:val="5"/>
                <w:szCs w:val="5"/>
                <w:color w:val="auto"/>
              </w:rPr>
            </w:pPr>
          </w:p>
        </w:tc>
        <w:tc>
          <w:tcPr>
            <w:tcW w:w="80" w:type="dxa"/>
            <w:vAlign w:val="bottom"/>
            <w:tcBorders>
              <w:top w:val="single" w:sz="8" w:color="0000EE"/>
              <w:bottom w:val="single" w:sz="8" w:color="auto"/>
            </w:tcBorders>
            <w:shd w:val="clear" w:color="auto" w:fill="EDEDED"/>
          </w:tcPr>
          <w:p>
            <w:pPr>
              <w:spacing w:after="0"/>
              <w:rPr>
                <w:sz w:val="5"/>
                <w:szCs w:val="5"/>
                <w:color w:val="auto"/>
              </w:rPr>
            </w:pPr>
          </w:p>
        </w:tc>
        <w:tc>
          <w:tcPr>
            <w:tcW w:w="320" w:type="dxa"/>
            <w:vAlign w:val="bottom"/>
            <w:tcBorders>
              <w:top w:val="single" w:sz="8" w:color="0000EE"/>
              <w:bottom w:val="single" w:sz="8" w:color="auto"/>
            </w:tcBorders>
            <w:shd w:val="clear" w:color="auto" w:fill="EDEDED"/>
          </w:tcPr>
          <w:p>
            <w:pPr>
              <w:spacing w:after="0"/>
              <w:rPr>
                <w:sz w:val="5"/>
                <w:szCs w:val="5"/>
                <w:color w:val="auto"/>
              </w:rPr>
            </w:pPr>
          </w:p>
        </w:tc>
        <w:tc>
          <w:tcPr>
            <w:tcW w:w="240" w:type="dxa"/>
            <w:vAlign w:val="bottom"/>
            <w:tcBorders>
              <w:top w:val="single" w:sz="8" w:color="0000EE"/>
              <w:bottom w:val="single" w:sz="8" w:color="auto"/>
            </w:tcBorders>
            <w:shd w:val="clear" w:color="auto" w:fill="EDEDED"/>
          </w:tcPr>
          <w:p>
            <w:pPr>
              <w:spacing w:after="0"/>
              <w:rPr>
                <w:sz w:val="5"/>
                <w:szCs w:val="5"/>
                <w:color w:val="auto"/>
              </w:rPr>
            </w:pPr>
          </w:p>
        </w:tc>
        <w:tc>
          <w:tcPr>
            <w:tcW w:w="60" w:type="dxa"/>
            <w:vAlign w:val="bottom"/>
            <w:tcBorders>
              <w:top w:val="single" w:sz="8" w:color="0000EE"/>
              <w:bottom w:val="single" w:sz="8" w:color="auto"/>
            </w:tcBorders>
            <w:shd w:val="clear" w:color="auto" w:fill="EDEDED"/>
          </w:tcPr>
          <w:p>
            <w:pPr>
              <w:spacing w:after="0"/>
              <w:rPr>
                <w:sz w:val="5"/>
                <w:szCs w:val="5"/>
                <w:color w:val="auto"/>
              </w:rPr>
            </w:pPr>
          </w:p>
        </w:tc>
        <w:tc>
          <w:tcPr>
            <w:tcW w:w="20" w:type="dxa"/>
            <w:vAlign w:val="bottom"/>
            <w:tcBorders>
              <w:top w:val="single" w:sz="8" w:color="0000EE"/>
              <w:bottom w:val="single" w:sz="8" w:color="auto"/>
            </w:tcBorders>
            <w:shd w:val="clear" w:color="auto" w:fill="EDEDED"/>
          </w:tcPr>
          <w:p>
            <w:pPr>
              <w:spacing w:after="0"/>
              <w:rPr>
                <w:sz w:val="5"/>
                <w:szCs w:val="5"/>
                <w:color w:val="auto"/>
              </w:rPr>
            </w:pPr>
          </w:p>
        </w:tc>
        <w:tc>
          <w:tcPr>
            <w:tcW w:w="40" w:type="dxa"/>
            <w:vAlign w:val="bottom"/>
            <w:tcBorders>
              <w:top w:val="single" w:sz="8" w:color="0000EE"/>
              <w:bottom w:val="single" w:sz="8" w:color="auto"/>
            </w:tcBorders>
            <w:shd w:val="clear" w:color="auto" w:fill="EDEDED"/>
          </w:tcPr>
          <w:p>
            <w:pPr>
              <w:spacing w:after="0"/>
              <w:rPr>
                <w:sz w:val="5"/>
                <w:szCs w:val="5"/>
                <w:color w:val="auto"/>
              </w:rPr>
            </w:pPr>
          </w:p>
        </w:tc>
        <w:tc>
          <w:tcPr>
            <w:tcW w:w="20" w:type="dxa"/>
            <w:vAlign w:val="bottom"/>
            <w:tcBorders>
              <w:top w:val="single" w:sz="8" w:color="0000EE"/>
              <w:bottom w:val="single" w:sz="8" w:color="auto"/>
            </w:tcBorders>
            <w:shd w:val="clear" w:color="auto" w:fill="EDEDED"/>
          </w:tcPr>
          <w:p>
            <w:pPr>
              <w:spacing w:after="0"/>
              <w:rPr>
                <w:sz w:val="5"/>
                <w:szCs w:val="5"/>
                <w:color w:val="auto"/>
              </w:rPr>
            </w:pPr>
          </w:p>
        </w:tc>
        <w:tc>
          <w:tcPr>
            <w:tcW w:w="60" w:type="dxa"/>
            <w:vAlign w:val="bottom"/>
            <w:tcBorders>
              <w:top w:val="single" w:sz="8" w:color="0000EE"/>
              <w:bottom w:val="single" w:sz="8" w:color="auto"/>
            </w:tcBorders>
            <w:shd w:val="clear" w:color="auto" w:fill="EDEDED"/>
          </w:tcPr>
          <w:p>
            <w:pPr>
              <w:spacing w:after="0"/>
              <w:rPr>
                <w:sz w:val="5"/>
                <w:szCs w:val="5"/>
                <w:color w:val="auto"/>
              </w:rPr>
            </w:pPr>
          </w:p>
        </w:tc>
        <w:tc>
          <w:tcPr>
            <w:tcW w:w="220" w:type="dxa"/>
            <w:vAlign w:val="bottom"/>
            <w:tcBorders>
              <w:top w:val="single" w:sz="8" w:color="0000EE"/>
              <w:bottom w:val="single" w:sz="8" w:color="auto"/>
            </w:tcBorders>
            <w:shd w:val="clear" w:color="auto" w:fill="EDEDED"/>
          </w:tcPr>
          <w:p>
            <w:pPr>
              <w:spacing w:after="0"/>
              <w:rPr>
                <w:sz w:val="5"/>
                <w:szCs w:val="5"/>
                <w:color w:val="auto"/>
              </w:rPr>
            </w:pPr>
          </w:p>
        </w:tc>
        <w:tc>
          <w:tcPr>
            <w:tcW w:w="40" w:type="dxa"/>
            <w:vAlign w:val="bottom"/>
            <w:tcBorders>
              <w:top w:val="single" w:sz="8" w:color="0000EE"/>
              <w:bottom w:val="single" w:sz="8" w:color="auto"/>
            </w:tcBorders>
            <w:shd w:val="clear" w:color="auto" w:fill="EDEDED"/>
          </w:tcPr>
          <w:p>
            <w:pPr>
              <w:spacing w:after="0"/>
              <w:rPr>
                <w:sz w:val="5"/>
                <w:szCs w:val="5"/>
                <w:color w:val="auto"/>
              </w:rPr>
            </w:pPr>
          </w:p>
        </w:tc>
        <w:tc>
          <w:tcPr>
            <w:tcW w:w="60" w:type="dxa"/>
            <w:vAlign w:val="bottom"/>
            <w:tcBorders>
              <w:top w:val="single" w:sz="8" w:color="0000EE"/>
              <w:bottom w:val="single" w:sz="8" w:color="auto"/>
            </w:tcBorders>
            <w:shd w:val="clear" w:color="auto" w:fill="EDEDED"/>
          </w:tcPr>
          <w:p>
            <w:pPr>
              <w:spacing w:after="0"/>
              <w:rPr>
                <w:sz w:val="5"/>
                <w:szCs w:val="5"/>
                <w:color w:val="auto"/>
              </w:rPr>
            </w:pPr>
          </w:p>
        </w:tc>
        <w:tc>
          <w:tcPr>
            <w:tcW w:w="140" w:type="dxa"/>
            <w:vAlign w:val="bottom"/>
            <w:tcBorders>
              <w:top w:val="single" w:sz="8" w:color="0000EE"/>
              <w:bottom w:val="single" w:sz="8" w:color="auto"/>
            </w:tcBorders>
            <w:shd w:val="clear" w:color="auto" w:fill="EDEDED"/>
          </w:tcPr>
          <w:p>
            <w:pPr>
              <w:spacing w:after="0"/>
              <w:rPr>
                <w:sz w:val="5"/>
                <w:szCs w:val="5"/>
                <w:color w:val="auto"/>
              </w:rPr>
            </w:pPr>
          </w:p>
        </w:tc>
        <w:tc>
          <w:tcPr>
            <w:tcW w:w="80" w:type="dxa"/>
            <w:vAlign w:val="bottom"/>
            <w:tcBorders>
              <w:top w:val="single" w:sz="8" w:color="0000EE"/>
              <w:bottom w:val="single" w:sz="8" w:color="auto"/>
            </w:tcBorders>
            <w:shd w:val="clear" w:color="auto" w:fill="EDEDED"/>
          </w:tcPr>
          <w:p>
            <w:pPr>
              <w:spacing w:after="0"/>
              <w:rPr>
                <w:sz w:val="5"/>
                <w:szCs w:val="5"/>
                <w:color w:val="auto"/>
              </w:rPr>
            </w:pPr>
          </w:p>
        </w:tc>
        <w:tc>
          <w:tcPr>
            <w:tcW w:w="380" w:type="dxa"/>
            <w:vAlign w:val="bottom"/>
            <w:tcBorders>
              <w:top w:val="single" w:sz="8" w:color="0000EE"/>
              <w:bottom w:val="single" w:sz="8" w:color="auto"/>
            </w:tcBorders>
            <w:shd w:val="clear" w:color="auto" w:fill="EDEDED"/>
          </w:tcPr>
          <w:p>
            <w:pPr>
              <w:spacing w:after="0"/>
              <w:rPr>
                <w:sz w:val="5"/>
                <w:szCs w:val="5"/>
                <w:color w:val="auto"/>
              </w:rPr>
            </w:pPr>
          </w:p>
        </w:tc>
        <w:tc>
          <w:tcPr>
            <w:tcW w:w="40" w:type="dxa"/>
            <w:vAlign w:val="bottom"/>
            <w:tcBorders>
              <w:top w:val="single" w:sz="8" w:color="0000EE"/>
              <w:bottom w:val="single" w:sz="8" w:color="auto"/>
            </w:tcBorders>
            <w:shd w:val="clear" w:color="auto" w:fill="EDEDED"/>
          </w:tcPr>
          <w:p>
            <w:pPr>
              <w:spacing w:after="0"/>
              <w:rPr>
                <w:sz w:val="5"/>
                <w:szCs w:val="5"/>
                <w:color w:val="auto"/>
              </w:rPr>
            </w:pPr>
          </w:p>
        </w:tc>
        <w:tc>
          <w:tcPr>
            <w:tcW w:w="60" w:type="dxa"/>
            <w:vAlign w:val="bottom"/>
            <w:tcBorders>
              <w:top w:val="single" w:sz="8" w:color="0000EE"/>
              <w:bottom w:val="single" w:sz="8" w:color="auto"/>
            </w:tcBorders>
            <w:shd w:val="clear" w:color="auto" w:fill="EDEDED"/>
          </w:tcPr>
          <w:p>
            <w:pPr>
              <w:spacing w:after="0"/>
              <w:rPr>
                <w:sz w:val="5"/>
                <w:szCs w:val="5"/>
                <w:color w:val="auto"/>
              </w:rPr>
            </w:pPr>
          </w:p>
        </w:tc>
        <w:tc>
          <w:tcPr>
            <w:tcW w:w="60" w:type="dxa"/>
            <w:vAlign w:val="bottom"/>
            <w:tcBorders>
              <w:top w:val="single" w:sz="8" w:color="0000EE"/>
              <w:bottom w:val="single" w:sz="8" w:color="auto"/>
            </w:tcBorders>
            <w:shd w:val="clear" w:color="auto" w:fill="EDEDED"/>
          </w:tcPr>
          <w:p>
            <w:pPr>
              <w:spacing w:after="0"/>
              <w:rPr>
                <w:sz w:val="5"/>
                <w:szCs w:val="5"/>
                <w:color w:val="auto"/>
              </w:rPr>
            </w:pPr>
          </w:p>
        </w:tc>
        <w:tc>
          <w:tcPr>
            <w:tcW w:w="100" w:type="dxa"/>
            <w:vAlign w:val="bottom"/>
            <w:tcBorders>
              <w:top w:val="single" w:sz="8" w:color="0000EE"/>
              <w:bottom w:val="single" w:sz="8" w:color="auto"/>
            </w:tcBorders>
            <w:shd w:val="clear" w:color="auto" w:fill="EDEDED"/>
          </w:tcPr>
          <w:p>
            <w:pPr>
              <w:spacing w:after="0"/>
              <w:rPr>
                <w:sz w:val="5"/>
                <w:szCs w:val="5"/>
                <w:color w:val="auto"/>
              </w:rPr>
            </w:pPr>
          </w:p>
        </w:tc>
        <w:tc>
          <w:tcPr>
            <w:tcW w:w="260" w:type="dxa"/>
            <w:vAlign w:val="bottom"/>
            <w:tcBorders>
              <w:top w:val="single" w:sz="8" w:color="0000EE"/>
              <w:bottom w:val="single" w:sz="8" w:color="auto"/>
            </w:tcBorders>
            <w:shd w:val="clear" w:color="auto" w:fill="EDEDED"/>
          </w:tcPr>
          <w:p>
            <w:pPr>
              <w:spacing w:after="0"/>
              <w:rPr>
                <w:sz w:val="5"/>
                <w:szCs w:val="5"/>
                <w:color w:val="auto"/>
              </w:rPr>
            </w:pPr>
          </w:p>
        </w:tc>
        <w:tc>
          <w:tcPr>
            <w:tcW w:w="120" w:type="dxa"/>
            <w:vAlign w:val="bottom"/>
            <w:tcBorders>
              <w:top w:val="single" w:sz="8" w:color="0000EE"/>
              <w:bottom w:val="single" w:sz="8" w:color="auto"/>
            </w:tcBorders>
            <w:shd w:val="clear" w:color="auto" w:fill="EDEDED"/>
          </w:tcPr>
          <w:p>
            <w:pPr>
              <w:spacing w:after="0"/>
              <w:rPr>
                <w:sz w:val="5"/>
                <w:szCs w:val="5"/>
                <w:color w:val="auto"/>
              </w:rPr>
            </w:pPr>
          </w:p>
        </w:tc>
        <w:tc>
          <w:tcPr>
            <w:tcW w:w="60" w:type="dxa"/>
            <w:vAlign w:val="bottom"/>
            <w:tcBorders>
              <w:top w:val="single" w:sz="8" w:color="EDEDED"/>
              <w:bottom w:val="single" w:sz="8" w:color="auto"/>
            </w:tcBorders>
            <w:shd w:val="clear" w:color="auto" w:fill="EDEDED"/>
          </w:tcPr>
          <w:p>
            <w:pPr>
              <w:spacing w:after="0"/>
              <w:rPr>
                <w:sz w:val="5"/>
                <w:szCs w:val="5"/>
                <w:color w:val="auto"/>
              </w:rPr>
            </w:pPr>
          </w:p>
        </w:tc>
        <w:tc>
          <w:tcPr>
            <w:tcW w:w="20" w:type="dxa"/>
            <w:vAlign w:val="bottom"/>
            <w:tcBorders>
              <w:top w:val="single" w:sz="8" w:color="EDEDED"/>
              <w:bottom w:val="single" w:sz="8" w:color="auto"/>
            </w:tcBorders>
            <w:shd w:val="clear" w:color="auto" w:fill="EDEDED"/>
          </w:tcPr>
          <w:p>
            <w:pPr>
              <w:spacing w:after="0"/>
              <w:rPr>
                <w:sz w:val="5"/>
                <w:szCs w:val="5"/>
                <w:color w:val="auto"/>
              </w:rPr>
            </w:pPr>
          </w:p>
        </w:tc>
        <w:tc>
          <w:tcPr>
            <w:tcW w:w="260" w:type="dxa"/>
            <w:vAlign w:val="bottom"/>
            <w:tcBorders>
              <w:top w:val="single" w:sz="8" w:color="EDEDED"/>
              <w:bottom w:val="single" w:sz="8" w:color="auto"/>
            </w:tcBorders>
            <w:shd w:val="clear" w:color="auto" w:fill="EDEDED"/>
          </w:tcPr>
          <w:p>
            <w:pPr>
              <w:spacing w:after="0"/>
              <w:rPr>
                <w:sz w:val="5"/>
                <w:szCs w:val="5"/>
                <w:color w:val="auto"/>
              </w:rPr>
            </w:pPr>
          </w:p>
        </w:tc>
        <w:tc>
          <w:tcPr>
            <w:tcW w:w="20" w:type="dxa"/>
            <w:vAlign w:val="bottom"/>
            <w:tcBorders>
              <w:top w:val="single" w:sz="8" w:color="EDEDED"/>
              <w:bottom w:val="single" w:sz="8" w:color="auto"/>
            </w:tcBorders>
            <w:shd w:val="clear" w:color="auto" w:fill="EDEDED"/>
          </w:tcPr>
          <w:p>
            <w:pPr>
              <w:spacing w:after="0"/>
              <w:rPr>
                <w:sz w:val="5"/>
                <w:szCs w:val="5"/>
                <w:color w:val="auto"/>
              </w:rPr>
            </w:pPr>
          </w:p>
        </w:tc>
        <w:tc>
          <w:tcPr>
            <w:tcW w:w="20" w:type="dxa"/>
            <w:vAlign w:val="bottom"/>
            <w:tcBorders>
              <w:top w:val="single" w:sz="8" w:color="EDEDED"/>
              <w:bottom w:val="single" w:sz="8" w:color="auto"/>
            </w:tcBorders>
            <w:shd w:val="clear" w:color="auto" w:fill="EDEDED"/>
          </w:tcPr>
          <w:p>
            <w:pPr>
              <w:spacing w:after="0"/>
              <w:rPr>
                <w:sz w:val="5"/>
                <w:szCs w:val="5"/>
                <w:color w:val="auto"/>
              </w:rPr>
            </w:pPr>
          </w:p>
        </w:tc>
        <w:tc>
          <w:tcPr>
            <w:tcW w:w="40" w:type="dxa"/>
            <w:vAlign w:val="bottom"/>
            <w:tcBorders>
              <w:top w:val="single" w:sz="8" w:color="EDEDED"/>
              <w:bottom w:val="single" w:sz="8" w:color="auto"/>
            </w:tcBorders>
            <w:shd w:val="clear" w:color="auto" w:fill="EDEDED"/>
          </w:tcPr>
          <w:p>
            <w:pPr>
              <w:spacing w:after="0"/>
              <w:rPr>
                <w:sz w:val="5"/>
                <w:szCs w:val="5"/>
                <w:color w:val="auto"/>
              </w:rPr>
            </w:pPr>
          </w:p>
        </w:tc>
        <w:tc>
          <w:tcPr>
            <w:tcW w:w="40" w:type="dxa"/>
            <w:vAlign w:val="bottom"/>
            <w:tcBorders>
              <w:top w:val="single" w:sz="8" w:color="EDEDED"/>
              <w:bottom w:val="single" w:sz="8" w:color="auto"/>
            </w:tcBorders>
            <w:shd w:val="clear" w:color="auto" w:fill="EDEDED"/>
          </w:tcPr>
          <w:p>
            <w:pPr>
              <w:spacing w:after="0"/>
              <w:rPr>
                <w:sz w:val="5"/>
                <w:szCs w:val="5"/>
                <w:color w:val="auto"/>
              </w:rPr>
            </w:pPr>
          </w:p>
        </w:tc>
        <w:tc>
          <w:tcPr>
            <w:tcW w:w="20" w:type="dxa"/>
            <w:vAlign w:val="bottom"/>
            <w:tcBorders>
              <w:top w:val="single" w:sz="8" w:color="EDEDED"/>
              <w:bottom w:val="single" w:sz="8" w:color="auto"/>
            </w:tcBorders>
            <w:shd w:val="clear" w:color="auto" w:fill="EDEDED"/>
          </w:tcPr>
          <w:p>
            <w:pPr>
              <w:spacing w:after="0"/>
              <w:rPr>
                <w:sz w:val="5"/>
                <w:szCs w:val="5"/>
                <w:color w:val="auto"/>
              </w:rPr>
            </w:pPr>
          </w:p>
        </w:tc>
        <w:tc>
          <w:tcPr>
            <w:tcW w:w="80" w:type="dxa"/>
            <w:vAlign w:val="bottom"/>
            <w:tcBorders>
              <w:top w:val="single" w:sz="8" w:color="EDEDED"/>
              <w:bottom w:val="single" w:sz="8" w:color="auto"/>
            </w:tcBorders>
            <w:shd w:val="clear" w:color="auto" w:fill="EDEDED"/>
          </w:tcPr>
          <w:p>
            <w:pPr>
              <w:spacing w:after="0"/>
              <w:rPr>
                <w:sz w:val="5"/>
                <w:szCs w:val="5"/>
                <w:color w:val="auto"/>
              </w:rPr>
            </w:pPr>
          </w:p>
        </w:tc>
        <w:tc>
          <w:tcPr>
            <w:tcW w:w="660" w:type="dxa"/>
            <w:vAlign w:val="bottom"/>
            <w:tcBorders>
              <w:top w:val="single" w:sz="8" w:color="EDEDED"/>
              <w:bottom w:val="single" w:sz="8" w:color="auto"/>
            </w:tcBorders>
            <w:shd w:val="clear" w:color="auto" w:fill="EDEDED"/>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20" w:type="dxa"/>
            <w:vAlign w:val="bottom"/>
            <w:gridSpan w:val="40"/>
          </w:tcPr>
          <w:p>
            <w:pPr>
              <w:spacing w:after="0" w:line="169" w:lineRule="exact"/>
              <w:rPr>
                <w:sz w:val="20"/>
                <w:szCs w:val="20"/>
                <w:color w:val="auto"/>
              </w:rPr>
            </w:pPr>
            <w:r>
              <w:rPr>
                <w:rFonts w:ascii="Arial" w:cs="Arial" w:eastAsia="Arial" w:hAnsi="Arial"/>
                <w:sz w:val="16"/>
                <w:szCs w:val="16"/>
                <w:b w:val="1"/>
                <w:bCs w:val="1"/>
                <w:color w:val="0000EE"/>
              </w:rPr>
              <w:t>2022 Executive Compensation Tables</w:t>
            </w:r>
          </w:p>
        </w:tc>
        <w:tc>
          <w:tcPr>
            <w:tcW w:w="660" w:type="dxa"/>
            <w:vAlign w:val="bottom"/>
          </w:tcPr>
          <w:p>
            <w:pPr>
              <w:jc w:val="right"/>
              <w:ind w:right="139"/>
              <w:spacing w:after="0" w:line="169" w:lineRule="exact"/>
              <w:rPr>
                <w:sz w:val="20"/>
                <w:szCs w:val="20"/>
                <w:color w:val="auto"/>
              </w:rPr>
            </w:pPr>
            <w:r>
              <w:rPr>
                <w:rFonts w:ascii="Arial" w:cs="Arial" w:eastAsia="Arial" w:hAnsi="Arial"/>
                <w:sz w:val="16"/>
                <w:szCs w:val="16"/>
                <w:b w:val="1"/>
                <w:bCs w:val="1"/>
                <w:color w:val="00AF41"/>
              </w:rPr>
              <w:t>72</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0000EE"/>
            </w:tcBorders>
            <w:vMerge w:val="continue"/>
          </w:tcPr>
          <w:p>
            <w:pPr>
              <w:spacing w:after="0"/>
              <w:rPr>
                <w:sz w:val="15"/>
                <w:szCs w:val="15"/>
                <w:color w:val="auto"/>
              </w:rPr>
            </w:pPr>
          </w:p>
        </w:tc>
        <w:tc>
          <w:tcPr>
            <w:tcW w:w="2600" w:type="dxa"/>
            <w:vAlign w:val="bottom"/>
            <w:tcBorders>
              <w:bottom w:val="single" w:sz="8" w:color="0000EE"/>
            </w:tcBorders>
            <w:gridSpan w:val="19"/>
            <w:shd w:val="clear" w:color="auto" w:fill="EDEDED"/>
          </w:tcPr>
          <w:p>
            <w:pPr>
              <w:spacing w:after="0" w:line="162" w:lineRule="exact"/>
              <w:rPr>
                <w:sz w:val="20"/>
                <w:szCs w:val="20"/>
                <w:color w:val="auto"/>
              </w:rPr>
            </w:pPr>
            <w:r>
              <w:rPr>
                <w:rFonts w:ascii="Arial" w:cs="Arial" w:eastAsia="Arial" w:hAnsi="Arial"/>
                <w:sz w:val="16"/>
                <w:szCs w:val="16"/>
                <w:color w:val="0000EE"/>
                <w:w w:val="99"/>
              </w:rPr>
              <w:t>Summary Compensation Table 2022</w:t>
            </w:r>
          </w:p>
        </w:tc>
        <w:tc>
          <w:tcPr>
            <w:tcW w:w="2120" w:type="dxa"/>
            <w:vAlign w:val="bottom"/>
            <w:tcBorders>
              <w:bottom w:val="single" w:sz="8" w:color="EDEDED"/>
            </w:tcBorders>
            <w:gridSpan w:val="21"/>
            <w:shd w:val="clear" w:color="auto" w:fill="EDEDED"/>
          </w:tcPr>
          <w:p>
            <w:pPr>
              <w:spacing w:after="0"/>
              <w:rPr>
                <w:sz w:val="15"/>
                <w:szCs w:val="15"/>
                <w:color w:val="auto"/>
              </w:rPr>
            </w:pPr>
          </w:p>
        </w:tc>
        <w:tc>
          <w:tcPr>
            <w:tcW w:w="660" w:type="dxa"/>
            <w:vAlign w:val="bottom"/>
            <w:tcBorders>
              <w:bottom w:val="single" w:sz="8" w:color="EDEDED"/>
            </w:tcBorders>
            <w:shd w:val="clear" w:color="auto" w:fill="EDEDED"/>
          </w:tcPr>
          <w:p>
            <w:pPr>
              <w:jc w:val="right"/>
              <w:ind w:right="139"/>
              <w:spacing w:after="0" w:line="162" w:lineRule="exact"/>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gridSpan w:val="40"/>
          </w:tcPr>
          <w:p>
            <w:pPr>
              <w:spacing w:after="0" w:line="162" w:lineRule="exact"/>
              <w:rPr>
                <w:sz w:val="20"/>
                <w:szCs w:val="20"/>
                <w:color w:val="auto"/>
              </w:rPr>
            </w:pPr>
            <w:r>
              <w:rPr>
                <w:rFonts w:ascii="Arial" w:cs="Arial" w:eastAsia="Arial" w:hAnsi="Arial"/>
                <w:sz w:val="16"/>
                <w:szCs w:val="16"/>
                <w:color w:val="0000EE"/>
              </w:rPr>
              <w:t>Grants of Plan-Based Awards 2022</w:t>
            </w:r>
          </w:p>
        </w:tc>
        <w:tc>
          <w:tcPr>
            <w:tcW w:w="660" w:type="dxa"/>
            <w:vAlign w:val="bottom"/>
          </w:tcPr>
          <w:p>
            <w:pPr>
              <w:jc w:val="right"/>
              <w:ind w:right="139"/>
              <w:spacing w:after="0" w:line="162"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4720" w:type="dxa"/>
            <w:vAlign w:val="bottom"/>
            <w:gridSpan w:val="40"/>
            <w:shd w:val="clear" w:color="auto" w:fill="EDEDED"/>
          </w:tcPr>
          <w:p>
            <w:pPr>
              <w:spacing w:after="0" w:line="162" w:lineRule="exact"/>
              <w:rPr>
                <w:sz w:val="20"/>
                <w:szCs w:val="20"/>
                <w:color w:val="auto"/>
              </w:rPr>
            </w:pPr>
            <w:r>
              <w:rPr>
                <w:rFonts w:ascii="Arial" w:cs="Arial" w:eastAsia="Arial" w:hAnsi="Arial"/>
                <w:sz w:val="16"/>
                <w:szCs w:val="16"/>
                <w:color w:val="0000EE"/>
              </w:rPr>
              <w:t>Outstanding Equity Awards at Fiscal Year End 2022</w:t>
            </w:r>
          </w:p>
        </w:tc>
        <w:tc>
          <w:tcPr>
            <w:tcW w:w="660" w:type="dxa"/>
            <w:vAlign w:val="bottom"/>
            <w:shd w:val="clear" w:color="auto" w:fill="EDEDED"/>
          </w:tcPr>
          <w:p>
            <w:pPr>
              <w:jc w:val="right"/>
              <w:ind w:right="139"/>
              <w:spacing w:after="0" w:line="162" w:lineRule="exact"/>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62"/>
        </w:trPr>
        <w:tc>
          <w:tcPr>
            <w:tcW w:w="20" w:type="dxa"/>
            <w:vAlign w:val="bottom"/>
            <w:tcBorders>
              <w:top w:val="single" w:sz="8" w:color="0000EE"/>
            </w:tcBorders>
          </w:tcPr>
          <w:p>
            <w:pPr>
              <w:spacing w:after="0"/>
              <w:rPr>
                <w:sz w:val="14"/>
                <w:szCs w:val="14"/>
                <w:color w:val="auto"/>
              </w:rPr>
            </w:pPr>
          </w:p>
        </w:tc>
        <w:tc>
          <w:tcPr>
            <w:tcW w:w="3680" w:type="dxa"/>
            <w:vAlign w:val="bottom"/>
            <w:tcBorders>
              <w:top w:val="single" w:sz="8" w:color="0000EE"/>
            </w:tcBorders>
            <w:gridSpan w:val="28"/>
          </w:tcPr>
          <w:p>
            <w:pPr>
              <w:spacing w:after="0" w:line="162" w:lineRule="exact"/>
              <w:rPr>
                <w:sz w:val="20"/>
                <w:szCs w:val="20"/>
                <w:color w:val="auto"/>
              </w:rPr>
            </w:pPr>
            <w:r>
              <w:rPr>
                <w:rFonts w:ascii="Arial" w:cs="Arial" w:eastAsia="Arial" w:hAnsi="Arial"/>
                <w:sz w:val="16"/>
                <w:szCs w:val="16"/>
                <w:color w:val="0000EE"/>
              </w:rPr>
              <w:t>Option Exercises and Stock Vested 2022</w:t>
            </w:r>
          </w:p>
        </w:tc>
        <w:tc>
          <w:tcPr>
            <w:tcW w:w="1040" w:type="dxa"/>
            <w:vAlign w:val="bottom"/>
            <w:tcBorders>
              <w:top w:val="single" w:sz="8" w:color="EDEDED"/>
            </w:tcBorders>
            <w:gridSpan w:val="12"/>
          </w:tcPr>
          <w:p>
            <w:pPr>
              <w:spacing w:after="0"/>
              <w:rPr>
                <w:sz w:val="14"/>
                <w:szCs w:val="14"/>
                <w:color w:val="auto"/>
              </w:rPr>
            </w:pPr>
          </w:p>
        </w:tc>
        <w:tc>
          <w:tcPr>
            <w:tcW w:w="660" w:type="dxa"/>
            <w:vAlign w:val="bottom"/>
            <w:tcBorders>
              <w:top w:val="single" w:sz="8" w:color="EDEDED"/>
            </w:tcBorders>
          </w:tcPr>
          <w:p>
            <w:pPr>
              <w:jc w:val="right"/>
              <w:ind w:right="139"/>
              <w:spacing w:after="0" w:line="162"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Borders>
              <w:bottom w:val="single" w:sz="8" w:color="0000EE"/>
            </w:tcBorders>
            <w:vMerge w:val="continue"/>
          </w:tcPr>
          <w:p>
            <w:pPr>
              <w:spacing w:after="0"/>
              <w:rPr>
                <w:sz w:val="15"/>
                <w:szCs w:val="15"/>
                <w:color w:val="auto"/>
              </w:rPr>
            </w:pPr>
          </w:p>
        </w:tc>
        <w:tc>
          <w:tcPr>
            <w:tcW w:w="3060" w:type="dxa"/>
            <w:vAlign w:val="bottom"/>
            <w:tcBorders>
              <w:bottom w:val="single" w:sz="8" w:color="0000EE"/>
            </w:tcBorders>
            <w:gridSpan w:val="23"/>
            <w:shd w:val="clear" w:color="auto" w:fill="EDEDED"/>
          </w:tcPr>
          <w:p>
            <w:pPr>
              <w:spacing w:after="0" w:line="162" w:lineRule="exact"/>
              <w:rPr>
                <w:sz w:val="20"/>
                <w:szCs w:val="20"/>
                <w:color w:val="auto"/>
              </w:rPr>
            </w:pPr>
            <w:r>
              <w:rPr>
                <w:rFonts w:ascii="Arial" w:cs="Arial" w:eastAsia="Arial" w:hAnsi="Arial"/>
                <w:sz w:val="16"/>
                <w:szCs w:val="16"/>
                <w:color w:val="0000EE"/>
              </w:rPr>
              <w:t>Nonqualified Deferred Compensation 2022</w:t>
            </w:r>
          </w:p>
        </w:tc>
        <w:tc>
          <w:tcPr>
            <w:tcW w:w="1660" w:type="dxa"/>
            <w:vAlign w:val="bottom"/>
            <w:tcBorders>
              <w:bottom w:val="single" w:sz="8" w:color="EDEDED"/>
            </w:tcBorders>
            <w:gridSpan w:val="17"/>
            <w:shd w:val="clear" w:color="auto" w:fill="EDEDED"/>
          </w:tcPr>
          <w:p>
            <w:pPr>
              <w:spacing w:after="0"/>
              <w:rPr>
                <w:sz w:val="15"/>
                <w:szCs w:val="15"/>
                <w:color w:val="auto"/>
              </w:rPr>
            </w:pPr>
          </w:p>
        </w:tc>
        <w:tc>
          <w:tcPr>
            <w:tcW w:w="660" w:type="dxa"/>
            <w:vAlign w:val="bottom"/>
            <w:tcBorders>
              <w:bottom w:val="single" w:sz="8" w:color="EDEDED"/>
            </w:tcBorders>
            <w:shd w:val="clear" w:color="auto" w:fill="EDEDED"/>
          </w:tcPr>
          <w:p>
            <w:pPr>
              <w:jc w:val="right"/>
              <w:ind w:right="139"/>
              <w:spacing w:after="0" w:line="162"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gridSpan w:val="40"/>
          </w:tcPr>
          <w:p>
            <w:pPr>
              <w:spacing w:after="0" w:line="162" w:lineRule="exact"/>
              <w:rPr>
                <w:sz w:val="20"/>
                <w:szCs w:val="20"/>
                <w:color w:val="auto"/>
              </w:rPr>
            </w:pPr>
            <w:r>
              <w:rPr>
                <w:rFonts w:ascii="Arial" w:cs="Arial" w:eastAsia="Arial" w:hAnsi="Arial"/>
                <w:sz w:val="16"/>
                <w:szCs w:val="16"/>
                <w:color w:val="0000EE"/>
              </w:rPr>
              <w:t>Potential Payments Upon Termination or Change In Control 2022</w:t>
            </w:r>
          </w:p>
        </w:tc>
        <w:tc>
          <w:tcPr>
            <w:tcW w:w="660" w:type="dxa"/>
            <w:vAlign w:val="bottom"/>
          </w:tcPr>
          <w:p>
            <w:pPr>
              <w:jc w:val="right"/>
              <w:ind w:right="139"/>
              <w:spacing w:after="0" w:line="162"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40" w:type="dxa"/>
            <w:vAlign w:val="bottom"/>
            <w:tcBorders>
              <w:bottom w:val="single" w:sz="8" w:color="EDEDED"/>
            </w:tcBorders>
            <w:shd w:val="clear" w:color="auto" w:fill="EDEDED"/>
          </w:tcPr>
          <w:p>
            <w:pPr>
              <w:spacing w:after="0"/>
              <w:rPr>
                <w:sz w:val="15"/>
                <w:szCs w:val="15"/>
                <w:color w:val="auto"/>
              </w:rPr>
            </w:pPr>
          </w:p>
        </w:tc>
        <w:tc>
          <w:tcPr>
            <w:tcW w:w="2320" w:type="dxa"/>
            <w:vAlign w:val="bottom"/>
            <w:tcBorders>
              <w:bottom w:val="single" w:sz="8" w:color="0000EE"/>
            </w:tcBorders>
            <w:gridSpan w:val="14"/>
            <w:shd w:val="clear" w:color="auto" w:fill="EDEDED"/>
          </w:tcPr>
          <w:p>
            <w:pPr>
              <w:spacing w:after="0" w:line="162" w:lineRule="exact"/>
              <w:rPr>
                <w:sz w:val="20"/>
                <w:szCs w:val="20"/>
                <w:color w:val="auto"/>
              </w:rPr>
            </w:pPr>
            <w:r>
              <w:rPr>
                <w:rFonts w:ascii="Arial" w:cs="Arial" w:eastAsia="Arial" w:hAnsi="Arial"/>
                <w:sz w:val="16"/>
                <w:szCs w:val="16"/>
                <w:i w:val="1"/>
                <w:iCs w:val="1"/>
                <w:color w:val="0000EE"/>
              </w:rPr>
              <w:t>Summary of Potential Payments</w:t>
            </w:r>
          </w:p>
        </w:tc>
        <w:tc>
          <w:tcPr>
            <w:tcW w:w="2260" w:type="dxa"/>
            <w:vAlign w:val="bottom"/>
            <w:tcBorders>
              <w:bottom w:val="single" w:sz="8" w:color="EDEDED"/>
            </w:tcBorders>
            <w:gridSpan w:val="25"/>
            <w:shd w:val="clear" w:color="auto" w:fill="EDEDED"/>
          </w:tcPr>
          <w:p>
            <w:pPr>
              <w:spacing w:after="0"/>
              <w:rPr>
                <w:sz w:val="15"/>
                <w:szCs w:val="15"/>
                <w:color w:val="auto"/>
              </w:rPr>
            </w:pPr>
          </w:p>
        </w:tc>
        <w:tc>
          <w:tcPr>
            <w:tcW w:w="660" w:type="dxa"/>
            <w:vAlign w:val="bottom"/>
            <w:tcBorders>
              <w:bottom w:val="single" w:sz="8" w:color="EDEDED"/>
            </w:tcBorders>
            <w:shd w:val="clear" w:color="auto" w:fill="EDEDED"/>
          </w:tcPr>
          <w:p>
            <w:pPr>
              <w:jc w:val="right"/>
              <w:ind w:right="139"/>
              <w:spacing w:after="0" w:line="162" w:lineRule="exact"/>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580" w:type="dxa"/>
            <w:vAlign w:val="bottom"/>
            <w:gridSpan w:val="39"/>
          </w:tcPr>
          <w:p>
            <w:pPr>
              <w:spacing w:after="0" w:line="162" w:lineRule="exact"/>
              <w:rPr>
                <w:sz w:val="20"/>
                <w:szCs w:val="20"/>
                <w:color w:val="auto"/>
              </w:rPr>
            </w:pPr>
            <w:r>
              <w:rPr>
                <w:rFonts w:ascii="Arial" w:cs="Arial" w:eastAsia="Arial" w:hAnsi="Arial"/>
                <w:sz w:val="16"/>
                <w:szCs w:val="16"/>
                <w:i w:val="1"/>
                <w:iCs w:val="1"/>
                <w:color w:val="0000EE"/>
              </w:rPr>
              <w:t>Senior Executive Severance Plan</w:t>
            </w:r>
          </w:p>
        </w:tc>
        <w:tc>
          <w:tcPr>
            <w:tcW w:w="660" w:type="dxa"/>
            <w:vAlign w:val="bottom"/>
          </w:tcPr>
          <w:p>
            <w:pPr>
              <w:jc w:val="right"/>
              <w:ind w:right="139"/>
              <w:spacing w:after="0" w:line="162" w:lineRule="exact"/>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shd w:val="clear" w:color="auto" w:fill="EDEDED"/>
          </w:tcPr>
          <w:p>
            <w:pPr>
              <w:spacing w:after="0"/>
              <w:rPr>
                <w:sz w:val="14"/>
                <w:szCs w:val="14"/>
                <w:color w:val="auto"/>
              </w:rPr>
            </w:pPr>
          </w:p>
        </w:tc>
        <w:tc>
          <w:tcPr>
            <w:tcW w:w="4580" w:type="dxa"/>
            <w:vAlign w:val="bottom"/>
            <w:gridSpan w:val="39"/>
            <w:shd w:val="clear" w:color="auto" w:fill="EDEDED"/>
          </w:tcPr>
          <w:p>
            <w:pPr>
              <w:spacing w:after="0" w:line="162" w:lineRule="exact"/>
              <w:rPr>
                <w:sz w:val="20"/>
                <w:szCs w:val="20"/>
                <w:color w:val="auto"/>
              </w:rPr>
            </w:pPr>
            <w:r>
              <w:rPr>
                <w:rFonts w:ascii="Arial" w:cs="Arial" w:eastAsia="Arial" w:hAnsi="Arial"/>
                <w:sz w:val="16"/>
                <w:szCs w:val="16"/>
                <w:i w:val="1"/>
                <w:iCs w:val="1"/>
                <w:color w:val="0000EE"/>
              </w:rPr>
              <w:t>Treatment of Long-Term Incentive Awards</w:t>
            </w:r>
          </w:p>
        </w:tc>
        <w:tc>
          <w:tcPr>
            <w:tcW w:w="660" w:type="dxa"/>
            <w:vAlign w:val="bottom"/>
            <w:shd w:val="clear" w:color="auto" w:fill="EDEDED"/>
          </w:tcPr>
          <w:p>
            <w:pPr>
              <w:jc w:val="right"/>
              <w:ind w:right="139"/>
              <w:spacing w:after="0" w:line="162" w:lineRule="exact"/>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40" w:type="dxa"/>
            <w:vAlign w:val="bottom"/>
            <w:tcBorders>
              <w:top w:val="single" w:sz="8" w:color="EDEDED"/>
              <w:bottom w:val="single" w:sz="8" w:color="auto"/>
            </w:tcBorders>
            <w:shd w:val="clear" w:color="auto" w:fill="EDEDED"/>
          </w:tcPr>
          <w:p>
            <w:pPr>
              <w:spacing w:after="0"/>
              <w:rPr>
                <w:sz w:val="5"/>
                <w:szCs w:val="5"/>
                <w:color w:val="auto"/>
              </w:rPr>
            </w:pPr>
          </w:p>
        </w:tc>
        <w:tc>
          <w:tcPr>
            <w:tcW w:w="800" w:type="dxa"/>
            <w:vAlign w:val="bottom"/>
            <w:tcBorders>
              <w:top w:val="single" w:sz="8" w:color="0000EE"/>
              <w:bottom w:val="single" w:sz="8" w:color="auto"/>
            </w:tcBorders>
            <w:shd w:val="clear" w:color="auto" w:fill="EDEDED"/>
          </w:tcPr>
          <w:p>
            <w:pPr>
              <w:spacing w:after="0"/>
              <w:rPr>
                <w:sz w:val="5"/>
                <w:szCs w:val="5"/>
                <w:color w:val="auto"/>
              </w:rPr>
            </w:pPr>
          </w:p>
        </w:tc>
        <w:tc>
          <w:tcPr>
            <w:tcW w:w="80" w:type="dxa"/>
            <w:vAlign w:val="bottom"/>
            <w:tcBorders>
              <w:top w:val="single" w:sz="8" w:color="0000EE"/>
              <w:bottom w:val="single" w:sz="8" w:color="auto"/>
            </w:tcBorders>
            <w:shd w:val="clear" w:color="auto" w:fill="EDEDED"/>
          </w:tcPr>
          <w:p>
            <w:pPr>
              <w:spacing w:after="0"/>
              <w:rPr>
                <w:sz w:val="5"/>
                <w:szCs w:val="5"/>
                <w:color w:val="auto"/>
              </w:rPr>
            </w:pPr>
          </w:p>
        </w:tc>
        <w:tc>
          <w:tcPr>
            <w:tcW w:w="100" w:type="dxa"/>
            <w:vAlign w:val="bottom"/>
            <w:tcBorders>
              <w:top w:val="single" w:sz="8" w:color="0000EE"/>
              <w:bottom w:val="single" w:sz="8" w:color="auto"/>
            </w:tcBorders>
            <w:shd w:val="clear" w:color="auto" w:fill="EDEDED"/>
          </w:tcPr>
          <w:p>
            <w:pPr>
              <w:spacing w:after="0"/>
              <w:rPr>
                <w:sz w:val="5"/>
                <w:szCs w:val="5"/>
                <w:color w:val="auto"/>
              </w:rPr>
            </w:pPr>
          </w:p>
        </w:tc>
        <w:tc>
          <w:tcPr>
            <w:tcW w:w="60" w:type="dxa"/>
            <w:vAlign w:val="bottom"/>
            <w:tcBorders>
              <w:top w:val="single" w:sz="8" w:color="0000EE"/>
              <w:bottom w:val="single" w:sz="8" w:color="auto"/>
            </w:tcBorders>
            <w:shd w:val="clear" w:color="auto" w:fill="EDEDED"/>
          </w:tcPr>
          <w:p>
            <w:pPr>
              <w:spacing w:after="0"/>
              <w:rPr>
                <w:sz w:val="5"/>
                <w:szCs w:val="5"/>
                <w:color w:val="auto"/>
              </w:rPr>
            </w:pPr>
          </w:p>
        </w:tc>
        <w:tc>
          <w:tcPr>
            <w:tcW w:w="200" w:type="dxa"/>
            <w:vAlign w:val="bottom"/>
            <w:tcBorders>
              <w:top w:val="single" w:sz="8" w:color="0000EE"/>
              <w:bottom w:val="single" w:sz="8" w:color="auto"/>
            </w:tcBorders>
            <w:shd w:val="clear" w:color="auto" w:fill="EDEDED"/>
          </w:tcPr>
          <w:p>
            <w:pPr>
              <w:spacing w:after="0"/>
              <w:rPr>
                <w:sz w:val="5"/>
                <w:szCs w:val="5"/>
                <w:color w:val="auto"/>
              </w:rPr>
            </w:pPr>
          </w:p>
        </w:tc>
        <w:tc>
          <w:tcPr>
            <w:tcW w:w="180" w:type="dxa"/>
            <w:vAlign w:val="bottom"/>
            <w:tcBorders>
              <w:top w:val="single" w:sz="8" w:color="0000EE"/>
              <w:bottom w:val="single" w:sz="8" w:color="auto"/>
            </w:tcBorders>
            <w:shd w:val="clear" w:color="auto" w:fill="EDEDED"/>
          </w:tcPr>
          <w:p>
            <w:pPr>
              <w:spacing w:after="0"/>
              <w:rPr>
                <w:sz w:val="5"/>
                <w:szCs w:val="5"/>
                <w:color w:val="auto"/>
              </w:rPr>
            </w:pPr>
          </w:p>
        </w:tc>
        <w:tc>
          <w:tcPr>
            <w:tcW w:w="20" w:type="dxa"/>
            <w:vAlign w:val="bottom"/>
            <w:tcBorders>
              <w:top w:val="single" w:sz="8" w:color="0000EE"/>
              <w:bottom w:val="single" w:sz="8" w:color="auto"/>
            </w:tcBorders>
            <w:shd w:val="clear" w:color="auto" w:fill="EDEDED"/>
          </w:tcPr>
          <w:p>
            <w:pPr>
              <w:spacing w:after="0"/>
              <w:rPr>
                <w:sz w:val="5"/>
                <w:szCs w:val="5"/>
                <w:color w:val="auto"/>
              </w:rPr>
            </w:pPr>
          </w:p>
        </w:tc>
        <w:tc>
          <w:tcPr>
            <w:tcW w:w="60" w:type="dxa"/>
            <w:vAlign w:val="bottom"/>
            <w:tcBorders>
              <w:top w:val="single" w:sz="8" w:color="0000EE"/>
              <w:bottom w:val="single" w:sz="8" w:color="auto"/>
            </w:tcBorders>
            <w:shd w:val="clear" w:color="auto" w:fill="EDEDED"/>
          </w:tcPr>
          <w:p>
            <w:pPr>
              <w:spacing w:after="0"/>
              <w:rPr>
                <w:sz w:val="5"/>
                <w:szCs w:val="5"/>
                <w:color w:val="auto"/>
              </w:rPr>
            </w:pPr>
          </w:p>
        </w:tc>
        <w:tc>
          <w:tcPr>
            <w:tcW w:w="60" w:type="dxa"/>
            <w:vAlign w:val="bottom"/>
            <w:tcBorders>
              <w:top w:val="single" w:sz="8" w:color="0000EE"/>
              <w:bottom w:val="single" w:sz="8" w:color="auto"/>
            </w:tcBorders>
            <w:shd w:val="clear" w:color="auto" w:fill="EDEDED"/>
          </w:tcPr>
          <w:p>
            <w:pPr>
              <w:spacing w:after="0"/>
              <w:rPr>
                <w:sz w:val="5"/>
                <w:szCs w:val="5"/>
                <w:color w:val="auto"/>
              </w:rPr>
            </w:pPr>
          </w:p>
        </w:tc>
        <w:tc>
          <w:tcPr>
            <w:tcW w:w="60" w:type="dxa"/>
            <w:vAlign w:val="bottom"/>
            <w:tcBorders>
              <w:top w:val="single" w:sz="8" w:color="0000EE"/>
              <w:bottom w:val="single" w:sz="8" w:color="auto"/>
            </w:tcBorders>
            <w:shd w:val="clear" w:color="auto" w:fill="EDEDED"/>
          </w:tcPr>
          <w:p>
            <w:pPr>
              <w:spacing w:after="0"/>
              <w:rPr>
                <w:sz w:val="5"/>
                <w:szCs w:val="5"/>
                <w:color w:val="auto"/>
              </w:rPr>
            </w:pPr>
          </w:p>
        </w:tc>
        <w:tc>
          <w:tcPr>
            <w:tcW w:w="80" w:type="dxa"/>
            <w:vAlign w:val="bottom"/>
            <w:tcBorders>
              <w:top w:val="single" w:sz="8" w:color="0000EE"/>
              <w:bottom w:val="single" w:sz="8" w:color="auto"/>
            </w:tcBorders>
            <w:shd w:val="clear" w:color="auto" w:fill="EDEDED"/>
          </w:tcPr>
          <w:p>
            <w:pPr>
              <w:spacing w:after="0"/>
              <w:rPr>
                <w:sz w:val="5"/>
                <w:szCs w:val="5"/>
                <w:color w:val="auto"/>
              </w:rPr>
            </w:pPr>
          </w:p>
        </w:tc>
        <w:tc>
          <w:tcPr>
            <w:tcW w:w="320" w:type="dxa"/>
            <w:vAlign w:val="bottom"/>
            <w:tcBorders>
              <w:top w:val="single" w:sz="8" w:color="0000EE"/>
              <w:bottom w:val="single" w:sz="8" w:color="auto"/>
            </w:tcBorders>
            <w:shd w:val="clear" w:color="auto" w:fill="EDEDED"/>
          </w:tcPr>
          <w:p>
            <w:pPr>
              <w:spacing w:after="0"/>
              <w:rPr>
                <w:sz w:val="5"/>
                <w:szCs w:val="5"/>
                <w:color w:val="auto"/>
              </w:rPr>
            </w:pPr>
          </w:p>
        </w:tc>
        <w:tc>
          <w:tcPr>
            <w:tcW w:w="240" w:type="dxa"/>
            <w:vAlign w:val="bottom"/>
            <w:tcBorders>
              <w:top w:val="single" w:sz="8" w:color="0000EE"/>
              <w:bottom w:val="single" w:sz="8" w:color="auto"/>
            </w:tcBorders>
            <w:shd w:val="clear" w:color="auto" w:fill="EDEDED"/>
          </w:tcPr>
          <w:p>
            <w:pPr>
              <w:spacing w:after="0"/>
              <w:rPr>
                <w:sz w:val="5"/>
                <w:szCs w:val="5"/>
                <w:color w:val="auto"/>
              </w:rPr>
            </w:pPr>
          </w:p>
        </w:tc>
        <w:tc>
          <w:tcPr>
            <w:tcW w:w="60" w:type="dxa"/>
            <w:vAlign w:val="bottom"/>
            <w:tcBorders>
              <w:top w:val="single" w:sz="8" w:color="0000EE"/>
              <w:bottom w:val="single" w:sz="8" w:color="auto"/>
            </w:tcBorders>
            <w:shd w:val="clear" w:color="auto" w:fill="EDEDED"/>
          </w:tcPr>
          <w:p>
            <w:pPr>
              <w:spacing w:after="0"/>
              <w:rPr>
                <w:sz w:val="5"/>
                <w:szCs w:val="5"/>
                <w:color w:val="auto"/>
              </w:rPr>
            </w:pPr>
          </w:p>
        </w:tc>
        <w:tc>
          <w:tcPr>
            <w:tcW w:w="20" w:type="dxa"/>
            <w:vAlign w:val="bottom"/>
            <w:tcBorders>
              <w:top w:val="single" w:sz="8" w:color="0000EE"/>
              <w:bottom w:val="single" w:sz="8" w:color="auto"/>
            </w:tcBorders>
            <w:shd w:val="clear" w:color="auto" w:fill="EDEDED"/>
          </w:tcPr>
          <w:p>
            <w:pPr>
              <w:spacing w:after="0"/>
              <w:rPr>
                <w:sz w:val="5"/>
                <w:szCs w:val="5"/>
                <w:color w:val="auto"/>
              </w:rPr>
            </w:pPr>
          </w:p>
        </w:tc>
        <w:tc>
          <w:tcPr>
            <w:tcW w:w="40" w:type="dxa"/>
            <w:vAlign w:val="bottom"/>
            <w:tcBorders>
              <w:top w:val="single" w:sz="8" w:color="0000EE"/>
              <w:bottom w:val="single" w:sz="8" w:color="auto"/>
            </w:tcBorders>
            <w:shd w:val="clear" w:color="auto" w:fill="EDEDED"/>
          </w:tcPr>
          <w:p>
            <w:pPr>
              <w:spacing w:after="0"/>
              <w:rPr>
                <w:sz w:val="5"/>
                <w:szCs w:val="5"/>
                <w:color w:val="auto"/>
              </w:rPr>
            </w:pPr>
          </w:p>
        </w:tc>
        <w:tc>
          <w:tcPr>
            <w:tcW w:w="20" w:type="dxa"/>
            <w:vAlign w:val="bottom"/>
            <w:tcBorders>
              <w:top w:val="single" w:sz="8" w:color="0000EE"/>
              <w:bottom w:val="single" w:sz="8" w:color="auto"/>
            </w:tcBorders>
            <w:shd w:val="clear" w:color="auto" w:fill="EDEDED"/>
          </w:tcPr>
          <w:p>
            <w:pPr>
              <w:spacing w:after="0"/>
              <w:rPr>
                <w:sz w:val="5"/>
                <w:szCs w:val="5"/>
                <w:color w:val="auto"/>
              </w:rPr>
            </w:pPr>
          </w:p>
        </w:tc>
        <w:tc>
          <w:tcPr>
            <w:tcW w:w="60" w:type="dxa"/>
            <w:vAlign w:val="bottom"/>
            <w:tcBorders>
              <w:top w:val="single" w:sz="8" w:color="0000EE"/>
              <w:bottom w:val="single" w:sz="8" w:color="auto"/>
            </w:tcBorders>
            <w:shd w:val="clear" w:color="auto" w:fill="EDEDED"/>
          </w:tcPr>
          <w:p>
            <w:pPr>
              <w:spacing w:after="0"/>
              <w:rPr>
                <w:sz w:val="5"/>
                <w:szCs w:val="5"/>
                <w:color w:val="auto"/>
              </w:rPr>
            </w:pPr>
          </w:p>
        </w:tc>
        <w:tc>
          <w:tcPr>
            <w:tcW w:w="220" w:type="dxa"/>
            <w:vAlign w:val="bottom"/>
            <w:tcBorders>
              <w:top w:val="single" w:sz="8" w:color="0000EE"/>
              <w:bottom w:val="single" w:sz="8" w:color="auto"/>
            </w:tcBorders>
            <w:shd w:val="clear" w:color="auto" w:fill="EDEDED"/>
          </w:tcPr>
          <w:p>
            <w:pPr>
              <w:spacing w:after="0"/>
              <w:rPr>
                <w:sz w:val="5"/>
                <w:szCs w:val="5"/>
                <w:color w:val="auto"/>
              </w:rPr>
            </w:pPr>
          </w:p>
        </w:tc>
        <w:tc>
          <w:tcPr>
            <w:tcW w:w="40" w:type="dxa"/>
            <w:vAlign w:val="bottom"/>
            <w:tcBorders>
              <w:top w:val="single" w:sz="8" w:color="0000EE"/>
              <w:bottom w:val="single" w:sz="8" w:color="auto"/>
            </w:tcBorders>
            <w:shd w:val="clear" w:color="auto" w:fill="EDEDED"/>
          </w:tcPr>
          <w:p>
            <w:pPr>
              <w:spacing w:after="0"/>
              <w:rPr>
                <w:sz w:val="5"/>
                <w:szCs w:val="5"/>
                <w:color w:val="auto"/>
              </w:rPr>
            </w:pPr>
          </w:p>
        </w:tc>
        <w:tc>
          <w:tcPr>
            <w:tcW w:w="60" w:type="dxa"/>
            <w:vAlign w:val="bottom"/>
            <w:tcBorders>
              <w:top w:val="single" w:sz="8" w:color="0000EE"/>
              <w:bottom w:val="single" w:sz="8" w:color="auto"/>
            </w:tcBorders>
            <w:shd w:val="clear" w:color="auto" w:fill="EDEDED"/>
          </w:tcPr>
          <w:p>
            <w:pPr>
              <w:spacing w:after="0"/>
              <w:rPr>
                <w:sz w:val="5"/>
                <w:szCs w:val="5"/>
                <w:color w:val="auto"/>
              </w:rPr>
            </w:pPr>
          </w:p>
        </w:tc>
        <w:tc>
          <w:tcPr>
            <w:tcW w:w="140" w:type="dxa"/>
            <w:vAlign w:val="bottom"/>
            <w:tcBorders>
              <w:top w:val="single" w:sz="8" w:color="0000EE"/>
              <w:bottom w:val="single" w:sz="8" w:color="auto"/>
            </w:tcBorders>
            <w:shd w:val="clear" w:color="auto" w:fill="EDEDED"/>
          </w:tcPr>
          <w:p>
            <w:pPr>
              <w:spacing w:after="0"/>
              <w:rPr>
                <w:sz w:val="5"/>
                <w:szCs w:val="5"/>
                <w:color w:val="auto"/>
              </w:rPr>
            </w:pPr>
          </w:p>
        </w:tc>
        <w:tc>
          <w:tcPr>
            <w:tcW w:w="80" w:type="dxa"/>
            <w:vAlign w:val="bottom"/>
            <w:tcBorders>
              <w:top w:val="single" w:sz="8" w:color="0000EE"/>
              <w:bottom w:val="single" w:sz="8" w:color="auto"/>
            </w:tcBorders>
            <w:shd w:val="clear" w:color="auto" w:fill="EDEDED"/>
          </w:tcPr>
          <w:p>
            <w:pPr>
              <w:spacing w:after="0"/>
              <w:rPr>
                <w:sz w:val="5"/>
                <w:szCs w:val="5"/>
                <w:color w:val="auto"/>
              </w:rPr>
            </w:pPr>
          </w:p>
        </w:tc>
        <w:tc>
          <w:tcPr>
            <w:tcW w:w="380" w:type="dxa"/>
            <w:vAlign w:val="bottom"/>
            <w:tcBorders>
              <w:top w:val="single" w:sz="8" w:color="EDEDED"/>
              <w:bottom w:val="single" w:sz="8" w:color="auto"/>
            </w:tcBorders>
            <w:shd w:val="clear" w:color="auto" w:fill="EDEDED"/>
          </w:tcPr>
          <w:p>
            <w:pPr>
              <w:spacing w:after="0"/>
              <w:rPr>
                <w:sz w:val="5"/>
                <w:szCs w:val="5"/>
                <w:color w:val="auto"/>
              </w:rPr>
            </w:pPr>
          </w:p>
        </w:tc>
        <w:tc>
          <w:tcPr>
            <w:tcW w:w="40" w:type="dxa"/>
            <w:vAlign w:val="bottom"/>
            <w:tcBorders>
              <w:top w:val="single" w:sz="8" w:color="EDEDED"/>
              <w:bottom w:val="single" w:sz="8" w:color="auto"/>
            </w:tcBorders>
            <w:shd w:val="clear" w:color="auto" w:fill="EDEDED"/>
          </w:tcPr>
          <w:p>
            <w:pPr>
              <w:spacing w:after="0"/>
              <w:rPr>
                <w:sz w:val="5"/>
                <w:szCs w:val="5"/>
                <w:color w:val="auto"/>
              </w:rPr>
            </w:pPr>
          </w:p>
        </w:tc>
        <w:tc>
          <w:tcPr>
            <w:tcW w:w="60" w:type="dxa"/>
            <w:vAlign w:val="bottom"/>
            <w:tcBorders>
              <w:top w:val="single" w:sz="8" w:color="EDEDED"/>
              <w:bottom w:val="single" w:sz="8" w:color="auto"/>
            </w:tcBorders>
            <w:shd w:val="clear" w:color="auto" w:fill="EDEDED"/>
          </w:tcPr>
          <w:p>
            <w:pPr>
              <w:spacing w:after="0"/>
              <w:rPr>
                <w:sz w:val="5"/>
                <w:szCs w:val="5"/>
                <w:color w:val="auto"/>
              </w:rPr>
            </w:pPr>
          </w:p>
        </w:tc>
        <w:tc>
          <w:tcPr>
            <w:tcW w:w="60" w:type="dxa"/>
            <w:vAlign w:val="bottom"/>
            <w:tcBorders>
              <w:top w:val="single" w:sz="8" w:color="EDEDED"/>
              <w:bottom w:val="single" w:sz="8" w:color="auto"/>
            </w:tcBorders>
            <w:shd w:val="clear" w:color="auto" w:fill="EDEDED"/>
          </w:tcPr>
          <w:p>
            <w:pPr>
              <w:spacing w:after="0"/>
              <w:rPr>
                <w:sz w:val="5"/>
                <w:szCs w:val="5"/>
                <w:color w:val="auto"/>
              </w:rPr>
            </w:pPr>
          </w:p>
        </w:tc>
        <w:tc>
          <w:tcPr>
            <w:tcW w:w="100" w:type="dxa"/>
            <w:vAlign w:val="bottom"/>
            <w:tcBorders>
              <w:top w:val="single" w:sz="8" w:color="EDEDED"/>
              <w:bottom w:val="single" w:sz="8" w:color="auto"/>
            </w:tcBorders>
            <w:shd w:val="clear" w:color="auto" w:fill="EDEDED"/>
          </w:tcPr>
          <w:p>
            <w:pPr>
              <w:spacing w:after="0"/>
              <w:rPr>
                <w:sz w:val="5"/>
                <w:szCs w:val="5"/>
                <w:color w:val="auto"/>
              </w:rPr>
            </w:pPr>
          </w:p>
        </w:tc>
        <w:tc>
          <w:tcPr>
            <w:tcW w:w="260" w:type="dxa"/>
            <w:vAlign w:val="bottom"/>
            <w:tcBorders>
              <w:top w:val="single" w:sz="8" w:color="EDEDED"/>
              <w:bottom w:val="single" w:sz="8" w:color="auto"/>
            </w:tcBorders>
            <w:shd w:val="clear" w:color="auto" w:fill="EDEDED"/>
          </w:tcPr>
          <w:p>
            <w:pPr>
              <w:spacing w:after="0"/>
              <w:rPr>
                <w:sz w:val="5"/>
                <w:szCs w:val="5"/>
                <w:color w:val="auto"/>
              </w:rPr>
            </w:pPr>
          </w:p>
        </w:tc>
        <w:tc>
          <w:tcPr>
            <w:tcW w:w="120" w:type="dxa"/>
            <w:vAlign w:val="bottom"/>
            <w:tcBorders>
              <w:top w:val="single" w:sz="8" w:color="EDEDED"/>
              <w:bottom w:val="single" w:sz="8" w:color="auto"/>
            </w:tcBorders>
            <w:shd w:val="clear" w:color="auto" w:fill="EDEDED"/>
          </w:tcPr>
          <w:p>
            <w:pPr>
              <w:spacing w:after="0"/>
              <w:rPr>
                <w:sz w:val="5"/>
                <w:szCs w:val="5"/>
                <w:color w:val="auto"/>
              </w:rPr>
            </w:pPr>
          </w:p>
        </w:tc>
        <w:tc>
          <w:tcPr>
            <w:tcW w:w="60" w:type="dxa"/>
            <w:vAlign w:val="bottom"/>
            <w:tcBorders>
              <w:top w:val="single" w:sz="8" w:color="EDEDED"/>
              <w:bottom w:val="single" w:sz="8" w:color="auto"/>
            </w:tcBorders>
            <w:shd w:val="clear" w:color="auto" w:fill="EDEDED"/>
          </w:tcPr>
          <w:p>
            <w:pPr>
              <w:spacing w:after="0"/>
              <w:rPr>
                <w:sz w:val="5"/>
                <w:szCs w:val="5"/>
                <w:color w:val="auto"/>
              </w:rPr>
            </w:pPr>
          </w:p>
        </w:tc>
        <w:tc>
          <w:tcPr>
            <w:tcW w:w="20" w:type="dxa"/>
            <w:vAlign w:val="bottom"/>
            <w:tcBorders>
              <w:top w:val="single" w:sz="8" w:color="EDEDED"/>
              <w:bottom w:val="single" w:sz="8" w:color="auto"/>
            </w:tcBorders>
            <w:shd w:val="clear" w:color="auto" w:fill="EDEDED"/>
          </w:tcPr>
          <w:p>
            <w:pPr>
              <w:spacing w:after="0"/>
              <w:rPr>
                <w:sz w:val="5"/>
                <w:szCs w:val="5"/>
                <w:color w:val="auto"/>
              </w:rPr>
            </w:pPr>
          </w:p>
        </w:tc>
        <w:tc>
          <w:tcPr>
            <w:tcW w:w="260" w:type="dxa"/>
            <w:vAlign w:val="bottom"/>
            <w:tcBorders>
              <w:top w:val="single" w:sz="8" w:color="EDEDED"/>
              <w:bottom w:val="single" w:sz="8" w:color="auto"/>
            </w:tcBorders>
            <w:shd w:val="clear" w:color="auto" w:fill="EDEDED"/>
          </w:tcPr>
          <w:p>
            <w:pPr>
              <w:spacing w:after="0"/>
              <w:rPr>
                <w:sz w:val="5"/>
                <w:szCs w:val="5"/>
                <w:color w:val="auto"/>
              </w:rPr>
            </w:pPr>
          </w:p>
        </w:tc>
        <w:tc>
          <w:tcPr>
            <w:tcW w:w="20" w:type="dxa"/>
            <w:vAlign w:val="bottom"/>
            <w:tcBorders>
              <w:top w:val="single" w:sz="8" w:color="EDEDED"/>
              <w:bottom w:val="single" w:sz="8" w:color="auto"/>
            </w:tcBorders>
            <w:shd w:val="clear" w:color="auto" w:fill="EDEDED"/>
          </w:tcPr>
          <w:p>
            <w:pPr>
              <w:spacing w:after="0"/>
              <w:rPr>
                <w:sz w:val="5"/>
                <w:szCs w:val="5"/>
                <w:color w:val="auto"/>
              </w:rPr>
            </w:pPr>
          </w:p>
        </w:tc>
        <w:tc>
          <w:tcPr>
            <w:tcW w:w="20" w:type="dxa"/>
            <w:vAlign w:val="bottom"/>
            <w:tcBorders>
              <w:top w:val="single" w:sz="8" w:color="EDEDED"/>
              <w:bottom w:val="single" w:sz="8" w:color="auto"/>
            </w:tcBorders>
            <w:shd w:val="clear" w:color="auto" w:fill="EDEDED"/>
          </w:tcPr>
          <w:p>
            <w:pPr>
              <w:spacing w:after="0"/>
              <w:rPr>
                <w:sz w:val="5"/>
                <w:szCs w:val="5"/>
                <w:color w:val="auto"/>
              </w:rPr>
            </w:pPr>
          </w:p>
        </w:tc>
        <w:tc>
          <w:tcPr>
            <w:tcW w:w="40" w:type="dxa"/>
            <w:vAlign w:val="bottom"/>
            <w:tcBorders>
              <w:top w:val="single" w:sz="8" w:color="EDEDED"/>
              <w:bottom w:val="single" w:sz="8" w:color="auto"/>
            </w:tcBorders>
            <w:shd w:val="clear" w:color="auto" w:fill="EDEDED"/>
          </w:tcPr>
          <w:p>
            <w:pPr>
              <w:spacing w:after="0"/>
              <w:rPr>
                <w:sz w:val="5"/>
                <w:szCs w:val="5"/>
                <w:color w:val="auto"/>
              </w:rPr>
            </w:pPr>
          </w:p>
        </w:tc>
        <w:tc>
          <w:tcPr>
            <w:tcW w:w="40" w:type="dxa"/>
            <w:vAlign w:val="bottom"/>
            <w:tcBorders>
              <w:top w:val="single" w:sz="8" w:color="EDEDED"/>
              <w:bottom w:val="single" w:sz="8" w:color="auto"/>
            </w:tcBorders>
            <w:shd w:val="clear" w:color="auto" w:fill="EDEDED"/>
          </w:tcPr>
          <w:p>
            <w:pPr>
              <w:spacing w:after="0"/>
              <w:rPr>
                <w:sz w:val="5"/>
                <w:szCs w:val="5"/>
                <w:color w:val="auto"/>
              </w:rPr>
            </w:pPr>
          </w:p>
        </w:tc>
        <w:tc>
          <w:tcPr>
            <w:tcW w:w="20" w:type="dxa"/>
            <w:vAlign w:val="bottom"/>
            <w:tcBorders>
              <w:top w:val="single" w:sz="8" w:color="EDEDED"/>
              <w:bottom w:val="single" w:sz="8" w:color="auto"/>
            </w:tcBorders>
            <w:shd w:val="clear" w:color="auto" w:fill="EDEDED"/>
          </w:tcPr>
          <w:p>
            <w:pPr>
              <w:spacing w:after="0"/>
              <w:rPr>
                <w:sz w:val="5"/>
                <w:szCs w:val="5"/>
                <w:color w:val="auto"/>
              </w:rPr>
            </w:pPr>
          </w:p>
        </w:tc>
        <w:tc>
          <w:tcPr>
            <w:tcW w:w="80" w:type="dxa"/>
            <w:vAlign w:val="bottom"/>
            <w:tcBorders>
              <w:top w:val="single" w:sz="8" w:color="EDEDED"/>
              <w:bottom w:val="single" w:sz="8" w:color="auto"/>
            </w:tcBorders>
            <w:shd w:val="clear" w:color="auto" w:fill="EDEDED"/>
          </w:tcPr>
          <w:p>
            <w:pPr>
              <w:spacing w:after="0"/>
              <w:rPr>
                <w:sz w:val="5"/>
                <w:szCs w:val="5"/>
                <w:color w:val="auto"/>
              </w:rPr>
            </w:pPr>
          </w:p>
        </w:tc>
        <w:tc>
          <w:tcPr>
            <w:tcW w:w="660" w:type="dxa"/>
            <w:vAlign w:val="bottom"/>
            <w:tcBorders>
              <w:top w:val="single" w:sz="8" w:color="EDEDED"/>
              <w:bottom w:val="single" w:sz="8" w:color="auto"/>
            </w:tcBorders>
            <w:shd w:val="clear" w:color="auto" w:fill="EDEDED"/>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20" w:type="dxa"/>
            <w:vAlign w:val="bottom"/>
            <w:gridSpan w:val="40"/>
          </w:tcPr>
          <w:p>
            <w:pPr>
              <w:spacing w:after="0" w:line="169" w:lineRule="exact"/>
              <w:rPr>
                <w:sz w:val="20"/>
                <w:szCs w:val="20"/>
                <w:color w:val="auto"/>
              </w:rPr>
            </w:pPr>
            <w:r>
              <w:rPr>
                <w:rFonts w:ascii="Arial" w:cs="Arial" w:eastAsia="Arial" w:hAnsi="Arial"/>
                <w:sz w:val="16"/>
                <w:szCs w:val="16"/>
                <w:b w:val="1"/>
                <w:bCs w:val="1"/>
                <w:color w:val="0000EE"/>
              </w:rPr>
              <w:t>CEO Pay Ratio</w:t>
            </w:r>
          </w:p>
        </w:tc>
        <w:tc>
          <w:tcPr>
            <w:tcW w:w="660" w:type="dxa"/>
            <w:vAlign w:val="bottom"/>
          </w:tcPr>
          <w:p>
            <w:pPr>
              <w:jc w:val="right"/>
              <w:ind w:right="139"/>
              <w:spacing w:after="0" w:line="169" w:lineRule="exact"/>
              <w:rPr>
                <w:sz w:val="20"/>
                <w:szCs w:val="20"/>
                <w:color w:val="auto"/>
              </w:rPr>
            </w:pPr>
            <w:r>
              <w:rPr>
                <w:rFonts w:ascii="Arial" w:cs="Arial" w:eastAsia="Arial" w:hAnsi="Arial"/>
                <w:sz w:val="16"/>
                <w:szCs w:val="16"/>
                <w:b w:val="1"/>
                <w:bCs w:val="1"/>
                <w:color w:val="00AF41"/>
              </w:rPr>
              <w:t>80</w:t>
            </w:r>
          </w:p>
        </w:tc>
        <w:tc>
          <w:tcPr>
            <w:tcW w:w="0" w:type="dxa"/>
            <w:vAlign w:val="bottom"/>
          </w:tcPr>
          <w:p>
            <w:pPr>
              <w:spacing w:after="0"/>
              <w:rPr>
                <w:sz w:val="1"/>
                <w:szCs w:val="1"/>
                <w:color w:val="auto"/>
              </w:rPr>
            </w:pPr>
          </w:p>
        </w:tc>
      </w:tr>
      <w:tr>
        <w:trPr>
          <w:trHeight w:val="61"/>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80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20" w:type="dxa"/>
            <w:vAlign w:val="bottom"/>
            <w:gridSpan w:val="40"/>
            <w:shd w:val="clear" w:color="auto" w:fill="EDEDED"/>
          </w:tcPr>
          <w:p>
            <w:pPr>
              <w:spacing w:after="0" w:line="169" w:lineRule="exact"/>
              <w:rPr>
                <w:sz w:val="20"/>
                <w:szCs w:val="20"/>
                <w:color w:val="auto"/>
              </w:rPr>
            </w:pPr>
            <w:r>
              <w:rPr>
                <w:rFonts w:ascii="Arial" w:cs="Arial" w:eastAsia="Arial" w:hAnsi="Arial"/>
                <w:sz w:val="16"/>
                <w:szCs w:val="16"/>
                <w:b w:val="1"/>
                <w:bCs w:val="1"/>
                <w:color w:val="0000EE"/>
              </w:rPr>
              <w:t>Pay vs. Performance</w:t>
            </w:r>
          </w:p>
        </w:tc>
        <w:tc>
          <w:tcPr>
            <w:tcW w:w="660" w:type="dxa"/>
            <w:vAlign w:val="bottom"/>
            <w:shd w:val="clear" w:color="auto" w:fill="EDEDED"/>
          </w:tcPr>
          <w:p>
            <w:pPr>
              <w:jc w:val="right"/>
              <w:ind w:right="139"/>
              <w:spacing w:after="0" w:line="169" w:lineRule="exact"/>
              <w:rPr>
                <w:sz w:val="20"/>
                <w:szCs w:val="20"/>
                <w:color w:val="auto"/>
              </w:rPr>
            </w:pPr>
            <w:r>
              <w:rPr>
                <w:rFonts w:ascii="Arial" w:cs="Arial" w:eastAsia="Arial" w:hAnsi="Arial"/>
                <w:sz w:val="16"/>
                <w:szCs w:val="16"/>
                <w:b w:val="1"/>
                <w:bCs w:val="1"/>
                <w:color w:val="00AF41"/>
              </w:rPr>
              <w:t>82</w:t>
            </w:r>
          </w:p>
        </w:tc>
        <w:tc>
          <w:tcPr>
            <w:tcW w:w="0" w:type="dxa"/>
            <w:vAlign w:val="bottom"/>
          </w:tcPr>
          <w:p>
            <w:pPr>
              <w:spacing w:after="0"/>
              <w:rPr>
                <w:sz w:val="1"/>
                <w:szCs w:val="1"/>
                <w:color w:val="auto"/>
              </w:rPr>
            </w:pPr>
          </w:p>
        </w:tc>
      </w:tr>
      <w:tr>
        <w:trPr>
          <w:trHeight w:val="61"/>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bottom w:val="single" w:sz="8" w:color="auto"/>
            </w:tcBorders>
            <w:shd w:val="clear" w:color="auto" w:fill="EDEDED"/>
          </w:tcPr>
          <w:p>
            <w:pPr>
              <w:spacing w:after="0"/>
              <w:rPr>
                <w:sz w:val="5"/>
                <w:szCs w:val="5"/>
                <w:color w:val="auto"/>
              </w:rPr>
            </w:pPr>
          </w:p>
        </w:tc>
        <w:tc>
          <w:tcPr>
            <w:tcW w:w="800" w:type="dxa"/>
            <w:vAlign w:val="bottom"/>
            <w:tcBorders>
              <w:top w:val="single" w:sz="8" w:color="0000EE"/>
              <w:bottom w:val="single" w:sz="8" w:color="auto"/>
            </w:tcBorders>
            <w:shd w:val="clear" w:color="auto" w:fill="EDEDED"/>
          </w:tcPr>
          <w:p>
            <w:pPr>
              <w:spacing w:after="0"/>
              <w:rPr>
                <w:sz w:val="5"/>
                <w:szCs w:val="5"/>
                <w:color w:val="auto"/>
              </w:rPr>
            </w:pPr>
          </w:p>
        </w:tc>
        <w:tc>
          <w:tcPr>
            <w:tcW w:w="80" w:type="dxa"/>
            <w:vAlign w:val="bottom"/>
            <w:tcBorders>
              <w:top w:val="single" w:sz="8" w:color="0000EE"/>
              <w:bottom w:val="single" w:sz="8" w:color="auto"/>
            </w:tcBorders>
            <w:shd w:val="clear" w:color="auto" w:fill="EDEDED"/>
          </w:tcPr>
          <w:p>
            <w:pPr>
              <w:spacing w:after="0"/>
              <w:rPr>
                <w:sz w:val="5"/>
                <w:szCs w:val="5"/>
                <w:color w:val="auto"/>
              </w:rPr>
            </w:pPr>
          </w:p>
        </w:tc>
        <w:tc>
          <w:tcPr>
            <w:tcW w:w="100" w:type="dxa"/>
            <w:vAlign w:val="bottom"/>
            <w:tcBorders>
              <w:top w:val="single" w:sz="8" w:color="0000EE"/>
              <w:bottom w:val="single" w:sz="8" w:color="auto"/>
            </w:tcBorders>
            <w:shd w:val="clear" w:color="auto" w:fill="EDEDED"/>
          </w:tcPr>
          <w:p>
            <w:pPr>
              <w:spacing w:after="0"/>
              <w:rPr>
                <w:sz w:val="5"/>
                <w:szCs w:val="5"/>
                <w:color w:val="auto"/>
              </w:rPr>
            </w:pPr>
          </w:p>
        </w:tc>
        <w:tc>
          <w:tcPr>
            <w:tcW w:w="60" w:type="dxa"/>
            <w:vAlign w:val="bottom"/>
            <w:tcBorders>
              <w:top w:val="single" w:sz="8" w:color="0000EE"/>
              <w:bottom w:val="single" w:sz="8" w:color="auto"/>
            </w:tcBorders>
            <w:shd w:val="clear" w:color="auto" w:fill="EDEDED"/>
          </w:tcPr>
          <w:p>
            <w:pPr>
              <w:spacing w:after="0"/>
              <w:rPr>
                <w:sz w:val="5"/>
                <w:szCs w:val="5"/>
                <w:color w:val="auto"/>
              </w:rPr>
            </w:pPr>
          </w:p>
        </w:tc>
        <w:tc>
          <w:tcPr>
            <w:tcW w:w="200" w:type="dxa"/>
            <w:vAlign w:val="bottom"/>
            <w:tcBorders>
              <w:top w:val="single" w:sz="8" w:color="0000EE"/>
              <w:bottom w:val="single" w:sz="8" w:color="auto"/>
            </w:tcBorders>
            <w:shd w:val="clear" w:color="auto" w:fill="EDEDED"/>
          </w:tcPr>
          <w:p>
            <w:pPr>
              <w:spacing w:after="0"/>
              <w:rPr>
                <w:sz w:val="5"/>
                <w:szCs w:val="5"/>
                <w:color w:val="auto"/>
              </w:rPr>
            </w:pPr>
          </w:p>
        </w:tc>
        <w:tc>
          <w:tcPr>
            <w:tcW w:w="180" w:type="dxa"/>
            <w:vAlign w:val="bottom"/>
            <w:tcBorders>
              <w:top w:val="single" w:sz="8" w:color="0000EE"/>
              <w:bottom w:val="single" w:sz="8" w:color="auto"/>
            </w:tcBorders>
            <w:shd w:val="clear" w:color="auto" w:fill="EDEDED"/>
          </w:tcPr>
          <w:p>
            <w:pPr>
              <w:spacing w:after="0"/>
              <w:rPr>
                <w:sz w:val="5"/>
                <w:szCs w:val="5"/>
                <w:color w:val="auto"/>
              </w:rPr>
            </w:pPr>
          </w:p>
        </w:tc>
        <w:tc>
          <w:tcPr>
            <w:tcW w:w="20" w:type="dxa"/>
            <w:vAlign w:val="bottom"/>
            <w:tcBorders>
              <w:top w:val="single" w:sz="8" w:color="0000EE"/>
              <w:bottom w:val="single" w:sz="8" w:color="auto"/>
            </w:tcBorders>
            <w:shd w:val="clear" w:color="auto" w:fill="EDEDED"/>
          </w:tcPr>
          <w:p>
            <w:pPr>
              <w:spacing w:after="0"/>
              <w:rPr>
                <w:sz w:val="5"/>
                <w:szCs w:val="5"/>
                <w:color w:val="auto"/>
              </w:rPr>
            </w:pPr>
          </w:p>
        </w:tc>
        <w:tc>
          <w:tcPr>
            <w:tcW w:w="60" w:type="dxa"/>
            <w:vAlign w:val="bottom"/>
            <w:tcBorders>
              <w:top w:val="single" w:sz="8" w:color="EDEDED"/>
              <w:bottom w:val="single" w:sz="8" w:color="auto"/>
            </w:tcBorders>
            <w:shd w:val="clear" w:color="auto" w:fill="EDEDED"/>
          </w:tcPr>
          <w:p>
            <w:pPr>
              <w:spacing w:after="0"/>
              <w:rPr>
                <w:sz w:val="5"/>
                <w:szCs w:val="5"/>
                <w:color w:val="auto"/>
              </w:rPr>
            </w:pPr>
          </w:p>
        </w:tc>
        <w:tc>
          <w:tcPr>
            <w:tcW w:w="60" w:type="dxa"/>
            <w:vAlign w:val="bottom"/>
            <w:tcBorders>
              <w:top w:val="single" w:sz="8" w:color="EDEDED"/>
              <w:bottom w:val="single" w:sz="8" w:color="auto"/>
            </w:tcBorders>
            <w:shd w:val="clear" w:color="auto" w:fill="EDEDED"/>
          </w:tcPr>
          <w:p>
            <w:pPr>
              <w:spacing w:after="0"/>
              <w:rPr>
                <w:sz w:val="5"/>
                <w:szCs w:val="5"/>
                <w:color w:val="auto"/>
              </w:rPr>
            </w:pPr>
          </w:p>
        </w:tc>
        <w:tc>
          <w:tcPr>
            <w:tcW w:w="60" w:type="dxa"/>
            <w:vAlign w:val="bottom"/>
            <w:tcBorders>
              <w:top w:val="single" w:sz="8" w:color="EDEDED"/>
              <w:bottom w:val="single" w:sz="8" w:color="auto"/>
            </w:tcBorders>
            <w:shd w:val="clear" w:color="auto" w:fill="EDEDED"/>
          </w:tcPr>
          <w:p>
            <w:pPr>
              <w:spacing w:after="0"/>
              <w:rPr>
                <w:sz w:val="5"/>
                <w:szCs w:val="5"/>
                <w:color w:val="auto"/>
              </w:rPr>
            </w:pPr>
          </w:p>
        </w:tc>
        <w:tc>
          <w:tcPr>
            <w:tcW w:w="80" w:type="dxa"/>
            <w:vAlign w:val="bottom"/>
            <w:tcBorders>
              <w:top w:val="single" w:sz="8" w:color="EDEDED"/>
              <w:bottom w:val="single" w:sz="8" w:color="auto"/>
            </w:tcBorders>
            <w:shd w:val="clear" w:color="auto" w:fill="EDEDED"/>
          </w:tcPr>
          <w:p>
            <w:pPr>
              <w:spacing w:after="0"/>
              <w:rPr>
                <w:sz w:val="5"/>
                <w:szCs w:val="5"/>
                <w:color w:val="auto"/>
              </w:rPr>
            </w:pPr>
          </w:p>
        </w:tc>
        <w:tc>
          <w:tcPr>
            <w:tcW w:w="320" w:type="dxa"/>
            <w:vAlign w:val="bottom"/>
            <w:tcBorders>
              <w:top w:val="single" w:sz="8" w:color="EDEDED"/>
              <w:bottom w:val="single" w:sz="8" w:color="auto"/>
            </w:tcBorders>
            <w:shd w:val="clear" w:color="auto" w:fill="EDEDED"/>
          </w:tcPr>
          <w:p>
            <w:pPr>
              <w:spacing w:after="0"/>
              <w:rPr>
                <w:sz w:val="5"/>
                <w:szCs w:val="5"/>
                <w:color w:val="auto"/>
              </w:rPr>
            </w:pPr>
          </w:p>
        </w:tc>
        <w:tc>
          <w:tcPr>
            <w:tcW w:w="240" w:type="dxa"/>
            <w:vAlign w:val="bottom"/>
            <w:tcBorders>
              <w:top w:val="single" w:sz="8" w:color="EDEDED"/>
              <w:bottom w:val="single" w:sz="8" w:color="auto"/>
            </w:tcBorders>
            <w:shd w:val="clear" w:color="auto" w:fill="EDEDED"/>
          </w:tcPr>
          <w:p>
            <w:pPr>
              <w:spacing w:after="0"/>
              <w:rPr>
                <w:sz w:val="5"/>
                <w:szCs w:val="5"/>
                <w:color w:val="auto"/>
              </w:rPr>
            </w:pPr>
          </w:p>
        </w:tc>
        <w:tc>
          <w:tcPr>
            <w:tcW w:w="60" w:type="dxa"/>
            <w:vAlign w:val="bottom"/>
            <w:tcBorders>
              <w:top w:val="single" w:sz="8" w:color="EDEDED"/>
              <w:bottom w:val="single" w:sz="8" w:color="auto"/>
            </w:tcBorders>
            <w:shd w:val="clear" w:color="auto" w:fill="EDEDED"/>
          </w:tcPr>
          <w:p>
            <w:pPr>
              <w:spacing w:after="0"/>
              <w:rPr>
                <w:sz w:val="5"/>
                <w:szCs w:val="5"/>
                <w:color w:val="auto"/>
              </w:rPr>
            </w:pPr>
          </w:p>
        </w:tc>
        <w:tc>
          <w:tcPr>
            <w:tcW w:w="20" w:type="dxa"/>
            <w:vAlign w:val="bottom"/>
            <w:tcBorders>
              <w:top w:val="single" w:sz="8" w:color="EDEDED"/>
              <w:bottom w:val="single" w:sz="8" w:color="auto"/>
            </w:tcBorders>
            <w:shd w:val="clear" w:color="auto" w:fill="EDEDED"/>
          </w:tcPr>
          <w:p>
            <w:pPr>
              <w:spacing w:after="0"/>
              <w:rPr>
                <w:sz w:val="5"/>
                <w:szCs w:val="5"/>
                <w:color w:val="auto"/>
              </w:rPr>
            </w:pPr>
          </w:p>
        </w:tc>
        <w:tc>
          <w:tcPr>
            <w:tcW w:w="40" w:type="dxa"/>
            <w:vAlign w:val="bottom"/>
            <w:tcBorders>
              <w:top w:val="single" w:sz="8" w:color="EDEDED"/>
              <w:bottom w:val="single" w:sz="8" w:color="auto"/>
            </w:tcBorders>
            <w:shd w:val="clear" w:color="auto" w:fill="EDEDED"/>
          </w:tcPr>
          <w:p>
            <w:pPr>
              <w:spacing w:after="0"/>
              <w:rPr>
                <w:sz w:val="5"/>
                <w:szCs w:val="5"/>
                <w:color w:val="auto"/>
              </w:rPr>
            </w:pPr>
          </w:p>
        </w:tc>
        <w:tc>
          <w:tcPr>
            <w:tcW w:w="20" w:type="dxa"/>
            <w:vAlign w:val="bottom"/>
            <w:tcBorders>
              <w:top w:val="single" w:sz="8" w:color="EDEDED"/>
              <w:bottom w:val="single" w:sz="8" w:color="auto"/>
            </w:tcBorders>
            <w:shd w:val="clear" w:color="auto" w:fill="EDEDED"/>
          </w:tcPr>
          <w:p>
            <w:pPr>
              <w:spacing w:after="0"/>
              <w:rPr>
                <w:sz w:val="5"/>
                <w:szCs w:val="5"/>
                <w:color w:val="auto"/>
              </w:rPr>
            </w:pPr>
          </w:p>
        </w:tc>
        <w:tc>
          <w:tcPr>
            <w:tcW w:w="60" w:type="dxa"/>
            <w:vAlign w:val="bottom"/>
            <w:tcBorders>
              <w:top w:val="single" w:sz="8" w:color="EDEDED"/>
              <w:bottom w:val="single" w:sz="8" w:color="auto"/>
            </w:tcBorders>
            <w:shd w:val="clear" w:color="auto" w:fill="EDEDED"/>
          </w:tcPr>
          <w:p>
            <w:pPr>
              <w:spacing w:after="0"/>
              <w:rPr>
                <w:sz w:val="5"/>
                <w:szCs w:val="5"/>
                <w:color w:val="auto"/>
              </w:rPr>
            </w:pPr>
          </w:p>
        </w:tc>
        <w:tc>
          <w:tcPr>
            <w:tcW w:w="220" w:type="dxa"/>
            <w:vAlign w:val="bottom"/>
            <w:tcBorders>
              <w:top w:val="single" w:sz="8" w:color="EDEDED"/>
              <w:bottom w:val="single" w:sz="8" w:color="auto"/>
            </w:tcBorders>
            <w:shd w:val="clear" w:color="auto" w:fill="EDEDED"/>
          </w:tcPr>
          <w:p>
            <w:pPr>
              <w:spacing w:after="0"/>
              <w:rPr>
                <w:sz w:val="5"/>
                <w:szCs w:val="5"/>
                <w:color w:val="auto"/>
              </w:rPr>
            </w:pPr>
          </w:p>
        </w:tc>
        <w:tc>
          <w:tcPr>
            <w:tcW w:w="40" w:type="dxa"/>
            <w:vAlign w:val="bottom"/>
            <w:tcBorders>
              <w:top w:val="single" w:sz="8" w:color="EDEDED"/>
              <w:bottom w:val="single" w:sz="8" w:color="auto"/>
            </w:tcBorders>
            <w:shd w:val="clear" w:color="auto" w:fill="EDEDED"/>
          </w:tcPr>
          <w:p>
            <w:pPr>
              <w:spacing w:after="0"/>
              <w:rPr>
                <w:sz w:val="5"/>
                <w:szCs w:val="5"/>
                <w:color w:val="auto"/>
              </w:rPr>
            </w:pPr>
          </w:p>
        </w:tc>
        <w:tc>
          <w:tcPr>
            <w:tcW w:w="60" w:type="dxa"/>
            <w:vAlign w:val="bottom"/>
            <w:tcBorders>
              <w:top w:val="single" w:sz="8" w:color="EDEDED"/>
              <w:bottom w:val="single" w:sz="8" w:color="auto"/>
            </w:tcBorders>
            <w:shd w:val="clear" w:color="auto" w:fill="EDEDED"/>
          </w:tcPr>
          <w:p>
            <w:pPr>
              <w:spacing w:after="0"/>
              <w:rPr>
                <w:sz w:val="5"/>
                <w:szCs w:val="5"/>
                <w:color w:val="auto"/>
              </w:rPr>
            </w:pPr>
          </w:p>
        </w:tc>
        <w:tc>
          <w:tcPr>
            <w:tcW w:w="140" w:type="dxa"/>
            <w:vAlign w:val="bottom"/>
            <w:tcBorders>
              <w:top w:val="single" w:sz="8" w:color="EDEDED"/>
              <w:bottom w:val="single" w:sz="8" w:color="auto"/>
            </w:tcBorders>
            <w:shd w:val="clear" w:color="auto" w:fill="EDEDED"/>
          </w:tcPr>
          <w:p>
            <w:pPr>
              <w:spacing w:after="0"/>
              <w:rPr>
                <w:sz w:val="5"/>
                <w:szCs w:val="5"/>
                <w:color w:val="auto"/>
              </w:rPr>
            </w:pPr>
          </w:p>
        </w:tc>
        <w:tc>
          <w:tcPr>
            <w:tcW w:w="80" w:type="dxa"/>
            <w:vAlign w:val="bottom"/>
            <w:tcBorders>
              <w:top w:val="single" w:sz="8" w:color="EDEDED"/>
              <w:bottom w:val="single" w:sz="8" w:color="auto"/>
            </w:tcBorders>
            <w:shd w:val="clear" w:color="auto" w:fill="EDEDED"/>
          </w:tcPr>
          <w:p>
            <w:pPr>
              <w:spacing w:after="0"/>
              <w:rPr>
                <w:sz w:val="5"/>
                <w:szCs w:val="5"/>
                <w:color w:val="auto"/>
              </w:rPr>
            </w:pPr>
          </w:p>
        </w:tc>
        <w:tc>
          <w:tcPr>
            <w:tcW w:w="380" w:type="dxa"/>
            <w:vAlign w:val="bottom"/>
            <w:tcBorders>
              <w:top w:val="single" w:sz="8" w:color="EDEDED"/>
              <w:bottom w:val="single" w:sz="8" w:color="auto"/>
            </w:tcBorders>
            <w:shd w:val="clear" w:color="auto" w:fill="EDEDED"/>
          </w:tcPr>
          <w:p>
            <w:pPr>
              <w:spacing w:after="0"/>
              <w:rPr>
                <w:sz w:val="5"/>
                <w:szCs w:val="5"/>
                <w:color w:val="auto"/>
              </w:rPr>
            </w:pPr>
          </w:p>
        </w:tc>
        <w:tc>
          <w:tcPr>
            <w:tcW w:w="40" w:type="dxa"/>
            <w:vAlign w:val="bottom"/>
            <w:tcBorders>
              <w:top w:val="single" w:sz="8" w:color="EDEDED"/>
              <w:bottom w:val="single" w:sz="8" w:color="auto"/>
            </w:tcBorders>
            <w:shd w:val="clear" w:color="auto" w:fill="EDEDED"/>
          </w:tcPr>
          <w:p>
            <w:pPr>
              <w:spacing w:after="0"/>
              <w:rPr>
                <w:sz w:val="5"/>
                <w:szCs w:val="5"/>
                <w:color w:val="auto"/>
              </w:rPr>
            </w:pPr>
          </w:p>
        </w:tc>
        <w:tc>
          <w:tcPr>
            <w:tcW w:w="60" w:type="dxa"/>
            <w:vAlign w:val="bottom"/>
            <w:tcBorders>
              <w:top w:val="single" w:sz="8" w:color="EDEDED"/>
              <w:bottom w:val="single" w:sz="8" w:color="auto"/>
            </w:tcBorders>
            <w:shd w:val="clear" w:color="auto" w:fill="EDEDED"/>
          </w:tcPr>
          <w:p>
            <w:pPr>
              <w:spacing w:after="0"/>
              <w:rPr>
                <w:sz w:val="5"/>
                <w:szCs w:val="5"/>
                <w:color w:val="auto"/>
              </w:rPr>
            </w:pPr>
          </w:p>
        </w:tc>
        <w:tc>
          <w:tcPr>
            <w:tcW w:w="60" w:type="dxa"/>
            <w:vAlign w:val="bottom"/>
            <w:tcBorders>
              <w:top w:val="single" w:sz="8" w:color="EDEDED"/>
              <w:bottom w:val="single" w:sz="8" w:color="auto"/>
            </w:tcBorders>
            <w:shd w:val="clear" w:color="auto" w:fill="EDEDED"/>
          </w:tcPr>
          <w:p>
            <w:pPr>
              <w:spacing w:after="0"/>
              <w:rPr>
                <w:sz w:val="5"/>
                <w:szCs w:val="5"/>
                <w:color w:val="auto"/>
              </w:rPr>
            </w:pPr>
          </w:p>
        </w:tc>
        <w:tc>
          <w:tcPr>
            <w:tcW w:w="100" w:type="dxa"/>
            <w:vAlign w:val="bottom"/>
            <w:tcBorders>
              <w:top w:val="single" w:sz="8" w:color="EDEDED"/>
              <w:bottom w:val="single" w:sz="8" w:color="auto"/>
            </w:tcBorders>
            <w:shd w:val="clear" w:color="auto" w:fill="EDEDED"/>
          </w:tcPr>
          <w:p>
            <w:pPr>
              <w:spacing w:after="0"/>
              <w:rPr>
                <w:sz w:val="5"/>
                <w:szCs w:val="5"/>
                <w:color w:val="auto"/>
              </w:rPr>
            </w:pPr>
          </w:p>
        </w:tc>
        <w:tc>
          <w:tcPr>
            <w:tcW w:w="260" w:type="dxa"/>
            <w:vAlign w:val="bottom"/>
            <w:tcBorders>
              <w:top w:val="single" w:sz="8" w:color="EDEDED"/>
              <w:bottom w:val="single" w:sz="8" w:color="auto"/>
            </w:tcBorders>
            <w:shd w:val="clear" w:color="auto" w:fill="EDEDED"/>
          </w:tcPr>
          <w:p>
            <w:pPr>
              <w:spacing w:after="0"/>
              <w:rPr>
                <w:sz w:val="5"/>
                <w:szCs w:val="5"/>
                <w:color w:val="auto"/>
              </w:rPr>
            </w:pPr>
          </w:p>
        </w:tc>
        <w:tc>
          <w:tcPr>
            <w:tcW w:w="120" w:type="dxa"/>
            <w:vAlign w:val="bottom"/>
            <w:tcBorders>
              <w:top w:val="single" w:sz="8" w:color="EDEDED"/>
              <w:bottom w:val="single" w:sz="8" w:color="auto"/>
            </w:tcBorders>
            <w:shd w:val="clear" w:color="auto" w:fill="EDEDED"/>
          </w:tcPr>
          <w:p>
            <w:pPr>
              <w:spacing w:after="0"/>
              <w:rPr>
                <w:sz w:val="5"/>
                <w:szCs w:val="5"/>
                <w:color w:val="auto"/>
              </w:rPr>
            </w:pPr>
          </w:p>
        </w:tc>
        <w:tc>
          <w:tcPr>
            <w:tcW w:w="60" w:type="dxa"/>
            <w:vAlign w:val="bottom"/>
            <w:tcBorders>
              <w:top w:val="single" w:sz="8" w:color="EDEDED"/>
              <w:bottom w:val="single" w:sz="8" w:color="auto"/>
            </w:tcBorders>
            <w:shd w:val="clear" w:color="auto" w:fill="EDEDED"/>
          </w:tcPr>
          <w:p>
            <w:pPr>
              <w:spacing w:after="0"/>
              <w:rPr>
                <w:sz w:val="5"/>
                <w:szCs w:val="5"/>
                <w:color w:val="auto"/>
              </w:rPr>
            </w:pPr>
          </w:p>
        </w:tc>
        <w:tc>
          <w:tcPr>
            <w:tcW w:w="20" w:type="dxa"/>
            <w:vAlign w:val="bottom"/>
            <w:tcBorders>
              <w:top w:val="single" w:sz="8" w:color="EDEDED"/>
              <w:bottom w:val="single" w:sz="8" w:color="auto"/>
            </w:tcBorders>
            <w:shd w:val="clear" w:color="auto" w:fill="EDEDED"/>
          </w:tcPr>
          <w:p>
            <w:pPr>
              <w:spacing w:after="0"/>
              <w:rPr>
                <w:sz w:val="5"/>
                <w:szCs w:val="5"/>
                <w:color w:val="auto"/>
              </w:rPr>
            </w:pPr>
          </w:p>
        </w:tc>
        <w:tc>
          <w:tcPr>
            <w:tcW w:w="260" w:type="dxa"/>
            <w:vAlign w:val="bottom"/>
            <w:tcBorders>
              <w:top w:val="single" w:sz="8" w:color="EDEDED"/>
              <w:bottom w:val="single" w:sz="8" w:color="auto"/>
            </w:tcBorders>
            <w:shd w:val="clear" w:color="auto" w:fill="EDEDED"/>
          </w:tcPr>
          <w:p>
            <w:pPr>
              <w:spacing w:after="0"/>
              <w:rPr>
                <w:sz w:val="5"/>
                <w:szCs w:val="5"/>
                <w:color w:val="auto"/>
              </w:rPr>
            </w:pPr>
          </w:p>
        </w:tc>
        <w:tc>
          <w:tcPr>
            <w:tcW w:w="20" w:type="dxa"/>
            <w:vAlign w:val="bottom"/>
            <w:tcBorders>
              <w:top w:val="single" w:sz="8" w:color="EDEDED"/>
              <w:bottom w:val="single" w:sz="8" w:color="auto"/>
            </w:tcBorders>
            <w:shd w:val="clear" w:color="auto" w:fill="EDEDED"/>
          </w:tcPr>
          <w:p>
            <w:pPr>
              <w:spacing w:after="0"/>
              <w:rPr>
                <w:sz w:val="5"/>
                <w:szCs w:val="5"/>
                <w:color w:val="auto"/>
              </w:rPr>
            </w:pPr>
          </w:p>
        </w:tc>
        <w:tc>
          <w:tcPr>
            <w:tcW w:w="20" w:type="dxa"/>
            <w:vAlign w:val="bottom"/>
            <w:tcBorders>
              <w:top w:val="single" w:sz="8" w:color="EDEDED"/>
              <w:bottom w:val="single" w:sz="8" w:color="auto"/>
            </w:tcBorders>
            <w:shd w:val="clear" w:color="auto" w:fill="EDEDED"/>
          </w:tcPr>
          <w:p>
            <w:pPr>
              <w:spacing w:after="0"/>
              <w:rPr>
                <w:sz w:val="5"/>
                <w:szCs w:val="5"/>
                <w:color w:val="auto"/>
              </w:rPr>
            </w:pPr>
          </w:p>
        </w:tc>
        <w:tc>
          <w:tcPr>
            <w:tcW w:w="40" w:type="dxa"/>
            <w:vAlign w:val="bottom"/>
            <w:tcBorders>
              <w:top w:val="single" w:sz="8" w:color="EDEDED"/>
              <w:bottom w:val="single" w:sz="8" w:color="auto"/>
            </w:tcBorders>
            <w:shd w:val="clear" w:color="auto" w:fill="EDEDED"/>
          </w:tcPr>
          <w:p>
            <w:pPr>
              <w:spacing w:after="0"/>
              <w:rPr>
                <w:sz w:val="5"/>
                <w:szCs w:val="5"/>
                <w:color w:val="auto"/>
              </w:rPr>
            </w:pPr>
          </w:p>
        </w:tc>
        <w:tc>
          <w:tcPr>
            <w:tcW w:w="40" w:type="dxa"/>
            <w:vAlign w:val="bottom"/>
            <w:tcBorders>
              <w:top w:val="single" w:sz="8" w:color="EDEDED"/>
              <w:bottom w:val="single" w:sz="8" w:color="auto"/>
            </w:tcBorders>
            <w:shd w:val="clear" w:color="auto" w:fill="EDEDED"/>
          </w:tcPr>
          <w:p>
            <w:pPr>
              <w:spacing w:after="0"/>
              <w:rPr>
                <w:sz w:val="5"/>
                <w:szCs w:val="5"/>
                <w:color w:val="auto"/>
              </w:rPr>
            </w:pPr>
          </w:p>
        </w:tc>
        <w:tc>
          <w:tcPr>
            <w:tcW w:w="20" w:type="dxa"/>
            <w:vAlign w:val="bottom"/>
            <w:tcBorders>
              <w:top w:val="single" w:sz="8" w:color="EDEDED"/>
              <w:bottom w:val="single" w:sz="8" w:color="auto"/>
            </w:tcBorders>
            <w:shd w:val="clear" w:color="auto" w:fill="EDEDED"/>
          </w:tcPr>
          <w:p>
            <w:pPr>
              <w:spacing w:after="0"/>
              <w:rPr>
                <w:sz w:val="5"/>
                <w:szCs w:val="5"/>
                <w:color w:val="auto"/>
              </w:rPr>
            </w:pPr>
          </w:p>
        </w:tc>
        <w:tc>
          <w:tcPr>
            <w:tcW w:w="80" w:type="dxa"/>
            <w:vAlign w:val="bottom"/>
            <w:tcBorders>
              <w:top w:val="single" w:sz="8" w:color="EDEDED"/>
              <w:bottom w:val="single" w:sz="8" w:color="auto"/>
            </w:tcBorders>
            <w:shd w:val="clear" w:color="auto" w:fill="EDEDED"/>
          </w:tcPr>
          <w:p>
            <w:pPr>
              <w:spacing w:after="0"/>
              <w:rPr>
                <w:sz w:val="5"/>
                <w:szCs w:val="5"/>
                <w:color w:val="auto"/>
              </w:rPr>
            </w:pPr>
          </w:p>
        </w:tc>
        <w:tc>
          <w:tcPr>
            <w:tcW w:w="660" w:type="dxa"/>
            <w:vAlign w:val="bottom"/>
            <w:tcBorders>
              <w:top w:val="single" w:sz="8" w:color="EDEDED"/>
              <w:bottom w:val="single" w:sz="8" w:color="auto"/>
            </w:tcBorders>
            <w:shd w:val="clear" w:color="auto" w:fill="EDEDED"/>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20" w:type="dxa"/>
            <w:vAlign w:val="bottom"/>
            <w:gridSpan w:val="40"/>
          </w:tcPr>
          <w:p>
            <w:pPr>
              <w:spacing w:after="0" w:line="169" w:lineRule="exact"/>
              <w:rPr>
                <w:sz w:val="20"/>
                <w:szCs w:val="20"/>
                <w:color w:val="auto"/>
              </w:rPr>
            </w:pPr>
            <w:r>
              <w:rPr>
                <w:rFonts w:ascii="Arial" w:cs="Arial" w:eastAsia="Arial" w:hAnsi="Arial"/>
                <w:sz w:val="16"/>
                <w:szCs w:val="16"/>
                <w:b w:val="1"/>
                <w:bCs w:val="1"/>
                <w:color w:val="0000EE"/>
              </w:rPr>
              <w:t>Proposal 3: Advisory Vote to Approve the Frequency of the</w:t>
            </w:r>
          </w:p>
        </w:tc>
        <w:tc>
          <w:tcPr>
            <w:tcW w:w="660" w:type="dxa"/>
            <w:vAlign w:val="bottom"/>
          </w:tcPr>
          <w:p>
            <w:pPr>
              <w:jc w:val="right"/>
              <w:ind w:right="139"/>
              <w:spacing w:after="0" w:line="169" w:lineRule="exact"/>
              <w:rPr>
                <w:sz w:val="20"/>
                <w:szCs w:val="20"/>
                <w:color w:val="auto"/>
              </w:rPr>
            </w:pPr>
            <w:r>
              <w:rPr>
                <w:rFonts w:ascii="Arial" w:cs="Arial" w:eastAsia="Arial" w:hAnsi="Arial"/>
                <w:sz w:val="16"/>
                <w:szCs w:val="16"/>
                <w:b w:val="1"/>
                <w:bCs w:val="1"/>
                <w:color w:val="00AF41"/>
              </w:rPr>
              <w:t>85</w:t>
            </w:r>
          </w:p>
        </w:tc>
        <w:tc>
          <w:tcPr>
            <w:tcW w:w="0" w:type="dxa"/>
            <w:vAlign w:val="bottom"/>
          </w:tcPr>
          <w:p>
            <w:pPr>
              <w:spacing w:after="0"/>
              <w:rPr>
                <w:sz w:val="1"/>
                <w:szCs w:val="1"/>
                <w:color w:val="auto"/>
              </w:rPr>
            </w:pPr>
          </w:p>
        </w:tc>
      </w:tr>
      <w:tr>
        <w:trPr>
          <w:trHeight w:val="169"/>
        </w:trPr>
        <w:tc>
          <w:tcPr>
            <w:tcW w:w="4540" w:type="dxa"/>
            <w:vAlign w:val="bottom"/>
            <w:tcBorders>
              <w:top w:val="single" w:sz="8" w:color="0000EE"/>
            </w:tcBorders>
            <w:gridSpan w:val="36"/>
          </w:tcPr>
          <w:p>
            <w:pPr>
              <w:spacing w:after="0" w:line="169" w:lineRule="exact"/>
              <w:rPr>
                <w:sz w:val="20"/>
                <w:szCs w:val="20"/>
                <w:color w:val="auto"/>
              </w:rPr>
            </w:pPr>
            <w:r>
              <w:rPr>
                <w:rFonts w:ascii="Arial" w:cs="Arial" w:eastAsia="Arial" w:hAnsi="Arial"/>
                <w:sz w:val="16"/>
                <w:szCs w:val="16"/>
                <w:b w:val="1"/>
                <w:bCs w:val="1"/>
                <w:color w:val="0000EE"/>
              </w:rPr>
              <w:t>Company’s Executive Compensation</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80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0" w:type="dxa"/>
            <w:vAlign w:val="bottom"/>
            <w:tcBorders>
              <w:top w:val="single" w:sz="8" w:color="0000EE"/>
              <w:bottom w:val="single" w:sz="8" w:color="auto"/>
            </w:tcBorders>
          </w:tcPr>
          <w:p>
            <w:pPr>
              <w:spacing w:after="0"/>
              <w:rPr>
                <w:sz w:val="5"/>
                <w:szCs w:val="5"/>
                <w:color w:val="auto"/>
              </w:rPr>
            </w:pPr>
          </w:p>
        </w:tc>
        <w:tc>
          <w:tcPr>
            <w:tcW w:w="18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320" w:type="dxa"/>
            <w:vAlign w:val="bottom"/>
            <w:tcBorders>
              <w:top w:val="single" w:sz="8" w:color="0000EE"/>
              <w:bottom w:val="single" w:sz="8" w:color="auto"/>
            </w:tcBorders>
          </w:tcPr>
          <w:p>
            <w:pPr>
              <w:spacing w:after="0"/>
              <w:rPr>
                <w:sz w:val="5"/>
                <w:szCs w:val="5"/>
                <w:color w:val="auto"/>
              </w:rPr>
            </w:pPr>
          </w:p>
        </w:tc>
        <w:tc>
          <w:tcPr>
            <w:tcW w:w="24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40" w:type="dxa"/>
            <w:vAlign w:val="bottom"/>
            <w:tcBorders>
              <w:top w:val="single" w:sz="8" w:color="0000EE"/>
              <w:bottom w:val="single" w:sz="8" w:color="auto"/>
            </w:tcBorders>
          </w:tcPr>
          <w:p>
            <w:pPr>
              <w:spacing w:after="0"/>
              <w:rPr>
                <w:sz w:val="5"/>
                <w:szCs w:val="5"/>
                <w:color w:val="auto"/>
              </w:rPr>
            </w:pPr>
          </w:p>
        </w:tc>
        <w:tc>
          <w:tcPr>
            <w:tcW w:w="2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20" w:type="dxa"/>
            <w:vAlign w:val="bottom"/>
            <w:tcBorders>
              <w:top w:val="single" w:sz="8" w:color="0000EE"/>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20" w:type="dxa"/>
            <w:vAlign w:val="bottom"/>
            <w:gridSpan w:val="40"/>
            <w:shd w:val="clear" w:color="auto" w:fill="EDEDED"/>
          </w:tcPr>
          <w:p>
            <w:pPr>
              <w:spacing w:after="0" w:line="169" w:lineRule="exact"/>
              <w:rPr>
                <w:sz w:val="20"/>
                <w:szCs w:val="20"/>
                <w:color w:val="auto"/>
              </w:rPr>
            </w:pPr>
            <w:r>
              <w:rPr>
                <w:rFonts w:ascii="Arial" w:cs="Arial" w:eastAsia="Arial" w:hAnsi="Arial"/>
                <w:sz w:val="16"/>
                <w:szCs w:val="16"/>
                <w:b w:val="1"/>
                <w:bCs w:val="1"/>
                <w:color w:val="0000EE"/>
              </w:rPr>
              <w:t>Proposal 4: Ratification of the Appointment of</w:t>
            </w:r>
          </w:p>
        </w:tc>
        <w:tc>
          <w:tcPr>
            <w:tcW w:w="660" w:type="dxa"/>
            <w:vAlign w:val="bottom"/>
            <w:shd w:val="clear" w:color="auto" w:fill="EDEDED"/>
          </w:tcPr>
          <w:p>
            <w:pPr>
              <w:jc w:val="right"/>
              <w:ind w:right="139"/>
              <w:spacing w:after="0" w:line="169" w:lineRule="exact"/>
              <w:rPr>
                <w:sz w:val="20"/>
                <w:szCs w:val="20"/>
                <w:color w:val="auto"/>
              </w:rPr>
            </w:pPr>
            <w:r>
              <w:rPr>
                <w:rFonts w:ascii="Arial" w:cs="Arial" w:eastAsia="Arial" w:hAnsi="Arial"/>
                <w:sz w:val="16"/>
                <w:szCs w:val="16"/>
                <w:b w:val="1"/>
                <w:bCs w:val="1"/>
                <w:color w:val="00AF41"/>
              </w:rPr>
              <w:t>86</w:t>
            </w:r>
          </w:p>
        </w:tc>
        <w:tc>
          <w:tcPr>
            <w:tcW w:w="0" w:type="dxa"/>
            <w:vAlign w:val="bottom"/>
          </w:tcPr>
          <w:p>
            <w:pPr>
              <w:spacing w:after="0"/>
              <w:rPr>
                <w:sz w:val="1"/>
                <w:szCs w:val="1"/>
                <w:color w:val="auto"/>
              </w:rPr>
            </w:pPr>
          </w:p>
        </w:tc>
      </w:tr>
      <w:tr>
        <w:trPr>
          <w:trHeight w:val="169"/>
        </w:trPr>
        <w:tc>
          <w:tcPr>
            <w:tcW w:w="20" w:type="dxa"/>
            <w:vAlign w:val="bottom"/>
            <w:tcBorders>
              <w:top w:val="single" w:sz="8" w:color="0000EE"/>
              <w:bottom w:val="single" w:sz="8" w:color="0000EE"/>
            </w:tcBorders>
          </w:tcPr>
          <w:p>
            <w:pPr>
              <w:spacing w:after="0"/>
              <w:rPr>
                <w:sz w:val="14"/>
                <w:szCs w:val="14"/>
                <w:color w:val="auto"/>
              </w:rPr>
            </w:pPr>
          </w:p>
        </w:tc>
        <w:tc>
          <w:tcPr>
            <w:tcW w:w="3520" w:type="dxa"/>
            <w:vAlign w:val="bottom"/>
            <w:tcBorders>
              <w:top w:val="single" w:sz="8" w:color="0000EE"/>
              <w:bottom w:val="single" w:sz="8" w:color="0000EE"/>
            </w:tcBorders>
            <w:gridSpan w:val="25"/>
            <w:shd w:val="clear" w:color="auto" w:fill="EDEDED"/>
          </w:tcPr>
          <w:p>
            <w:pPr>
              <w:spacing w:after="0" w:line="169" w:lineRule="exact"/>
              <w:rPr>
                <w:sz w:val="20"/>
                <w:szCs w:val="20"/>
                <w:color w:val="auto"/>
              </w:rPr>
            </w:pPr>
            <w:r>
              <w:rPr>
                <w:rFonts w:ascii="Arial" w:cs="Arial" w:eastAsia="Arial" w:hAnsi="Arial"/>
                <w:sz w:val="16"/>
                <w:szCs w:val="16"/>
                <w:b w:val="1"/>
                <w:bCs w:val="1"/>
                <w:color w:val="0000EE"/>
                <w:w w:val="94"/>
              </w:rPr>
              <w:t>PricewaterhouseCoopers LLP as the Company’s</w:t>
            </w:r>
          </w:p>
        </w:tc>
        <w:tc>
          <w:tcPr>
            <w:tcW w:w="1200" w:type="dxa"/>
            <w:vAlign w:val="bottom"/>
            <w:tcBorders>
              <w:top w:val="single" w:sz="8" w:color="EDEDED"/>
              <w:bottom w:val="single" w:sz="8" w:color="0000EE"/>
            </w:tcBorders>
            <w:gridSpan w:val="15"/>
            <w:shd w:val="clear" w:color="auto" w:fill="EDEDED"/>
          </w:tcPr>
          <w:p>
            <w:pPr>
              <w:ind w:left="240"/>
              <w:spacing w:after="0" w:line="169" w:lineRule="exact"/>
              <w:rPr>
                <w:sz w:val="20"/>
                <w:szCs w:val="20"/>
                <w:color w:val="auto"/>
              </w:rPr>
            </w:pPr>
            <w:r>
              <w:rPr>
                <w:rFonts w:ascii="Arial" w:cs="Arial" w:eastAsia="Arial" w:hAnsi="Arial"/>
                <w:sz w:val="16"/>
                <w:szCs w:val="16"/>
                <w:b w:val="1"/>
                <w:bCs w:val="1"/>
                <w:color w:val="0000EE"/>
                <w:w w:val="98"/>
              </w:rPr>
              <w:t>Independent</w:t>
            </w:r>
          </w:p>
        </w:tc>
        <w:tc>
          <w:tcPr>
            <w:tcW w:w="660" w:type="dxa"/>
            <w:vAlign w:val="bottom"/>
            <w:tcBorders>
              <w:top w:val="single" w:sz="8" w:color="EDEDED"/>
              <w:bottom w:val="single" w:sz="8" w:color="EDEDED"/>
            </w:tcBorders>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0000EE"/>
            </w:tcBorders>
          </w:tcPr>
          <w:p>
            <w:pPr>
              <w:spacing w:after="0"/>
              <w:rPr>
                <w:sz w:val="16"/>
                <w:szCs w:val="16"/>
                <w:color w:val="auto"/>
              </w:rPr>
            </w:pPr>
          </w:p>
        </w:tc>
        <w:tc>
          <w:tcPr>
            <w:tcW w:w="4540" w:type="dxa"/>
            <w:vAlign w:val="bottom"/>
            <w:tcBorders>
              <w:bottom w:val="single" w:sz="8" w:color="0000EE"/>
            </w:tcBorders>
            <w:gridSpan w:val="36"/>
            <w:shd w:val="clear" w:color="auto" w:fill="EDEDED"/>
          </w:tcPr>
          <w:p>
            <w:pPr>
              <w:spacing w:after="0" w:line="169" w:lineRule="exact"/>
              <w:rPr>
                <w:sz w:val="20"/>
                <w:szCs w:val="20"/>
                <w:color w:val="auto"/>
              </w:rPr>
            </w:pPr>
            <w:r>
              <w:rPr>
                <w:rFonts w:ascii="Arial" w:cs="Arial" w:eastAsia="Arial" w:hAnsi="Arial"/>
                <w:sz w:val="16"/>
                <w:szCs w:val="16"/>
                <w:b w:val="1"/>
                <w:bCs w:val="1"/>
                <w:color w:val="0000EE"/>
              </w:rPr>
              <w:t>Registered Public Accounting Firm for the 2023 Fiscal Year</w:t>
            </w:r>
          </w:p>
        </w:tc>
        <w:tc>
          <w:tcPr>
            <w:tcW w:w="180" w:type="dxa"/>
            <w:vAlign w:val="bottom"/>
            <w:tcBorders>
              <w:bottom w:val="single" w:sz="8" w:color="EDEDED"/>
            </w:tcBorders>
            <w:gridSpan w:val="4"/>
            <w:shd w:val="clear" w:color="auto" w:fill="EDEDED"/>
          </w:tcPr>
          <w:p>
            <w:pPr>
              <w:spacing w:after="0"/>
              <w:rPr>
                <w:sz w:val="16"/>
                <w:szCs w:val="16"/>
                <w:color w:val="auto"/>
              </w:rPr>
            </w:pPr>
          </w:p>
        </w:tc>
        <w:tc>
          <w:tcPr>
            <w:tcW w:w="660" w:type="dxa"/>
            <w:vAlign w:val="bottom"/>
            <w:tcBorders>
              <w:bottom w:val="single" w:sz="8" w:color="EDEDED"/>
            </w:tcBorders>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gridSpan w:val="40"/>
          </w:tcPr>
          <w:p>
            <w:pPr>
              <w:spacing w:after="0" w:line="162" w:lineRule="exact"/>
              <w:rPr>
                <w:sz w:val="20"/>
                <w:szCs w:val="20"/>
                <w:color w:val="auto"/>
              </w:rPr>
            </w:pPr>
            <w:r>
              <w:rPr>
                <w:rFonts w:ascii="Arial" w:cs="Arial" w:eastAsia="Arial" w:hAnsi="Arial"/>
                <w:sz w:val="16"/>
                <w:szCs w:val="16"/>
                <w:color w:val="0000EE"/>
              </w:rPr>
              <w:t>Audit and Non-Audit Fees</w:t>
            </w:r>
          </w:p>
        </w:tc>
        <w:tc>
          <w:tcPr>
            <w:tcW w:w="660" w:type="dxa"/>
            <w:vAlign w:val="bottom"/>
          </w:tcPr>
          <w:p>
            <w:pPr>
              <w:jc w:val="right"/>
              <w:ind w:right="139"/>
              <w:spacing w:after="0" w:line="162" w:lineRule="exact"/>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720" w:type="dxa"/>
            <w:vAlign w:val="bottom"/>
            <w:gridSpan w:val="40"/>
            <w:shd w:val="clear" w:color="auto" w:fill="EDEDED"/>
          </w:tcPr>
          <w:p>
            <w:pPr>
              <w:spacing w:after="0" w:line="162" w:lineRule="exact"/>
              <w:rPr>
                <w:sz w:val="20"/>
                <w:szCs w:val="20"/>
                <w:color w:val="auto"/>
              </w:rPr>
            </w:pPr>
            <w:r>
              <w:rPr>
                <w:rFonts w:ascii="Arial" w:cs="Arial" w:eastAsia="Arial" w:hAnsi="Arial"/>
                <w:sz w:val="16"/>
                <w:szCs w:val="16"/>
                <w:color w:val="0000EE"/>
              </w:rPr>
              <w:t>Report of the Audit Committee</w:t>
            </w:r>
          </w:p>
        </w:tc>
        <w:tc>
          <w:tcPr>
            <w:tcW w:w="660" w:type="dxa"/>
            <w:vAlign w:val="bottom"/>
            <w:shd w:val="clear" w:color="auto" w:fill="EDEDED"/>
          </w:tcPr>
          <w:p>
            <w:pPr>
              <w:jc w:val="right"/>
              <w:ind w:right="139"/>
              <w:spacing w:after="0" w:line="162" w:lineRule="exact"/>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61"/>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bottom w:val="single" w:sz="8" w:color="auto"/>
            </w:tcBorders>
            <w:shd w:val="clear" w:color="auto" w:fill="EDEDED"/>
          </w:tcPr>
          <w:p>
            <w:pPr>
              <w:spacing w:after="0"/>
              <w:rPr>
                <w:sz w:val="5"/>
                <w:szCs w:val="5"/>
                <w:color w:val="auto"/>
              </w:rPr>
            </w:pPr>
          </w:p>
        </w:tc>
        <w:tc>
          <w:tcPr>
            <w:tcW w:w="800" w:type="dxa"/>
            <w:vAlign w:val="bottom"/>
            <w:tcBorders>
              <w:top w:val="single" w:sz="8" w:color="0000EE"/>
              <w:bottom w:val="single" w:sz="8" w:color="auto"/>
            </w:tcBorders>
            <w:shd w:val="clear" w:color="auto" w:fill="EDEDED"/>
          </w:tcPr>
          <w:p>
            <w:pPr>
              <w:spacing w:after="0"/>
              <w:rPr>
                <w:sz w:val="5"/>
                <w:szCs w:val="5"/>
                <w:color w:val="auto"/>
              </w:rPr>
            </w:pPr>
          </w:p>
        </w:tc>
        <w:tc>
          <w:tcPr>
            <w:tcW w:w="80" w:type="dxa"/>
            <w:vAlign w:val="bottom"/>
            <w:tcBorders>
              <w:top w:val="single" w:sz="8" w:color="0000EE"/>
              <w:bottom w:val="single" w:sz="8" w:color="auto"/>
            </w:tcBorders>
            <w:shd w:val="clear" w:color="auto" w:fill="EDEDED"/>
          </w:tcPr>
          <w:p>
            <w:pPr>
              <w:spacing w:after="0"/>
              <w:rPr>
                <w:sz w:val="5"/>
                <w:szCs w:val="5"/>
                <w:color w:val="auto"/>
              </w:rPr>
            </w:pPr>
          </w:p>
        </w:tc>
        <w:tc>
          <w:tcPr>
            <w:tcW w:w="100" w:type="dxa"/>
            <w:vAlign w:val="bottom"/>
            <w:tcBorders>
              <w:top w:val="single" w:sz="8" w:color="0000EE"/>
              <w:bottom w:val="single" w:sz="8" w:color="auto"/>
            </w:tcBorders>
            <w:shd w:val="clear" w:color="auto" w:fill="EDEDED"/>
          </w:tcPr>
          <w:p>
            <w:pPr>
              <w:spacing w:after="0"/>
              <w:rPr>
                <w:sz w:val="5"/>
                <w:szCs w:val="5"/>
                <w:color w:val="auto"/>
              </w:rPr>
            </w:pPr>
          </w:p>
        </w:tc>
        <w:tc>
          <w:tcPr>
            <w:tcW w:w="60" w:type="dxa"/>
            <w:vAlign w:val="bottom"/>
            <w:tcBorders>
              <w:top w:val="single" w:sz="8" w:color="0000EE"/>
              <w:bottom w:val="single" w:sz="8" w:color="auto"/>
            </w:tcBorders>
            <w:shd w:val="clear" w:color="auto" w:fill="EDEDED"/>
          </w:tcPr>
          <w:p>
            <w:pPr>
              <w:spacing w:after="0"/>
              <w:rPr>
                <w:sz w:val="5"/>
                <w:szCs w:val="5"/>
                <w:color w:val="auto"/>
              </w:rPr>
            </w:pPr>
          </w:p>
        </w:tc>
        <w:tc>
          <w:tcPr>
            <w:tcW w:w="200" w:type="dxa"/>
            <w:vAlign w:val="bottom"/>
            <w:tcBorders>
              <w:top w:val="single" w:sz="8" w:color="0000EE"/>
              <w:bottom w:val="single" w:sz="8" w:color="auto"/>
            </w:tcBorders>
            <w:shd w:val="clear" w:color="auto" w:fill="EDEDED"/>
          </w:tcPr>
          <w:p>
            <w:pPr>
              <w:spacing w:after="0"/>
              <w:rPr>
                <w:sz w:val="5"/>
                <w:szCs w:val="5"/>
                <w:color w:val="auto"/>
              </w:rPr>
            </w:pPr>
          </w:p>
        </w:tc>
        <w:tc>
          <w:tcPr>
            <w:tcW w:w="180" w:type="dxa"/>
            <w:vAlign w:val="bottom"/>
            <w:tcBorders>
              <w:top w:val="single" w:sz="8" w:color="0000EE"/>
              <w:bottom w:val="single" w:sz="8" w:color="auto"/>
            </w:tcBorders>
            <w:shd w:val="clear" w:color="auto" w:fill="EDEDED"/>
          </w:tcPr>
          <w:p>
            <w:pPr>
              <w:spacing w:after="0"/>
              <w:rPr>
                <w:sz w:val="5"/>
                <w:szCs w:val="5"/>
                <w:color w:val="auto"/>
              </w:rPr>
            </w:pPr>
          </w:p>
        </w:tc>
        <w:tc>
          <w:tcPr>
            <w:tcW w:w="20" w:type="dxa"/>
            <w:vAlign w:val="bottom"/>
            <w:tcBorders>
              <w:top w:val="single" w:sz="8" w:color="0000EE"/>
              <w:bottom w:val="single" w:sz="8" w:color="auto"/>
            </w:tcBorders>
            <w:shd w:val="clear" w:color="auto" w:fill="EDEDED"/>
          </w:tcPr>
          <w:p>
            <w:pPr>
              <w:spacing w:after="0"/>
              <w:rPr>
                <w:sz w:val="5"/>
                <w:szCs w:val="5"/>
                <w:color w:val="auto"/>
              </w:rPr>
            </w:pPr>
          </w:p>
        </w:tc>
        <w:tc>
          <w:tcPr>
            <w:tcW w:w="60" w:type="dxa"/>
            <w:vAlign w:val="bottom"/>
            <w:tcBorders>
              <w:top w:val="single" w:sz="8" w:color="0000EE"/>
              <w:bottom w:val="single" w:sz="8" w:color="auto"/>
            </w:tcBorders>
            <w:shd w:val="clear" w:color="auto" w:fill="EDEDED"/>
          </w:tcPr>
          <w:p>
            <w:pPr>
              <w:spacing w:after="0"/>
              <w:rPr>
                <w:sz w:val="5"/>
                <w:szCs w:val="5"/>
                <w:color w:val="auto"/>
              </w:rPr>
            </w:pPr>
          </w:p>
        </w:tc>
        <w:tc>
          <w:tcPr>
            <w:tcW w:w="60" w:type="dxa"/>
            <w:vAlign w:val="bottom"/>
            <w:tcBorders>
              <w:top w:val="single" w:sz="8" w:color="0000EE"/>
              <w:bottom w:val="single" w:sz="8" w:color="auto"/>
            </w:tcBorders>
            <w:shd w:val="clear" w:color="auto" w:fill="EDEDED"/>
          </w:tcPr>
          <w:p>
            <w:pPr>
              <w:spacing w:after="0"/>
              <w:rPr>
                <w:sz w:val="5"/>
                <w:szCs w:val="5"/>
                <w:color w:val="auto"/>
              </w:rPr>
            </w:pPr>
          </w:p>
        </w:tc>
        <w:tc>
          <w:tcPr>
            <w:tcW w:w="60" w:type="dxa"/>
            <w:vAlign w:val="bottom"/>
            <w:tcBorders>
              <w:top w:val="single" w:sz="8" w:color="0000EE"/>
              <w:bottom w:val="single" w:sz="8" w:color="auto"/>
            </w:tcBorders>
            <w:shd w:val="clear" w:color="auto" w:fill="EDEDED"/>
          </w:tcPr>
          <w:p>
            <w:pPr>
              <w:spacing w:after="0"/>
              <w:rPr>
                <w:sz w:val="5"/>
                <w:szCs w:val="5"/>
                <w:color w:val="auto"/>
              </w:rPr>
            </w:pPr>
          </w:p>
        </w:tc>
        <w:tc>
          <w:tcPr>
            <w:tcW w:w="80" w:type="dxa"/>
            <w:vAlign w:val="bottom"/>
            <w:tcBorders>
              <w:top w:val="single" w:sz="8" w:color="0000EE"/>
              <w:bottom w:val="single" w:sz="8" w:color="auto"/>
            </w:tcBorders>
            <w:shd w:val="clear" w:color="auto" w:fill="EDEDED"/>
          </w:tcPr>
          <w:p>
            <w:pPr>
              <w:spacing w:after="0"/>
              <w:rPr>
                <w:sz w:val="5"/>
                <w:szCs w:val="5"/>
                <w:color w:val="auto"/>
              </w:rPr>
            </w:pPr>
          </w:p>
        </w:tc>
        <w:tc>
          <w:tcPr>
            <w:tcW w:w="320" w:type="dxa"/>
            <w:vAlign w:val="bottom"/>
            <w:tcBorders>
              <w:top w:val="single" w:sz="8" w:color="0000EE"/>
              <w:bottom w:val="single" w:sz="8" w:color="auto"/>
            </w:tcBorders>
            <w:shd w:val="clear" w:color="auto" w:fill="EDEDED"/>
          </w:tcPr>
          <w:p>
            <w:pPr>
              <w:spacing w:after="0"/>
              <w:rPr>
                <w:sz w:val="5"/>
                <w:szCs w:val="5"/>
                <w:color w:val="auto"/>
              </w:rPr>
            </w:pPr>
          </w:p>
        </w:tc>
        <w:tc>
          <w:tcPr>
            <w:tcW w:w="240" w:type="dxa"/>
            <w:vAlign w:val="bottom"/>
            <w:tcBorders>
              <w:top w:val="single" w:sz="8" w:color="EDEDED"/>
              <w:bottom w:val="single" w:sz="8" w:color="auto"/>
            </w:tcBorders>
            <w:shd w:val="clear" w:color="auto" w:fill="EDEDED"/>
          </w:tcPr>
          <w:p>
            <w:pPr>
              <w:spacing w:after="0"/>
              <w:rPr>
                <w:sz w:val="5"/>
                <w:szCs w:val="5"/>
                <w:color w:val="auto"/>
              </w:rPr>
            </w:pPr>
          </w:p>
        </w:tc>
        <w:tc>
          <w:tcPr>
            <w:tcW w:w="60" w:type="dxa"/>
            <w:vAlign w:val="bottom"/>
            <w:tcBorders>
              <w:top w:val="single" w:sz="8" w:color="EDEDED"/>
              <w:bottom w:val="single" w:sz="8" w:color="auto"/>
            </w:tcBorders>
            <w:shd w:val="clear" w:color="auto" w:fill="EDEDED"/>
          </w:tcPr>
          <w:p>
            <w:pPr>
              <w:spacing w:after="0"/>
              <w:rPr>
                <w:sz w:val="5"/>
                <w:szCs w:val="5"/>
                <w:color w:val="auto"/>
              </w:rPr>
            </w:pPr>
          </w:p>
        </w:tc>
        <w:tc>
          <w:tcPr>
            <w:tcW w:w="20" w:type="dxa"/>
            <w:vAlign w:val="bottom"/>
            <w:tcBorders>
              <w:top w:val="single" w:sz="8" w:color="EDEDED"/>
              <w:bottom w:val="single" w:sz="8" w:color="auto"/>
            </w:tcBorders>
            <w:shd w:val="clear" w:color="auto" w:fill="EDEDED"/>
          </w:tcPr>
          <w:p>
            <w:pPr>
              <w:spacing w:after="0"/>
              <w:rPr>
                <w:sz w:val="5"/>
                <w:szCs w:val="5"/>
                <w:color w:val="auto"/>
              </w:rPr>
            </w:pPr>
          </w:p>
        </w:tc>
        <w:tc>
          <w:tcPr>
            <w:tcW w:w="40" w:type="dxa"/>
            <w:vAlign w:val="bottom"/>
            <w:tcBorders>
              <w:top w:val="single" w:sz="8" w:color="EDEDED"/>
              <w:bottom w:val="single" w:sz="8" w:color="auto"/>
            </w:tcBorders>
            <w:shd w:val="clear" w:color="auto" w:fill="EDEDED"/>
          </w:tcPr>
          <w:p>
            <w:pPr>
              <w:spacing w:after="0"/>
              <w:rPr>
                <w:sz w:val="5"/>
                <w:szCs w:val="5"/>
                <w:color w:val="auto"/>
              </w:rPr>
            </w:pPr>
          </w:p>
        </w:tc>
        <w:tc>
          <w:tcPr>
            <w:tcW w:w="20" w:type="dxa"/>
            <w:vAlign w:val="bottom"/>
            <w:tcBorders>
              <w:top w:val="single" w:sz="8" w:color="EDEDED"/>
              <w:bottom w:val="single" w:sz="8" w:color="auto"/>
            </w:tcBorders>
            <w:shd w:val="clear" w:color="auto" w:fill="EDEDED"/>
          </w:tcPr>
          <w:p>
            <w:pPr>
              <w:spacing w:after="0"/>
              <w:rPr>
                <w:sz w:val="5"/>
                <w:szCs w:val="5"/>
                <w:color w:val="auto"/>
              </w:rPr>
            </w:pPr>
          </w:p>
        </w:tc>
        <w:tc>
          <w:tcPr>
            <w:tcW w:w="60" w:type="dxa"/>
            <w:vAlign w:val="bottom"/>
            <w:tcBorders>
              <w:top w:val="single" w:sz="8" w:color="EDEDED"/>
              <w:bottom w:val="single" w:sz="8" w:color="auto"/>
            </w:tcBorders>
            <w:shd w:val="clear" w:color="auto" w:fill="EDEDED"/>
          </w:tcPr>
          <w:p>
            <w:pPr>
              <w:spacing w:after="0"/>
              <w:rPr>
                <w:sz w:val="5"/>
                <w:szCs w:val="5"/>
                <w:color w:val="auto"/>
              </w:rPr>
            </w:pPr>
          </w:p>
        </w:tc>
        <w:tc>
          <w:tcPr>
            <w:tcW w:w="220" w:type="dxa"/>
            <w:vAlign w:val="bottom"/>
            <w:tcBorders>
              <w:top w:val="single" w:sz="8" w:color="EDEDED"/>
              <w:bottom w:val="single" w:sz="8" w:color="auto"/>
            </w:tcBorders>
            <w:shd w:val="clear" w:color="auto" w:fill="EDEDED"/>
          </w:tcPr>
          <w:p>
            <w:pPr>
              <w:spacing w:after="0"/>
              <w:rPr>
                <w:sz w:val="5"/>
                <w:szCs w:val="5"/>
                <w:color w:val="auto"/>
              </w:rPr>
            </w:pPr>
          </w:p>
        </w:tc>
        <w:tc>
          <w:tcPr>
            <w:tcW w:w="40" w:type="dxa"/>
            <w:vAlign w:val="bottom"/>
            <w:tcBorders>
              <w:top w:val="single" w:sz="8" w:color="EDEDED"/>
              <w:bottom w:val="single" w:sz="8" w:color="auto"/>
            </w:tcBorders>
            <w:shd w:val="clear" w:color="auto" w:fill="EDEDED"/>
          </w:tcPr>
          <w:p>
            <w:pPr>
              <w:spacing w:after="0"/>
              <w:rPr>
                <w:sz w:val="5"/>
                <w:szCs w:val="5"/>
                <w:color w:val="auto"/>
              </w:rPr>
            </w:pPr>
          </w:p>
        </w:tc>
        <w:tc>
          <w:tcPr>
            <w:tcW w:w="60" w:type="dxa"/>
            <w:vAlign w:val="bottom"/>
            <w:tcBorders>
              <w:top w:val="single" w:sz="8" w:color="EDEDED"/>
              <w:bottom w:val="single" w:sz="8" w:color="auto"/>
            </w:tcBorders>
            <w:shd w:val="clear" w:color="auto" w:fill="EDEDED"/>
          </w:tcPr>
          <w:p>
            <w:pPr>
              <w:spacing w:after="0"/>
              <w:rPr>
                <w:sz w:val="5"/>
                <w:szCs w:val="5"/>
                <w:color w:val="auto"/>
              </w:rPr>
            </w:pPr>
          </w:p>
        </w:tc>
        <w:tc>
          <w:tcPr>
            <w:tcW w:w="140" w:type="dxa"/>
            <w:vAlign w:val="bottom"/>
            <w:tcBorders>
              <w:top w:val="single" w:sz="8" w:color="EDEDED"/>
              <w:bottom w:val="single" w:sz="8" w:color="auto"/>
            </w:tcBorders>
            <w:shd w:val="clear" w:color="auto" w:fill="EDEDED"/>
          </w:tcPr>
          <w:p>
            <w:pPr>
              <w:spacing w:after="0"/>
              <w:rPr>
                <w:sz w:val="5"/>
                <w:szCs w:val="5"/>
                <w:color w:val="auto"/>
              </w:rPr>
            </w:pPr>
          </w:p>
        </w:tc>
        <w:tc>
          <w:tcPr>
            <w:tcW w:w="80" w:type="dxa"/>
            <w:vAlign w:val="bottom"/>
            <w:tcBorders>
              <w:top w:val="single" w:sz="8" w:color="EDEDED"/>
              <w:bottom w:val="single" w:sz="8" w:color="auto"/>
            </w:tcBorders>
            <w:shd w:val="clear" w:color="auto" w:fill="EDEDED"/>
          </w:tcPr>
          <w:p>
            <w:pPr>
              <w:spacing w:after="0"/>
              <w:rPr>
                <w:sz w:val="5"/>
                <w:szCs w:val="5"/>
                <w:color w:val="auto"/>
              </w:rPr>
            </w:pPr>
          </w:p>
        </w:tc>
        <w:tc>
          <w:tcPr>
            <w:tcW w:w="380" w:type="dxa"/>
            <w:vAlign w:val="bottom"/>
            <w:tcBorders>
              <w:top w:val="single" w:sz="8" w:color="EDEDED"/>
              <w:bottom w:val="single" w:sz="8" w:color="auto"/>
            </w:tcBorders>
            <w:shd w:val="clear" w:color="auto" w:fill="EDEDED"/>
          </w:tcPr>
          <w:p>
            <w:pPr>
              <w:spacing w:after="0"/>
              <w:rPr>
                <w:sz w:val="5"/>
                <w:szCs w:val="5"/>
                <w:color w:val="auto"/>
              </w:rPr>
            </w:pPr>
          </w:p>
        </w:tc>
        <w:tc>
          <w:tcPr>
            <w:tcW w:w="40" w:type="dxa"/>
            <w:vAlign w:val="bottom"/>
            <w:tcBorders>
              <w:top w:val="single" w:sz="8" w:color="EDEDED"/>
              <w:bottom w:val="single" w:sz="8" w:color="auto"/>
            </w:tcBorders>
            <w:shd w:val="clear" w:color="auto" w:fill="EDEDED"/>
          </w:tcPr>
          <w:p>
            <w:pPr>
              <w:spacing w:after="0"/>
              <w:rPr>
                <w:sz w:val="5"/>
                <w:szCs w:val="5"/>
                <w:color w:val="auto"/>
              </w:rPr>
            </w:pPr>
          </w:p>
        </w:tc>
        <w:tc>
          <w:tcPr>
            <w:tcW w:w="60" w:type="dxa"/>
            <w:vAlign w:val="bottom"/>
            <w:tcBorders>
              <w:top w:val="single" w:sz="8" w:color="EDEDED"/>
              <w:bottom w:val="single" w:sz="8" w:color="auto"/>
            </w:tcBorders>
            <w:shd w:val="clear" w:color="auto" w:fill="EDEDED"/>
          </w:tcPr>
          <w:p>
            <w:pPr>
              <w:spacing w:after="0"/>
              <w:rPr>
                <w:sz w:val="5"/>
                <w:szCs w:val="5"/>
                <w:color w:val="auto"/>
              </w:rPr>
            </w:pPr>
          </w:p>
        </w:tc>
        <w:tc>
          <w:tcPr>
            <w:tcW w:w="60" w:type="dxa"/>
            <w:vAlign w:val="bottom"/>
            <w:tcBorders>
              <w:top w:val="single" w:sz="8" w:color="EDEDED"/>
              <w:bottom w:val="single" w:sz="8" w:color="auto"/>
            </w:tcBorders>
            <w:shd w:val="clear" w:color="auto" w:fill="EDEDED"/>
          </w:tcPr>
          <w:p>
            <w:pPr>
              <w:spacing w:after="0"/>
              <w:rPr>
                <w:sz w:val="5"/>
                <w:szCs w:val="5"/>
                <w:color w:val="auto"/>
              </w:rPr>
            </w:pPr>
          </w:p>
        </w:tc>
        <w:tc>
          <w:tcPr>
            <w:tcW w:w="100" w:type="dxa"/>
            <w:vAlign w:val="bottom"/>
            <w:tcBorders>
              <w:top w:val="single" w:sz="8" w:color="EDEDED"/>
              <w:bottom w:val="single" w:sz="8" w:color="auto"/>
            </w:tcBorders>
            <w:shd w:val="clear" w:color="auto" w:fill="EDEDED"/>
          </w:tcPr>
          <w:p>
            <w:pPr>
              <w:spacing w:after="0"/>
              <w:rPr>
                <w:sz w:val="5"/>
                <w:szCs w:val="5"/>
                <w:color w:val="auto"/>
              </w:rPr>
            </w:pPr>
          </w:p>
        </w:tc>
        <w:tc>
          <w:tcPr>
            <w:tcW w:w="260" w:type="dxa"/>
            <w:vAlign w:val="bottom"/>
            <w:tcBorders>
              <w:top w:val="single" w:sz="8" w:color="EDEDED"/>
              <w:bottom w:val="single" w:sz="8" w:color="auto"/>
            </w:tcBorders>
            <w:shd w:val="clear" w:color="auto" w:fill="EDEDED"/>
          </w:tcPr>
          <w:p>
            <w:pPr>
              <w:spacing w:after="0"/>
              <w:rPr>
                <w:sz w:val="5"/>
                <w:szCs w:val="5"/>
                <w:color w:val="auto"/>
              </w:rPr>
            </w:pPr>
          </w:p>
        </w:tc>
        <w:tc>
          <w:tcPr>
            <w:tcW w:w="120" w:type="dxa"/>
            <w:vAlign w:val="bottom"/>
            <w:tcBorders>
              <w:top w:val="single" w:sz="8" w:color="EDEDED"/>
              <w:bottom w:val="single" w:sz="8" w:color="auto"/>
            </w:tcBorders>
            <w:shd w:val="clear" w:color="auto" w:fill="EDEDED"/>
          </w:tcPr>
          <w:p>
            <w:pPr>
              <w:spacing w:after="0"/>
              <w:rPr>
                <w:sz w:val="5"/>
                <w:szCs w:val="5"/>
                <w:color w:val="auto"/>
              </w:rPr>
            </w:pPr>
          </w:p>
        </w:tc>
        <w:tc>
          <w:tcPr>
            <w:tcW w:w="60" w:type="dxa"/>
            <w:vAlign w:val="bottom"/>
            <w:tcBorders>
              <w:top w:val="single" w:sz="8" w:color="EDEDED"/>
              <w:bottom w:val="single" w:sz="8" w:color="auto"/>
            </w:tcBorders>
            <w:shd w:val="clear" w:color="auto" w:fill="EDEDED"/>
          </w:tcPr>
          <w:p>
            <w:pPr>
              <w:spacing w:after="0"/>
              <w:rPr>
                <w:sz w:val="5"/>
                <w:szCs w:val="5"/>
                <w:color w:val="auto"/>
              </w:rPr>
            </w:pPr>
          </w:p>
        </w:tc>
        <w:tc>
          <w:tcPr>
            <w:tcW w:w="20" w:type="dxa"/>
            <w:vAlign w:val="bottom"/>
            <w:tcBorders>
              <w:top w:val="single" w:sz="8" w:color="EDEDED"/>
              <w:bottom w:val="single" w:sz="8" w:color="auto"/>
            </w:tcBorders>
            <w:shd w:val="clear" w:color="auto" w:fill="EDEDED"/>
          </w:tcPr>
          <w:p>
            <w:pPr>
              <w:spacing w:after="0"/>
              <w:rPr>
                <w:sz w:val="5"/>
                <w:szCs w:val="5"/>
                <w:color w:val="auto"/>
              </w:rPr>
            </w:pPr>
          </w:p>
        </w:tc>
        <w:tc>
          <w:tcPr>
            <w:tcW w:w="260" w:type="dxa"/>
            <w:vAlign w:val="bottom"/>
            <w:tcBorders>
              <w:top w:val="single" w:sz="8" w:color="EDEDED"/>
              <w:bottom w:val="single" w:sz="8" w:color="auto"/>
            </w:tcBorders>
            <w:shd w:val="clear" w:color="auto" w:fill="EDEDED"/>
          </w:tcPr>
          <w:p>
            <w:pPr>
              <w:spacing w:after="0"/>
              <w:rPr>
                <w:sz w:val="5"/>
                <w:szCs w:val="5"/>
                <w:color w:val="auto"/>
              </w:rPr>
            </w:pPr>
          </w:p>
        </w:tc>
        <w:tc>
          <w:tcPr>
            <w:tcW w:w="20" w:type="dxa"/>
            <w:vAlign w:val="bottom"/>
            <w:tcBorders>
              <w:top w:val="single" w:sz="8" w:color="EDEDED"/>
              <w:bottom w:val="single" w:sz="8" w:color="auto"/>
            </w:tcBorders>
            <w:shd w:val="clear" w:color="auto" w:fill="EDEDED"/>
          </w:tcPr>
          <w:p>
            <w:pPr>
              <w:spacing w:after="0"/>
              <w:rPr>
                <w:sz w:val="5"/>
                <w:szCs w:val="5"/>
                <w:color w:val="auto"/>
              </w:rPr>
            </w:pPr>
          </w:p>
        </w:tc>
        <w:tc>
          <w:tcPr>
            <w:tcW w:w="20" w:type="dxa"/>
            <w:vAlign w:val="bottom"/>
            <w:tcBorders>
              <w:top w:val="single" w:sz="8" w:color="EDEDED"/>
              <w:bottom w:val="single" w:sz="8" w:color="auto"/>
            </w:tcBorders>
            <w:shd w:val="clear" w:color="auto" w:fill="EDEDED"/>
          </w:tcPr>
          <w:p>
            <w:pPr>
              <w:spacing w:after="0"/>
              <w:rPr>
                <w:sz w:val="5"/>
                <w:szCs w:val="5"/>
                <w:color w:val="auto"/>
              </w:rPr>
            </w:pPr>
          </w:p>
        </w:tc>
        <w:tc>
          <w:tcPr>
            <w:tcW w:w="40" w:type="dxa"/>
            <w:vAlign w:val="bottom"/>
            <w:tcBorders>
              <w:top w:val="single" w:sz="8" w:color="EDEDED"/>
              <w:bottom w:val="single" w:sz="8" w:color="auto"/>
            </w:tcBorders>
            <w:shd w:val="clear" w:color="auto" w:fill="EDEDED"/>
          </w:tcPr>
          <w:p>
            <w:pPr>
              <w:spacing w:after="0"/>
              <w:rPr>
                <w:sz w:val="5"/>
                <w:szCs w:val="5"/>
                <w:color w:val="auto"/>
              </w:rPr>
            </w:pPr>
          </w:p>
        </w:tc>
        <w:tc>
          <w:tcPr>
            <w:tcW w:w="40" w:type="dxa"/>
            <w:vAlign w:val="bottom"/>
            <w:tcBorders>
              <w:top w:val="single" w:sz="8" w:color="EDEDED"/>
              <w:bottom w:val="single" w:sz="8" w:color="auto"/>
            </w:tcBorders>
            <w:shd w:val="clear" w:color="auto" w:fill="EDEDED"/>
          </w:tcPr>
          <w:p>
            <w:pPr>
              <w:spacing w:after="0"/>
              <w:rPr>
                <w:sz w:val="5"/>
                <w:szCs w:val="5"/>
                <w:color w:val="auto"/>
              </w:rPr>
            </w:pPr>
          </w:p>
        </w:tc>
        <w:tc>
          <w:tcPr>
            <w:tcW w:w="20" w:type="dxa"/>
            <w:vAlign w:val="bottom"/>
            <w:tcBorders>
              <w:top w:val="single" w:sz="8" w:color="EDEDED"/>
              <w:bottom w:val="single" w:sz="8" w:color="auto"/>
            </w:tcBorders>
            <w:shd w:val="clear" w:color="auto" w:fill="EDEDED"/>
          </w:tcPr>
          <w:p>
            <w:pPr>
              <w:spacing w:after="0"/>
              <w:rPr>
                <w:sz w:val="5"/>
                <w:szCs w:val="5"/>
                <w:color w:val="auto"/>
              </w:rPr>
            </w:pPr>
          </w:p>
        </w:tc>
        <w:tc>
          <w:tcPr>
            <w:tcW w:w="80" w:type="dxa"/>
            <w:vAlign w:val="bottom"/>
            <w:tcBorders>
              <w:top w:val="single" w:sz="8" w:color="EDEDED"/>
              <w:bottom w:val="single" w:sz="8" w:color="auto"/>
            </w:tcBorders>
            <w:shd w:val="clear" w:color="auto" w:fill="EDEDED"/>
          </w:tcPr>
          <w:p>
            <w:pPr>
              <w:spacing w:after="0"/>
              <w:rPr>
                <w:sz w:val="5"/>
                <w:szCs w:val="5"/>
                <w:color w:val="auto"/>
              </w:rPr>
            </w:pPr>
          </w:p>
        </w:tc>
        <w:tc>
          <w:tcPr>
            <w:tcW w:w="660" w:type="dxa"/>
            <w:vAlign w:val="bottom"/>
            <w:tcBorders>
              <w:top w:val="single" w:sz="8" w:color="EDEDED"/>
              <w:bottom w:val="single" w:sz="8" w:color="auto"/>
            </w:tcBorders>
            <w:shd w:val="clear" w:color="auto" w:fill="EDEDED"/>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20" w:type="dxa"/>
            <w:vAlign w:val="bottom"/>
            <w:gridSpan w:val="40"/>
          </w:tcPr>
          <w:p>
            <w:pPr>
              <w:spacing w:after="0" w:line="169" w:lineRule="exact"/>
              <w:rPr>
                <w:sz w:val="20"/>
                <w:szCs w:val="20"/>
                <w:color w:val="auto"/>
              </w:rPr>
            </w:pPr>
            <w:r>
              <w:rPr>
                <w:rFonts w:ascii="Arial" w:cs="Arial" w:eastAsia="Arial" w:hAnsi="Arial"/>
                <w:sz w:val="16"/>
                <w:szCs w:val="16"/>
                <w:b w:val="1"/>
                <w:bCs w:val="1"/>
                <w:color w:val="0000EE"/>
              </w:rPr>
              <w:t>Questions and Answers About the Proxy Statement and the</w:t>
            </w:r>
          </w:p>
        </w:tc>
        <w:tc>
          <w:tcPr>
            <w:tcW w:w="660" w:type="dxa"/>
            <w:vAlign w:val="bottom"/>
          </w:tcPr>
          <w:p>
            <w:pPr>
              <w:jc w:val="right"/>
              <w:ind w:right="139"/>
              <w:spacing w:after="0" w:line="169" w:lineRule="exact"/>
              <w:rPr>
                <w:sz w:val="20"/>
                <w:szCs w:val="20"/>
                <w:color w:val="auto"/>
              </w:rPr>
            </w:pPr>
            <w:r>
              <w:rPr>
                <w:rFonts w:ascii="Arial" w:cs="Arial" w:eastAsia="Arial" w:hAnsi="Arial"/>
                <w:sz w:val="16"/>
                <w:szCs w:val="16"/>
                <w:b w:val="1"/>
                <w:bCs w:val="1"/>
                <w:color w:val="00AF41"/>
              </w:rPr>
              <w:t>88</w:t>
            </w:r>
          </w:p>
        </w:tc>
        <w:tc>
          <w:tcPr>
            <w:tcW w:w="0" w:type="dxa"/>
            <w:vAlign w:val="bottom"/>
          </w:tcPr>
          <w:p>
            <w:pPr>
              <w:spacing w:after="0"/>
              <w:rPr>
                <w:sz w:val="1"/>
                <w:szCs w:val="1"/>
                <w:color w:val="auto"/>
              </w:rPr>
            </w:pPr>
          </w:p>
        </w:tc>
      </w:tr>
      <w:tr>
        <w:trPr>
          <w:trHeight w:val="169"/>
        </w:trPr>
        <w:tc>
          <w:tcPr>
            <w:tcW w:w="4600" w:type="dxa"/>
            <w:vAlign w:val="bottom"/>
            <w:tcBorders>
              <w:top w:val="single" w:sz="8" w:color="0000EE"/>
            </w:tcBorders>
            <w:gridSpan w:val="38"/>
          </w:tcPr>
          <w:p>
            <w:pPr>
              <w:spacing w:after="0" w:line="169" w:lineRule="exact"/>
              <w:rPr>
                <w:sz w:val="20"/>
                <w:szCs w:val="20"/>
                <w:color w:val="auto"/>
              </w:rPr>
            </w:pPr>
            <w:r>
              <w:rPr>
                <w:rFonts w:ascii="Arial" w:cs="Arial" w:eastAsia="Arial" w:hAnsi="Arial"/>
                <w:sz w:val="16"/>
                <w:szCs w:val="16"/>
                <w:b w:val="1"/>
                <w:bCs w:val="1"/>
                <w:color w:val="0000EE"/>
              </w:rPr>
              <w:t>Annual Meeting</w:t>
            </w:r>
          </w:p>
        </w:tc>
        <w:tc>
          <w:tcPr>
            <w:tcW w:w="140" w:type="dxa"/>
            <w:vAlign w:val="bottom"/>
            <w:gridSpan w:val="3"/>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0000EE"/>
              <w:bottom w:val="single" w:sz="8" w:color="auto"/>
            </w:tcBorders>
          </w:tcPr>
          <w:p>
            <w:pPr>
              <w:spacing w:after="0"/>
              <w:rPr>
                <w:sz w:val="5"/>
                <w:szCs w:val="5"/>
                <w:color w:val="auto"/>
              </w:rPr>
            </w:pPr>
          </w:p>
        </w:tc>
        <w:tc>
          <w:tcPr>
            <w:tcW w:w="140" w:type="dxa"/>
            <w:vAlign w:val="bottom"/>
            <w:tcBorders>
              <w:top w:val="single" w:sz="8" w:color="0000EE"/>
              <w:bottom w:val="single" w:sz="8" w:color="auto"/>
            </w:tcBorders>
          </w:tcPr>
          <w:p>
            <w:pPr>
              <w:spacing w:after="0"/>
              <w:rPr>
                <w:sz w:val="5"/>
                <w:szCs w:val="5"/>
                <w:color w:val="auto"/>
              </w:rPr>
            </w:pPr>
          </w:p>
        </w:tc>
        <w:tc>
          <w:tcPr>
            <w:tcW w:w="800" w:type="dxa"/>
            <w:vAlign w:val="bottom"/>
            <w:tcBorders>
              <w:top w:val="single" w:sz="8" w:color="0000EE"/>
              <w:bottom w:val="single" w:sz="8" w:color="auto"/>
            </w:tcBorders>
          </w:tcPr>
          <w:p>
            <w:pPr>
              <w:spacing w:after="0"/>
              <w:rPr>
                <w:sz w:val="5"/>
                <w:szCs w:val="5"/>
                <w:color w:val="auto"/>
              </w:rPr>
            </w:pPr>
          </w:p>
        </w:tc>
        <w:tc>
          <w:tcPr>
            <w:tcW w:w="80" w:type="dxa"/>
            <w:vAlign w:val="bottom"/>
            <w:tcBorders>
              <w:top w:val="single" w:sz="8" w:color="0000EE"/>
              <w:bottom w:val="single" w:sz="8" w:color="auto"/>
            </w:tcBorders>
          </w:tcPr>
          <w:p>
            <w:pPr>
              <w:spacing w:after="0"/>
              <w:rPr>
                <w:sz w:val="5"/>
                <w:szCs w:val="5"/>
                <w:color w:val="auto"/>
              </w:rPr>
            </w:pPr>
          </w:p>
        </w:tc>
        <w:tc>
          <w:tcPr>
            <w:tcW w:w="100" w:type="dxa"/>
            <w:vAlign w:val="bottom"/>
            <w:tcBorders>
              <w:top w:val="single" w:sz="8" w:color="0000EE"/>
              <w:bottom w:val="single" w:sz="8" w:color="auto"/>
            </w:tcBorders>
          </w:tcPr>
          <w:p>
            <w:pPr>
              <w:spacing w:after="0"/>
              <w:rPr>
                <w:sz w:val="5"/>
                <w:szCs w:val="5"/>
                <w:color w:val="auto"/>
              </w:rPr>
            </w:pPr>
          </w:p>
        </w:tc>
        <w:tc>
          <w:tcPr>
            <w:tcW w:w="60" w:type="dxa"/>
            <w:vAlign w:val="bottom"/>
            <w:tcBorders>
              <w:top w:val="single" w:sz="8" w:color="0000EE"/>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-6685915</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-142875</wp:posOffset>
            </wp:positionV>
            <wp:extent cx="8890" cy="2317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231775"/>
                    </a:xfrm>
                    <a:prstGeom prst="rect">
                      <a:avLst/>
                    </a:prstGeom>
                    <a:noFill/>
                  </pic:spPr>
                </pic:pic>
              </a:graphicData>
            </a:graphic>
          </wp:anchor>
        </w:drawing>
        <w:drawing>
          <wp:anchor simplePos="0" relativeHeight="251657728" behindDoc="1" locked="0" layoutInCell="0" allowOverlap="1">
            <wp:simplePos x="0" y="0"/>
            <wp:positionH relativeFrom="column">
              <wp:posOffset>2437765</wp:posOffset>
            </wp:positionH>
            <wp:positionV relativeFrom="paragraph">
              <wp:posOffset>-142875</wp:posOffset>
            </wp:positionV>
            <wp:extent cx="411480" cy="196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2">
            <w:col w:w="5400" w:space="340"/>
            <w:col w:w="540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Proxy Summary</w:t>
      </w:r>
    </w:p>
    <w:p>
      <w:pPr>
        <w:spacing w:after="0" w:line="242"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This summary highlights information contained elsewhere in this Proxy Statement. Please refer to the complete Proxy Statement and Kelly’s 2022 Annual Report before you vote.</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2023 Annual Meeting of Shareholders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149225</wp:posOffset>
            </wp:positionV>
            <wp:extent cx="248285" cy="308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8285" cy="30861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149225</wp:posOffset>
            </wp:positionV>
            <wp:extent cx="334010" cy="2914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4010" cy="29146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149225</wp:posOffset>
            </wp:positionV>
            <wp:extent cx="291465" cy="3257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14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207"/>
        </w:trPr>
        <w:tc>
          <w:tcPr>
            <w:tcW w:w="2700" w:type="dxa"/>
            <w:vAlign w:val="bottom"/>
          </w:tcPr>
          <w:p>
            <w:pPr>
              <w:jc w:val="center"/>
              <w:ind w:right="697"/>
              <w:spacing w:after="0"/>
              <w:rPr>
                <w:sz w:val="20"/>
                <w:szCs w:val="20"/>
                <w:color w:val="auto"/>
              </w:rPr>
            </w:pPr>
            <w:r>
              <w:rPr>
                <w:rFonts w:ascii="Arial" w:cs="Arial" w:eastAsia="Arial" w:hAnsi="Arial"/>
                <w:sz w:val="18"/>
                <w:szCs w:val="18"/>
                <w:b w:val="1"/>
                <w:bCs w:val="1"/>
                <w:color w:val="auto"/>
              </w:rPr>
              <w:t>Date and Time</w:t>
            </w:r>
          </w:p>
        </w:tc>
        <w:tc>
          <w:tcPr>
            <w:tcW w:w="3820" w:type="dxa"/>
            <w:vAlign w:val="bottom"/>
          </w:tcPr>
          <w:p>
            <w:pPr>
              <w:jc w:val="center"/>
              <w:ind w:left="95"/>
              <w:spacing w:after="0"/>
              <w:rPr>
                <w:sz w:val="20"/>
                <w:szCs w:val="20"/>
                <w:color w:val="auto"/>
              </w:rPr>
            </w:pPr>
            <w:r>
              <w:rPr>
                <w:rFonts w:ascii="Arial" w:cs="Arial" w:eastAsia="Arial" w:hAnsi="Arial"/>
                <w:sz w:val="18"/>
                <w:szCs w:val="18"/>
                <w:b w:val="1"/>
                <w:bCs w:val="1"/>
                <w:color w:val="auto"/>
              </w:rPr>
              <w:t>Place</w:t>
            </w:r>
          </w:p>
        </w:tc>
        <w:tc>
          <w:tcPr>
            <w:tcW w:w="3160" w:type="dxa"/>
            <w:vAlign w:val="bottom"/>
          </w:tcPr>
          <w:p>
            <w:pPr>
              <w:jc w:val="center"/>
              <w:ind w:left="496"/>
              <w:spacing w:after="0"/>
              <w:rPr>
                <w:sz w:val="20"/>
                <w:szCs w:val="20"/>
                <w:color w:val="auto"/>
              </w:rPr>
            </w:pPr>
            <w:r>
              <w:rPr>
                <w:rFonts w:ascii="Arial" w:cs="Arial" w:eastAsia="Arial" w:hAnsi="Arial"/>
                <w:sz w:val="18"/>
                <w:szCs w:val="18"/>
                <w:b w:val="1"/>
                <w:bCs w:val="1"/>
                <w:color w:val="auto"/>
                <w:w w:val="99"/>
              </w:rPr>
              <w:t>Record Date</w:t>
            </w:r>
          </w:p>
        </w:tc>
      </w:tr>
      <w:tr>
        <w:trPr>
          <w:trHeight w:val="189"/>
        </w:trPr>
        <w:tc>
          <w:tcPr>
            <w:tcW w:w="2700" w:type="dxa"/>
            <w:vAlign w:val="bottom"/>
          </w:tcPr>
          <w:p>
            <w:pPr>
              <w:jc w:val="center"/>
              <w:ind w:right="697"/>
              <w:spacing w:after="0"/>
              <w:rPr>
                <w:sz w:val="20"/>
                <w:szCs w:val="20"/>
                <w:color w:val="auto"/>
              </w:rPr>
            </w:pPr>
            <w:r>
              <w:rPr>
                <w:rFonts w:ascii="Arial" w:cs="Arial" w:eastAsia="Arial" w:hAnsi="Arial"/>
                <w:sz w:val="16"/>
                <w:szCs w:val="16"/>
                <w:color w:val="auto"/>
              </w:rPr>
              <w:t>Wednesday, May 17, 2023</w:t>
            </w:r>
          </w:p>
        </w:tc>
        <w:tc>
          <w:tcPr>
            <w:tcW w:w="3820" w:type="dxa"/>
            <w:vAlign w:val="bottom"/>
          </w:tcPr>
          <w:p>
            <w:pPr>
              <w:jc w:val="center"/>
              <w:ind w:left="95"/>
              <w:spacing w:after="0"/>
              <w:rPr>
                <w:sz w:val="20"/>
                <w:szCs w:val="20"/>
                <w:color w:val="auto"/>
              </w:rPr>
            </w:pPr>
            <w:r>
              <w:rPr>
                <w:rFonts w:ascii="Arial" w:cs="Arial" w:eastAsia="Arial" w:hAnsi="Arial"/>
                <w:sz w:val="16"/>
                <w:szCs w:val="16"/>
                <w:color w:val="auto"/>
              </w:rPr>
              <w:t>Virtual Meeting: kellyservices.com</w:t>
            </w:r>
          </w:p>
        </w:tc>
        <w:tc>
          <w:tcPr>
            <w:tcW w:w="3160" w:type="dxa"/>
            <w:vAlign w:val="bottom"/>
          </w:tcPr>
          <w:p>
            <w:pPr>
              <w:jc w:val="center"/>
              <w:ind w:left="496"/>
              <w:spacing w:after="0"/>
              <w:rPr>
                <w:sz w:val="20"/>
                <w:szCs w:val="20"/>
                <w:color w:val="auto"/>
              </w:rPr>
            </w:pPr>
            <w:r>
              <w:rPr>
                <w:rFonts w:ascii="Arial" w:cs="Arial" w:eastAsia="Arial" w:hAnsi="Arial"/>
                <w:sz w:val="16"/>
                <w:szCs w:val="16"/>
                <w:color w:val="auto"/>
              </w:rPr>
              <w:t>Close of Business, Eastern Daylight</w:t>
            </w:r>
          </w:p>
        </w:tc>
      </w:tr>
      <w:tr>
        <w:trPr>
          <w:trHeight w:val="189"/>
        </w:trPr>
        <w:tc>
          <w:tcPr>
            <w:tcW w:w="2700" w:type="dxa"/>
            <w:vAlign w:val="bottom"/>
          </w:tcPr>
          <w:p>
            <w:pPr>
              <w:jc w:val="center"/>
              <w:ind w:right="717"/>
              <w:spacing w:after="0"/>
              <w:rPr>
                <w:sz w:val="20"/>
                <w:szCs w:val="20"/>
                <w:color w:val="auto"/>
              </w:rPr>
            </w:pPr>
            <w:r>
              <w:rPr>
                <w:rFonts w:ascii="Arial" w:cs="Arial" w:eastAsia="Arial" w:hAnsi="Arial"/>
                <w:sz w:val="16"/>
                <w:szCs w:val="16"/>
                <w:color w:val="auto"/>
              </w:rPr>
              <w:t>at 11:00 a.m., Eastern</w:t>
            </w:r>
          </w:p>
        </w:tc>
        <w:tc>
          <w:tcPr>
            <w:tcW w:w="3820" w:type="dxa"/>
            <w:vAlign w:val="bottom"/>
          </w:tcPr>
          <w:p>
            <w:pPr>
              <w:spacing w:after="0"/>
              <w:rPr>
                <w:sz w:val="16"/>
                <w:szCs w:val="16"/>
                <w:color w:val="auto"/>
              </w:rPr>
            </w:pPr>
          </w:p>
        </w:tc>
        <w:tc>
          <w:tcPr>
            <w:tcW w:w="3160" w:type="dxa"/>
            <w:vAlign w:val="bottom"/>
          </w:tcPr>
          <w:p>
            <w:pPr>
              <w:jc w:val="center"/>
              <w:ind w:left="496"/>
              <w:spacing w:after="0"/>
              <w:rPr>
                <w:sz w:val="20"/>
                <w:szCs w:val="20"/>
                <w:color w:val="auto"/>
              </w:rPr>
            </w:pPr>
            <w:r>
              <w:rPr>
                <w:rFonts w:ascii="Arial" w:cs="Arial" w:eastAsia="Arial" w:hAnsi="Arial"/>
                <w:sz w:val="16"/>
                <w:szCs w:val="16"/>
                <w:color w:val="auto"/>
              </w:rPr>
              <w:t>Time, March 27, 2023</w:t>
            </w:r>
          </w:p>
        </w:tc>
      </w:tr>
      <w:tr>
        <w:trPr>
          <w:trHeight w:val="215"/>
        </w:trPr>
        <w:tc>
          <w:tcPr>
            <w:tcW w:w="2700" w:type="dxa"/>
            <w:vAlign w:val="bottom"/>
          </w:tcPr>
          <w:p>
            <w:pPr>
              <w:jc w:val="center"/>
              <w:ind w:right="697"/>
              <w:spacing w:after="0"/>
              <w:rPr>
                <w:sz w:val="20"/>
                <w:szCs w:val="20"/>
                <w:color w:val="auto"/>
              </w:rPr>
            </w:pPr>
            <w:r>
              <w:rPr>
                <w:rFonts w:ascii="Arial" w:cs="Arial" w:eastAsia="Arial" w:hAnsi="Arial"/>
                <w:sz w:val="16"/>
                <w:szCs w:val="16"/>
                <w:color w:val="auto"/>
              </w:rPr>
              <w:t>Daylight Time</w:t>
            </w:r>
          </w:p>
        </w:tc>
        <w:tc>
          <w:tcPr>
            <w:tcW w:w="3820" w:type="dxa"/>
            <w:vAlign w:val="bottom"/>
          </w:tcPr>
          <w:p>
            <w:pPr>
              <w:spacing w:after="0"/>
              <w:rPr>
                <w:sz w:val="18"/>
                <w:szCs w:val="18"/>
                <w:color w:val="auto"/>
              </w:rPr>
            </w:pPr>
          </w:p>
        </w:tc>
        <w:tc>
          <w:tcPr>
            <w:tcW w:w="3160" w:type="dxa"/>
            <w:vAlign w:val="bottom"/>
          </w:tcPr>
          <w:p>
            <w:pPr>
              <w:spacing w:after="0"/>
              <w:rPr>
                <w:sz w:val="18"/>
                <w:szCs w:val="18"/>
                <w:color w:val="auto"/>
              </w:rPr>
            </w:pPr>
          </w:p>
        </w:tc>
      </w:tr>
    </w:tbl>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w:t>
      </w:r>
    </w:p>
    <w:p>
      <w:pPr>
        <w:spacing w:after="0" w:line="16" w:lineRule="exact"/>
        <w:rPr>
          <w:sz w:val="20"/>
          <w:szCs w:val="20"/>
          <w:color w:val="auto"/>
        </w:rPr>
      </w:pPr>
    </w:p>
    <w:p>
      <w:pPr>
        <w:ind w:left="120" w:right="160"/>
        <w:spacing w:after="0" w:line="265" w:lineRule="auto"/>
        <w:rPr>
          <w:sz w:val="20"/>
          <w:szCs w:val="20"/>
          <w:color w:val="auto"/>
        </w:rPr>
      </w:pPr>
      <w:r>
        <w:rPr>
          <w:rFonts w:ascii="Arial" w:cs="Arial" w:eastAsia="Arial" w:hAnsi="Arial"/>
          <w:sz w:val="16"/>
          <w:szCs w:val="16"/>
          <w:color w:val="auto"/>
        </w:rPr>
        <w:t>Class B Shareholders as of the Record Date are entitled to vote. Each share of Class B Common Stock is entitled to one vote for each director nominee and one vote for each of the other proposals to be voted on.</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Admission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 holders of the Company’s Class A and Class B Common Stock are invited to attend the Annual Meeting of Shareholders.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Proxy Voting Roadmap</w:t>
      </w:r>
    </w:p>
    <w:p>
      <w:pPr>
        <w:spacing w:after="0" w:line="262" w:lineRule="exact"/>
        <w:rPr>
          <w:sz w:val="20"/>
          <w:szCs w:val="20"/>
          <w:color w:val="auto"/>
        </w:rPr>
      </w:pPr>
    </w:p>
    <w:tbl>
      <w:tblPr>
        <w:tblLayout w:type="fixed"/>
        <w:tblInd w:w="1080" w:type="dxa"/>
        <w:tblCellMar>
          <w:top w:w="0" w:type="dxa"/>
          <w:left w:w="0" w:type="dxa"/>
          <w:bottom w:w="0" w:type="dxa"/>
          <w:right w:w="0" w:type="dxa"/>
        </w:tblCellMar>
      </w:tblPr>
      <w:tr>
        <w:trPr>
          <w:trHeight w:val="203"/>
        </w:trPr>
        <w:tc>
          <w:tcPr>
            <w:tcW w:w="2480" w:type="dxa"/>
            <w:vAlign w:val="bottom"/>
            <w:shd w:val="clear" w:color="auto" w:fill="00AF41"/>
          </w:tcPr>
          <w:p>
            <w:pPr>
              <w:spacing w:after="0"/>
              <w:rPr>
                <w:sz w:val="17"/>
                <w:szCs w:val="17"/>
                <w:color w:val="auto"/>
              </w:rPr>
            </w:pPr>
          </w:p>
        </w:tc>
        <w:tc>
          <w:tcPr>
            <w:tcW w:w="2380" w:type="dxa"/>
            <w:vAlign w:val="bottom"/>
            <w:shd w:val="clear" w:color="auto" w:fill="00AF41"/>
          </w:tcPr>
          <w:p>
            <w:pPr>
              <w:spacing w:after="0"/>
              <w:rPr>
                <w:sz w:val="17"/>
                <w:szCs w:val="17"/>
                <w:color w:val="auto"/>
              </w:rPr>
            </w:pPr>
          </w:p>
        </w:tc>
        <w:tc>
          <w:tcPr>
            <w:tcW w:w="2680" w:type="dxa"/>
            <w:vAlign w:val="bottom"/>
            <w:shd w:val="clear" w:color="auto" w:fill="00AF41"/>
          </w:tcPr>
          <w:p>
            <w:pPr>
              <w:spacing w:after="0"/>
              <w:rPr>
                <w:sz w:val="17"/>
                <w:szCs w:val="17"/>
                <w:color w:val="auto"/>
              </w:rPr>
            </w:pPr>
          </w:p>
        </w:tc>
        <w:tc>
          <w:tcPr>
            <w:tcW w:w="2520" w:type="dxa"/>
            <w:vAlign w:val="bottom"/>
            <w:shd w:val="clear" w:color="auto" w:fill="00AF41"/>
          </w:tcPr>
          <w:p>
            <w:pPr>
              <w:spacing w:after="0"/>
              <w:rPr>
                <w:sz w:val="17"/>
                <w:szCs w:val="17"/>
                <w:color w:val="auto"/>
              </w:rPr>
            </w:pPr>
          </w:p>
        </w:tc>
      </w:tr>
      <w:tr>
        <w:trPr>
          <w:trHeight w:val="1329"/>
        </w:trPr>
        <w:tc>
          <w:tcPr>
            <w:tcW w:w="2480" w:type="dxa"/>
            <w:vAlign w:val="bottom"/>
            <w:shd w:val="clear" w:color="auto" w:fill="EDEDED"/>
          </w:tcPr>
          <w:p>
            <w:pPr>
              <w:jc w:val="center"/>
              <w:spacing w:after="0"/>
              <w:rPr>
                <w:sz w:val="20"/>
                <w:szCs w:val="20"/>
                <w:color w:val="auto"/>
              </w:rPr>
            </w:pPr>
            <w:r>
              <w:rPr>
                <w:rFonts w:ascii="Arial" w:cs="Arial" w:eastAsia="Arial" w:hAnsi="Arial"/>
                <w:sz w:val="16"/>
                <w:szCs w:val="16"/>
                <w:b w:val="1"/>
                <w:bCs w:val="1"/>
                <w:color w:val="auto"/>
              </w:rPr>
              <w:t>PROPOSAL 1.</w:t>
            </w:r>
          </w:p>
        </w:tc>
        <w:tc>
          <w:tcPr>
            <w:tcW w:w="2380" w:type="dxa"/>
            <w:vAlign w:val="bottom"/>
            <w:shd w:val="clear" w:color="auto" w:fill="EDEDED"/>
          </w:tcPr>
          <w:p>
            <w:pPr>
              <w:jc w:val="center"/>
              <w:ind w:left="19"/>
              <w:spacing w:after="0"/>
              <w:rPr>
                <w:sz w:val="20"/>
                <w:szCs w:val="20"/>
                <w:color w:val="auto"/>
              </w:rPr>
            </w:pPr>
            <w:r>
              <w:rPr>
                <w:rFonts w:ascii="Arial" w:cs="Arial" w:eastAsia="Arial" w:hAnsi="Arial"/>
                <w:sz w:val="16"/>
                <w:szCs w:val="16"/>
                <w:b w:val="1"/>
                <w:bCs w:val="1"/>
                <w:color w:val="auto"/>
              </w:rPr>
              <w:t>PROPOSAL 2.</w:t>
            </w:r>
          </w:p>
        </w:tc>
        <w:tc>
          <w:tcPr>
            <w:tcW w:w="2680" w:type="dxa"/>
            <w:vAlign w:val="bottom"/>
            <w:shd w:val="clear" w:color="auto" w:fill="EDEDED"/>
          </w:tcPr>
          <w:p>
            <w:pPr>
              <w:jc w:val="center"/>
              <w:ind w:left="39"/>
              <w:spacing w:after="0"/>
              <w:rPr>
                <w:sz w:val="20"/>
                <w:szCs w:val="20"/>
                <w:color w:val="auto"/>
              </w:rPr>
            </w:pPr>
            <w:r>
              <w:rPr>
                <w:rFonts w:ascii="Arial" w:cs="Arial" w:eastAsia="Arial" w:hAnsi="Arial"/>
                <w:sz w:val="16"/>
                <w:szCs w:val="16"/>
                <w:b w:val="1"/>
                <w:bCs w:val="1"/>
                <w:color w:val="auto"/>
              </w:rPr>
              <w:t>PROPOSAL 3.</w:t>
            </w:r>
          </w:p>
        </w:tc>
        <w:tc>
          <w:tcPr>
            <w:tcW w:w="2520" w:type="dxa"/>
            <w:vAlign w:val="bottom"/>
            <w:shd w:val="clear" w:color="auto" w:fill="EDEDED"/>
          </w:tcPr>
          <w:p>
            <w:pPr>
              <w:jc w:val="center"/>
              <w:spacing w:after="0"/>
              <w:rPr>
                <w:sz w:val="20"/>
                <w:szCs w:val="20"/>
                <w:color w:val="auto"/>
              </w:rPr>
            </w:pPr>
            <w:r>
              <w:rPr>
                <w:rFonts w:ascii="Arial" w:cs="Arial" w:eastAsia="Arial" w:hAnsi="Arial"/>
                <w:sz w:val="16"/>
                <w:szCs w:val="16"/>
                <w:b w:val="1"/>
                <w:bCs w:val="1"/>
                <w:color w:val="auto"/>
              </w:rPr>
              <w:t>PROPOSAL 4.</w:t>
            </w:r>
          </w:p>
        </w:tc>
      </w:tr>
      <w:tr>
        <w:trPr>
          <w:trHeight w:val="277"/>
        </w:trPr>
        <w:tc>
          <w:tcPr>
            <w:tcW w:w="248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Election of nine directors</w:t>
            </w:r>
          </w:p>
        </w:tc>
        <w:tc>
          <w:tcPr>
            <w:tcW w:w="2380" w:type="dxa"/>
            <w:vAlign w:val="bottom"/>
            <w:shd w:val="clear" w:color="auto" w:fill="EDEDED"/>
          </w:tcPr>
          <w:p>
            <w:pPr>
              <w:jc w:val="center"/>
              <w:ind w:left="19"/>
              <w:spacing w:after="0"/>
              <w:rPr>
                <w:sz w:val="20"/>
                <w:szCs w:val="20"/>
                <w:color w:val="auto"/>
              </w:rPr>
            </w:pPr>
            <w:r>
              <w:rPr>
                <w:rFonts w:ascii="Arial" w:cs="Arial" w:eastAsia="Arial" w:hAnsi="Arial"/>
                <w:sz w:val="16"/>
                <w:szCs w:val="16"/>
                <w:color w:val="auto"/>
              </w:rPr>
              <w:t>Advisory vote to approve</w:t>
            </w:r>
          </w:p>
        </w:tc>
        <w:tc>
          <w:tcPr>
            <w:tcW w:w="2680" w:type="dxa"/>
            <w:vAlign w:val="bottom"/>
            <w:shd w:val="clear" w:color="auto" w:fill="EDEDED"/>
          </w:tcPr>
          <w:p>
            <w:pPr>
              <w:jc w:val="center"/>
              <w:ind w:left="39"/>
              <w:spacing w:after="0"/>
              <w:rPr>
                <w:sz w:val="20"/>
                <w:szCs w:val="20"/>
                <w:color w:val="auto"/>
              </w:rPr>
            </w:pPr>
            <w:r>
              <w:rPr>
                <w:rFonts w:ascii="Arial" w:cs="Arial" w:eastAsia="Arial" w:hAnsi="Arial"/>
                <w:sz w:val="16"/>
                <w:szCs w:val="16"/>
                <w:color w:val="auto"/>
              </w:rPr>
              <w:t>Advisory vote to approve annual</w:t>
            </w:r>
          </w:p>
        </w:tc>
        <w:tc>
          <w:tcPr>
            <w:tcW w:w="252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Ratification of the appointment of</w:t>
            </w:r>
          </w:p>
        </w:tc>
      </w:tr>
      <w:tr>
        <w:trPr>
          <w:trHeight w:val="189"/>
        </w:trPr>
        <w:tc>
          <w:tcPr>
            <w:tcW w:w="2480" w:type="dxa"/>
            <w:vAlign w:val="bottom"/>
            <w:shd w:val="clear" w:color="auto" w:fill="EDEDED"/>
          </w:tcPr>
          <w:p>
            <w:pPr>
              <w:spacing w:after="0"/>
              <w:rPr>
                <w:sz w:val="16"/>
                <w:szCs w:val="16"/>
                <w:color w:val="auto"/>
              </w:rPr>
            </w:pPr>
          </w:p>
        </w:tc>
        <w:tc>
          <w:tcPr>
            <w:tcW w:w="2380" w:type="dxa"/>
            <w:vAlign w:val="bottom"/>
            <w:shd w:val="clear" w:color="auto" w:fill="EDEDED"/>
          </w:tcPr>
          <w:p>
            <w:pPr>
              <w:jc w:val="center"/>
              <w:ind w:left="19"/>
              <w:spacing w:after="0"/>
              <w:rPr>
                <w:sz w:val="20"/>
                <w:szCs w:val="20"/>
                <w:color w:val="auto"/>
              </w:rPr>
            </w:pPr>
            <w:r>
              <w:rPr>
                <w:rFonts w:ascii="Arial" w:cs="Arial" w:eastAsia="Arial" w:hAnsi="Arial"/>
                <w:sz w:val="16"/>
                <w:szCs w:val="16"/>
                <w:color w:val="auto"/>
              </w:rPr>
              <w:t>the Company’s executive</w:t>
            </w:r>
          </w:p>
        </w:tc>
        <w:tc>
          <w:tcPr>
            <w:tcW w:w="2680" w:type="dxa"/>
            <w:vAlign w:val="bottom"/>
            <w:shd w:val="clear" w:color="auto" w:fill="EDEDED"/>
          </w:tcPr>
          <w:p>
            <w:pPr>
              <w:jc w:val="center"/>
              <w:ind w:left="59"/>
              <w:spacing w:after="0"/>
              <w:rPr>
                <w:sz w:val="20"/>
                <w:szCs w:val="20"/>
                <w:color w:val="auto"/>
              </w:rPr>
            </w:pPr>
            <w:r>
              <w:rPr>
                <w:rFonts w:ascii="Arial" w:cs="Arial" w:eastAsia="Arial" w:hAnsi="Arial"/>
                <w:sz w:val="16"/>
                <w:szCs w:val="16"/>
                <w:color w:val="auto"/>
              </w:rPr>
              <w:t>(once every year)</w:t>
            </w:r>
          </w:p>
        </w:tc>
        <w:tc>
          <w:tcPr>
            <w:tcW w:w="252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PricewaterhouseCoopers LLP</w:t>
            </w:r>
          </w:p>
        </w:tc>
      </w:tr>
      <w:tr>
        <w:trPr>
          <w:trHeight w:val="189"/>
        </w:trPr>
        <w:tc>
          <w:tcPr>
            <w:tcW w:w="2480" w:type="dxa"/>
            <w:vAlign w:val="bottom"/>
            <w:shd w:val="clear" w:color="auto" w:fill="EDEDED"/>
          </w:tcPr>
          <w:p>
            <w:pPr>
              <w:spacing w:after="0"/>
              <w:rPr>
                <w:sz w:val="16"/>
                <w:szCs w:val="16"/>
                <w:color w:val="auto"/>
              </w:rPr>
            </w:pPr>
          </w:p>
        </w:tc>
        <w:tc>
          <w:tcPr>
            <w:tcW w:w="2380" w:type="dxa"/>
            <w:vAlign w:val="bottom"/>
            <w:shd w:val="clear" w:color="auto" w:fill="EDEDED"/>
          </w:tcPr>
          <w:p>
            <w:pPr>
              <w:jc w:val="center"/>
              <w:ind w:left="19"/>
              <w:spacing w:after="0"/>
              <w:rPr>
                <w:sz w:val="20"/>
                <w:szCs w:val="20"/>
                <w:color w:val="auto"/>
              </w:rPr>
            </w:pPr>
            <w:r>
              <w:rPr>
                <w:rFonts w:ascii="Arial" w:cs="Arial" w:eastAsia="Arial" w:hAnsi="Arial"/>
                <w:sz w:val="16"/>
                <w:szCs w:val="16"/>
                <w:color w:val="auto"/>
              </w:rPr>
              <w:t>compensation</w:t>
            </w:r>
          </w:p>
        </w:tc>
        <w:tc>
          <w:tcPr>
            <w:tcW w:w="2680" w:type="dxa"/>
            <w:vAlign w:val="bottom"/>
            <w:shd w:val="clear" w:color="auto" w:fill="EDEDED"/>
          </w:tcPr>
          <w:p>
            <w:pPr>
              <w:jc w:val="center"/>
              <w:ind w:left="59"/>
              <w:spacing w:after="0"/>
              <w:rPr>
                <w:sz w:val="20"/>
                <w:szCs w:val="20"/>
                <w:color w:val="auto"/>
              </w:rPr>
            </w:pPr>
            <w:r>
              <w:rPr>
                <w:rFonts w:ascii="Arial" w:cs="Arial" w:eastAsia="Arial" w:hAnsi="Arial"/>
                <w:sz w:val="16"/>
                <w:szCs w:val="16"/>
                <w:color w:val="auto"/>
              </w:rPr>
              <w:t>voting on the Company’s</w:t>
            </w:r>
          </w:p>
        </w:tc>
        <w:tc>
          <w:tcPr>
            <w:tcW w:w="252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as the Company’s independent</w:t>
            </w:r>
          </w:p>
        </w:tc>
      </w:tr>
      <w:tr>
        <w:trPr>
          <w:trHeight w:val="189"/>
        </w:trPr>
        <w:tc>
          <w:tcPr>
            <w:tcW w:w="2480" w:type="dxa"/>
            <w:vAlign w:val="bottom"/>
            <w:shd w:val="clear" w:color="auto" w:fill="EDEDED"/>
          </w:tcPr>
          <w:p>
            <w:pPr>
              <w:spacing w:after="0"/>
              <w:rPr>
                <w:sz w:val="16"/>
                <w:szCs w:val="16"/>
                <w:color w:val="auto"/>
              </w:rPr>
            </w:pPr>
          </w:p>
        </w:tc>
        <w:tc>
          <w:tcPr>
            <w:tcW w:w="2380" w:type="dxa"/>
            <w:vAlign w:val="bottom"/>
            <w:shd w:val="clear" w:color="auto" w:fill="EDEDED"/>
          </w:tcPr>
          <w:p>
            <w:pPr>
              <w:spacing w:after="0"/>
              <w:rPr>
                <w:sz w:val="16"/>
                <w:szCs w:val="16"/>
                <w:color w:val="auto"/>
              </w:rPr>
            </w:pPr>
          </w:p>
        </w:tc>
        <w:tc>
          <w:tcPr>
            <w:tcW w:w="2680" w:type="dxa"/>
            <w:vAlign w:val="bottom"/>
            <w:shd w:val="clear" w:color="auto" w:fill="EDEDED"/>
          </w:tcPr>
          <w:p>
            <w:pPr>
              <w:jc w:val="center"/>
              <w:ind w:left="39"/>
              <w:spacing w:after="0"/>
              <w:rPr>
                <w:sz w:val="20"/>
                <w:szCs w:val="20"/>
                <w:color w:val="auto"/>
              </w:rPr>
            </w:pPr>
            <w:r>
              <w:rPr>
                <w:rFonts w:ascii="Arial" w:cs="Arial" w:eastAsia="Arial" w:hAnsi="Arial"/>
                <w:sz w:val="16"/>
                <w:szCs w:val="16"/>
                <w:color w:val="auto"/>
              </w:rPr>
              <w:t>Executive Compensation</w:t>
            </w:r>
          </w:p>
        </w:tc>
        <w:tc>
          <w:tcPr>
            <w:tcW w:w="252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registered public accounting firm</w:t>
            </w:r>
          </w:p>
        </w:tc>
      </w:tr>
      <w:tr>
        <w:trPr>
          <w:trHeight w:val="215"/>
        </w:trPr>
        <w:tc>
          <w:tcPr>
            <w:tcW w:w="2480" w:type="dxa"/>
            <w:vAlign w:val="bottom"/>
            <w:shd w:val="clear" w:color="auto" w:fill="EDEDED"/>
          </w:tcPr>
          <w:p>
            <w:pPr>
              <w:spacing w:after="0"/>
              <w:rPr>
                <w:sz w:val="18"/>
                <w:szCs w:val="18"/>
                <w:color w:val="auto"/>
              </w:rPr>
            </w:pPr>
          </w:p>
        </w:tc>
        <w:tc>
          <w:tcPr>
            <w:tcW w:w="2380" w:type="dxa"/>
            <w:vAlign w:val="bottom"/>
            <w:shd w:val="clear" w:color="auto" w:fill="EDEDED"/>
          </w:tcPr>
          <w:p>
            <w:pPr>
              <w:spacing w:after="0"/>
              <w:rPr>
                <w:sz w:val="18"/>
                <w:szCs w:val="18"/>
                <w:color w:val="auto"/>
              </w:rPr>
            </w:pPr>
          </w:p>
        </w:tc>
        <w:tc>
          <w:tcPr>
            <w:tcW w:w="2680" w:type="dxa"/>
            <w:vAlign w:val="bottom"/>
            <w:shd w:val="clear" w:color="auto" w:fill="EDEDED"/>
          </w:tcPr>
          <w:p>
            <w:pPr>
              <w:spacing w:after="0"/>
              <w:rPr>
                <w:sz w:val="18"/>
                <w:szCs w:val="18"/>
                <w:color w:val="auto"/>
              </w:rPr>
            </w:pPr>
          </w:p>
        </w:tc>
        <w:tc>
          <w:tcPr>
            <w:tcW w:w="252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for the 2023 fiscal year</w:t>
            </w:r>
          </w:p>
        </w:tc>
      </w:tr>
      <w:tr>
        <w:trPr>
          <w:trHeight w:val="258"/>
        </w:trPr>
        <w:tc>
          <w:tcPr>
            <w:tcW w:w="2480" w:type="dxa"/>
            <w:vAlign w:val="bottom"/>
            <w:shd w:val="clear" w:color="auto" w:fill="EDEDED"/>
          </w:tcPr>
          <w:p>
            <w:pPr>
              <w:spacing w:after="0"/>
              <w:rPr>
                <w:sz w:val="22"/>
                <w:szCs w:val="22"/>
                <w:color w:val="auto"/>
              </w:rPr>
            </w:pPr>
          </w:p>
        </w:tc>
        <w:tc>
          <w:tcPr>
            <w:tcW w:w="2380" w:type="dxa"/>
            <w:vAlign w:val="bottom"/>
            <w:shd w:val="clear" w:color="auto" w:fill="EDEDED"/>
          </w:tcPr>
          <w:p>
            <w:pPr>
              <w:spacing w:after="0"/>
              <w:rPr>
                <w:sz w:val="22"/>
                <w:szCs w:val="22"/>
                <w:color w:val="auto"/>
              </w:rPr>
            </w:pPr>
          </w:p>
        </w:tc>
        <w:tc>
          <w:tcPr>
            <w:tcW w:w="2680" w:type="dxa"/>
            <w:vAlign w:val="bottom"/>
            <w:shd w:val="clear" w:color="auto" w:fill="EDEDED"/>
          </w:tcPr>
          <w:p>
            <w:pPr>
              <w:spacing w:after="0"/>
              <w:rPr>
                <w:sz w:val="22"/>
                <w:szCs w:val="22"/>
                <w:color w:val="auto"/>
              </w:rPr>
            </w:pPr>
          </w:p>
        </w:tc>
        <w:tc>
          <w:tcPr>
            <w:tcW w:w="2520" w:type="dxa"/>
            <w:vAlign w:val="bottom"/>
            <w:shd w:val="clear" w:color="auto" w:fill="EDEDED"/>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-1679575</wp:posOffset>
            </wp:positionV>
            <wp:extent cx="6746240" cy="39173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46240" cy="3917315"/>
                    </a:xfrm>
                    <a:prstGeom prst="rect">
                      <a:avLst/>
                    </a:prstGeom>
                    <a:noFill/>
                  </pic:spPr>
                </pic:pic>
              </a:graphicData>
            </a:graphic>
          </wp:anchor>
        </w:drawing>
      </w:r>
    </w:p>
    <w:tbl>
      <w:tblPr>
        <w:tblLayout w:type="fixed"/>
        <w:tblInd w:w="1200" w:type="dxa"/>
        <w:tblCellMar>
          <w:top w:w="0" w:type="dxa"/>
          <w:left w:w="0" w:type="dxa"/>
          <w:bottom w:w="0" w:type="dxa"/>
          <w:right w:w="0" w:type="dxa"/>
        </w:tblCellMar>
      </w:tblPr>
      <w:tr>
        <w:trPr>
          <w:trHeight w:val="1023"/>
        </w:trPr>
        <w:tc>
          <w:tcPr>
            <w:tcW w:w="2500" w:type="dxa"/>
            <w:vAlign w:val="bottom"/>
            <w:shd w:val="clear" w:color="auto" w:fill="EDEDED"/>
          </w:tcPr>
          <w:p>
            <w:pPr>
              <w:jc w:val="center"/>
              <w:ind w:right="148"/>
              <w:spacing w:after="0" w:line="253" w:lineRule="exact"/>
              <w:rPr>
                <w:sz w:val="20"/>
                <w:szCs w:val="20"/>
                <w:color w:val="auto"/>
              </w:rPr>
            </w:pPr>
            <w:r>
              <w:rPr>
                <w:rFonts w:ascii="MS PGothic" w:cs="MS PGothic" w:eastAsia="MS PGothic" w:hAnsi="MS PGothic"/>
                <w:sz w:val="22"/>
                <w:szCs w:val="22"/>
                <w:color w:val="00AF41"/>
                <w:w w:val="99"/>
              </w:rPr>
              <w:t>✓</w:t>
            </w:r>
            <w:r>
              <w:rPr>
                <w:rFonts w:ascii="Arial" w:cs="Arial" w:eastAsia="Arial" w:hAnsi="Arial"/>
                <w:sz w:val="22"/>
                <w:szCs w:val="22"/>
                <w:b w:val="1"/>
                <w:bCs w:val="1"/>
                <w:color w:val="00AF41"/>
                <w:w w:val="99"/>
              </w:rPr>
              <w:t xml:space="preserve"> FOR Each</w:t>
            </w:r>
          </w:p>
        </w:tc>
        <w:tc>
          <w:tcPr>
            <w:tcW w:w="2380" w:type="dxa"/>
            <w:vAlign w:val="bottom"/>
            <w:shd w:val="clear" w:color="auto" w:fill="EDEDED"/>
          </w:tcPr>
          <w:p>
            <w:pPr>
              <w:ind w:left="740"/>
              <w:spacing w:after="0" w:line="253" w:lineRule="exact"/>
              <w:rPr>
                <w:sz w:val="20"/>
                <w:szCs w:val="20"/>
                <w:color w:val="auto"/>
              </w:rPr>
            </w:pPr>
            <w:r>
              <w:rPr>
                <w:rFonts w:ascii="MS PGothic" w:cs="MS PGothic" w:eastAsia="MS PGothic" w:hAnsi="MS PGothic"/>
                <w:sz w:val="22"/>
                <w:szCs w:val="22"/>
                <w:color w:val="00AF41"/>
              </w:rPr>
              <w:t>✓</w:t>
            </w:r>
            <w:r>
              <w:rPr>
                <w:rFonts w:ascii="Arial" w:cs="Arial" w:eastAsia="Arial" w:hAnsi="Arial"/>
                <w:sz w:val="22"/>
                <w:szCs w:val="22"/>
                <w:b w:val="1"/>
                <w:bCs w:val="1"/>
                <w:color w:val="00AF41"/>
              </w:rPr>
              <w:t xml:space="preserve"> FOR</w:t>
            </w:r>
          </w:p>
        </w:tc>
        <w:tc>
          <w:tcPr>
            <w:tcW w:w="2560" w:type="dxa"/>
            <w:vAlign w:val="bottom"/>
            <w:shd w:val="clear" w:color="auto" w:fill="EDEDED"/>
          </w:tcPr>
          <w:p>
            <w:pPr>
              <w:ind w:left="900"/>
              <w:spacing w:after="0" w:line="253" w:lineRule="exact"/>
              <w:rPr>
                <w:sz w:val="20"/>
                <w:szCs w:val="20"/>
                <w:color w:val="auto"/>
              </w:rPr>
            </w:pPr>
            <w:r>
              <w:rPr>
                <w:rFonts w:ascii="MS PGothic" w:cs="MS PGothic" w:eastAsia="MS PGothic" w:hAnsi="MS PGothic"/>
                <w:sz w:val="22"/>
                <w:szCs w:val="22"/>
                <w:color w:val="00AF41"/>
              </w:rPr>
              <w:t>✓</w:t>
            </w:r>
            <w:r>
              <w:rPr>
                <w:rFonts w:ascii="Arial" w:cs="Arial" w:eastAsia="Arial" w:hAnsi="Arial"/>
                <w:sz w:val="22"/>
                <w:szCs w:val="22"/>
                <w:b w:val="1"/>
                <w:bCs w:val="1"/>
                <w:color w:val="00AF41"/>
              </w:rPr>
              <w:t xml:space="preserve"> FOR</w:t>
            </w:r>
          </w:p>
        </w:tc>
        <w:tc>
          <w:tcPr>
            <w:tcW w:w="2500" w:type="dxa"/>
            <w:vAlign w:val="bottom"/>
            <w:shd w:val="clear" w:color="auto" w:fill="EDEDED"/>
          </w:tcPr>
          <w:p>
            <w:pPr>
              <w:ind w:left="920"/>
              <w:spacing w:after="0" w:line="253" w:lineRule="exact"/>
              <w:rPr>
                <w:sz w:val="20"/>
                <w:szCs w:val="20"/>
                <w:color w:val="auto"/>
              </w:rPr>
            </w:pPr>
            <w:r>
              <w:rPr>
                <w:rFonts w:ascii="MS PGothic" w:cs="MS PGothic" w:eastAsia="MS PGothic" w:hAnsi="MS PGothic"/>
                <w:sz w:val="22"/>
                <w:szCs w:val="22"/>
                <w:color w:val="00AF41"/>
              </w:rPr>
              <w:t>✓</w:t>
            </w:r>
            <w:r>
              <w:rPr>
                <w:rFonts w:ascii="Arial" w:cs="Arial" w:eastAsia="Arial" w:hAnsi="Arial"/>
                <w:sz w:val="22"/>
                <w:szCs w:val="22"/>
                <w:b w:val="1"/>
                <w:bCs w:val="1"/>
                <w:color w:val="00AF41"/>
              </w:rPr>
              <w:t xml:space="preserve"> FOR</w:t>
            </w:r>
          </w:p>
        </w:tc>
      </w:tr>
      <w:tr>
        <w:trPr>
          <w:trHeight w:val="310"/>
        </w:trPr>
        <w:tc>
          <w:tcPr>
            <w:tcW w:w="2500" w:type="dxa"/>
            <w:vAlign w:val="bottom"/>
            <w:shd w:val="clear" w:color="auto" w:fill="EDEDED"/>
          </w:tcPr>
          <w:p>
            <w:pPr>
              <w:jc w:val="center"/>
              <w:ind w:right="148"/>
              <w:spacing w:after="0"/>
              <w:rPr>
                <w:sz w:val="20"/>
                <w:szCs w:val="20"/>
                <w:color w:val="auto"/>
              </w:rPr>
            </w:pPr>
            <w:r>
              <w:rPr>
                <w:rFonts w:ascii="Arial" w:cs="Arial" w:eastAsia="Arial" w:hAnsi="Arial"/>
                <w:sz w:val="22"/>
                <w:szCs w:val="22"/>
                <w:b w:val="1"/>
                <w:bCs w:val="1"/>
                <w:color w:val="00AF41"/>
              </w:rPr>
              <w:t>Nominee</w:t>
            </w:r>
          </w:p>
        </w:tc>
        <w:tc>
          <w:tcPr>
            <w:tcW w:w="2380" w:type="dxa"/>
            <w:vAlign w:val="bottom"/>
            <w:shd w:val="clear" w:color="auto" w:fill="EDEDED"/>
          </w:tcPr>
          <w:p>
            <w:pPr>
              <w:spacing w:after="0"/>
              <w:rPr>
                <w:sz w:val="24"/>
                <w:szCs w:val="24"/>
                <w:color w:val="auto"/>
              </w:rPr>
            </w:pPr>
          </w:p>
        </w:tc>
        <w:tc>
          <w:tcPr>
            <w:tcW w:w="2560" w:type="dxa"/>
            <w:vAlign w:val="bottom"/>
            <w:shd w:val="clear" w:color="auto" w:fill="EDEDED"/>
          </w:tcPr>
          <w:p>
            <w:pPr>
              <w:spacing w:after="0"/>
              <w:rPr>
                <w:sz w:val="24"/>
                <w:szCs w:val="24"/>
                <w:color w:val="auto"/>
              </w:rPr>
            </w:pPr>
          </w:p>
        </w:tc>
        <w:tc>
          <w:tcPr>
            <w:tcW w:w="2500" w:type="dxa"/>
            <w:vAlign w:val="bottom"/>
            <w:shd w:val="clear" w:color="auto" w:fill="EDEDED"/>
          </w:tcPr>
          <w:p>
            <w:pPr>
              <w:spacing w:after="0"/>
              <w:rPr>
                <w:sz w:val="24"/>
                <w:szCs w:val="24"/>
                <w:color w:val="auto"/>
              </w:rPr>
            </w:pPr>
          </w:p>
        </w:tc>
      </w:tr>
      <w:tr>
        <w:trPr>
          <w:trHeight w:val="793"/>
        </w:trPr>
        <w:tc>
          <w:tcPr>
            <w:tcW w:w="2500" w:type="dxa"/>
            <w:vAlign w:val="bottom"/>
            <w:shd w:val="clear" w:color="auto" w:fill="EDEDED"/>
          </w:tcPr>
          <w:p>
            <w:pPr>
              <w:spacing w:after="0"/>
              <w:rPr>
                <w:sz w:val="24"/>
                <w:szCs w:val="24"/>
                <w:color w:val="auto"/>
              </w:rPr>
            </w:pPr>
          </w:p>
        </w:tc>
        <w:tc>
          <w:tcPr>
            <w:tcW w:w="2380" w:type="dxa"/>
            <w:vAlign w:val="bottom"/>
            <w:shd w:val="clear" w:color="auto" w:fill="EDEDED"/>
          </w:tcPr>
          <w:p>
            <w:pPr>
              <w:spacing w:after="0"/>
              <w:rPr>
                <w:sz w:val="24"/>
                <w:szCs w:val="24"/>
                <w:color w:val="auto"/>
              </w:rPr>
            </w:pPr>
          </w:p>
        </w:tc>
        <w:tc>
          <w:tcPr>
            <w:tcW w:w="2560" w:type="dxa"/>
            <w:vAlign w:val="bottom"/>
            <w:shd w:val="clear" w:color="auto" w:fill="EDEDED"/>
          </w:tcPr>
          <w:p>
            <w:pPr>
              <w:spacing w:after="0"/>
              <w:rPr>
                <w:sz w:val="24"/>
                <w:szCs w:val="24"/>
                <w:color w:val="auto"/>
              </w:rPr>
            </w:pPr>
          </w:p>
        </w:tc>
        <w:tc>
          <w:tcPr>
            <w:tcW w:w="2500" w:type="dxa"/>
            <w:vAlign w:val="bottom"/>
            <w:shd w:val="clear" w:color="auto" w:fill="EDEDED"/>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-1045210</wp:posOffset>
            </wp:positionV>
            <wp:extent cx="265430" cy="9861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000000"/>
                        </a:clrFrom>
                        <a:clrTo>
                          <a:srgbClr val="000000">
                            <a:alpha val="0"/>
                          </a:srgbClr>
                        </a:clrTo>
                      </a:clrChange>
                      <a:extLst>
                        <a:ext uri="{28A0092B-C50C-407E-A947-70E740481C1C}"/>
                      </a:extLst>
                    </a:blip>
                    <a:srcRect/>
                    <a:stretch>
                      <a:fillRect/>
                    </a:stretch>
                  </pic:blipFill>
                  <pic:spPr bwMode="auto">
                    <a:xfrm>
                      <a:off x="0" y="0"/>
                      <a:ext cx="265430" cy="986155"/>
                    </a:xfrm>
                    <a:prstGeom prst="rect">
                      <a:avLst/>
                    </a:prstGeom>
                    <a:noFill/>
                  </pic:spPr>
                </pic:pic>
              </a:graphicData>
            </a:graphic>
          </wp:anchor>
        </w:drawing>
        <w:drawing>
          <wp:anchor simplePos="0" relativeHeight="251657728" behindDoc="1" locked="0" layoutInCell="0" allowOverlap="1">
            <wp:simplePos x="0" y="0"/>
            <wp:positionH relativeFrom="column">
              <wp:posOffset>253365</wp:posOffset>
            </wp:positionH>
            <wp:positionV relativeFrom="paragraph">
              <wp:posOffset>-1045210</wp:posOffset>
            </wp:positionV>
            <wp:extent cx="265430" cy="9861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265430" cy="98615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265430</wp:posOffset>
            </wp:positionV>
            <wp:extent cx="539750" cy="548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000000"/>
                        </a:clrFrom>
                        <a:clrTo>
                          <a:srgbClr val="000000">
                            <a:alpha val="0"/>
                          </a:srgbClr>
                        </a:clrTo>
                      </a:clrChange>
                      <a:extLst>
                        <a:ext uri="{28A0092B-C50C-407E-A947-70E740481C1C}"/>
                      </a:extLst>
                    </a:blip>
                    <a:srcRect/>
                    <a:stretch>
                      <a:fillRect/>
                    </a:stretch>
                  </pic:blipFill>
                  <pic:spPr bwMode="auto">
                    <a:xfrm>
                      <a:off x="0" y="0"/>
                      <a:ext cx="539750" cy="548640"/>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265430</wp:posOffset>
            </wp:positionV>
            <wp:extent cx="539750" cy="548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539750" cy="54864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820"/>
        <w:spacing w:after="0"/>
        <w:tabs>
          <w:tab w:leader="none" w:pos="4300" w:val="left"/>
          <w:tab w:leader="none" w:pos="6840" w:val="left"/>
          <w:tab w:leader="none" w:pos="9420" w:val="left"/>
        </w:tabs>
        <w:rPr>
          <w:sz w:val="20"/>
          <w:szCs w:val="20"/>
          <w:color w:val="auto"/>
        </w:rPr>
      </w:pPr>
      <w:r>
        <w:rPr>
          <w:rFonts w:ascii="Arial" w:cs="Arial" w:eastAsia="Arial" w:hAnsi="Arial"/>
          <w:sz w:val="27"/>
          <w:szCs w:val="27"/>
          <w:color w:val="auto"/>
        </w:rPr>
        <w:t>page 15</w:t>
      </w:r>
      <w:r>
        <w:rPr>
          <w:sz w:val="20"/>
          <w:szCs w:val="20"/>
          <w:color w:val="auto"/>
        </w:rPr>
        <w:tab/>
      </w:r>
      <w:r>
        <w:rPr>
          <w:rFonts w:ascii="Arial" w:cs="Arial" w:eastAsia="Arial" w:hAnsi="Arial"/>
          <w:sz w:val="27"/>
          <w:szCs w:val="27"/>
          <w:color w:val="auto"/>
        </w:rPr>
        <w:t>page 50</w:t>
      </w:r>
      <w:r>
        <w:rPr>
          <w:sz w:val="20"/>
          <w:szCs w:val="20"/>
          <w:color w:val="auto"/>
        </w:rPr>
        <w:tab/>
      </w:r>
      <w:r>
        <w:rPr>
          <w:rFonts w:ascii="Arial" w:cs="Arial" w:eastAsia="Arial" w:hAnsi="Arial"/>
          <w:sz w:val="27"/>
          <w:szCs w:val="27"/>
          <w:color w:val="auto"/>
        </w:rPr>
        <w:t>page 85</w:t>
      </w:r>
      <w:r>
        <w:rPr>
          <w:sz w:val="20"/>
          <w:szCs w:val="20"/>
          <w:color w:val="auto"/>
        </w:rPr>
        <w:tab/>
      </w:r>
      <w:r>
        <w:rPr>
          <w:rFonts w:ascii="Arial" w:cs="Arial" w:eastAsia="Arial" w:hAnsi="Arial"/>
          <w:sz w:val="27"/>
          <w:szCs w:val="27"/>
          <w:color w:val="auto"/>
        </w:rPr>
        <w:t>page 86</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-142875</wp:posOffset>
            </wp:positionV>
            <wp:extent cx="8890" cy="2311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23114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-142875</wp:posOffset>
            </wp:positionV>
            <wp:extent cx="411480" cy="1968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Proxy Summary</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Nominees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provides summary information about each director nominee. Each director is elected annually by a plurality vote.</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right"/>
              <w:ind w:right="41"/>
              <w:spacing w:after="0"/>
              <w:rPr>
                <w:sz w:val="20"/>
                <w:szCs w:val="20"/>
                <w:color w:val="auto"/>
              </w:rPr>
            </w:pPr>
            <w:r>
              <w:rPr>
                <w:rFonts w:ascii="Arial" w:cs="Arial" w:eastAsia="Arial" w:hAnsi="Arial"/>
                <w:sz w:val="14"/>
                <w:szCs w:val="14"/>
                <w:b w:val="1"/>
                <w:bCs w:val="1"/>
                <w:color w:val="00AF41"/>
              </w:rPr>
              <w:t>Director</w:t>
            </w:r>
          </w:p>
        </w:tc>
        <w:tc>
          <w:tcPr>
            <w:tcW w:w="2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360" w:type="dxa"/>
            <w:vAlign w:val="bottom"/>
          </w:tcPr>
          <w:p>
            <w:pPr>
              <w:spacing w:after="0"/>
              <w:rPr>
                <w:sz w:val="14"/>
                <w:szCs w:val="14"/>
                <w:color w:val="auto"/>
              </w:rPr>
            </w:pPr>
          </w:p>
        </w:tc>
      </w:tr>
      <w:tr>
        <w:trPr>
          <w:trHeight w:val="196"/>
        </w:trPr>
        <w:tc>
          <w:tcPr>
            <w:tcW w:w="2360" w:type="dxa"/>
            <w:vAlign w:val="bottom"/>
          </w:tcPr>
          <w:p>
            <w:pPr>
              <w:ind w:left="60"/>
              <w:spacing w:after="0"/>
              <w:rPr>
                <w:sz w:val="20"/>
                <w:szCs w:val="20"/>
                <w:color w:val="auto"/>
              </w:rPr>
            </w:pPr>
            <w:r>
              <w:rPr>
                <w:rFonts w:ascii="Arial" w:cs="Arial" w:eastAsia="Arial" w:hAnsi="Arial"/>
                <w:sz w:val="14"/>
                <w:szCs w:val="14"/>
                <w:b w:val="1"/>
                <w:bCs w:val="1"/>
                <w:color w:val="00AF41"/>
              </w:rPr>
              <w:t>Name</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00AF41"/>
              </w:rPr>
              <w:t>Age</w:t>
            </w:r>
          </w:p>
        </w:tc>
        <w:tc>
          <w:tcPr>
            <w:tcW w:w="760" w:type="dxa"/>
            <w:vAlign w:val="bottom"/>
          </w:tcPr>
          <w:p>
            <w:pPr>
              <w:jc w:val="right"/>
              <w:ind w:right="121"/>
              <w:spacing w:after="0"/>
              <w:rPr>
                <w:sz w:val="20"/>
                <w:szCs w:val="20"/>
                <w:color w:val="auto"/>
              </w:rPr>
            </w:pPr>
            <w:r>
              <w:rPr>
                <w:rFonts w:ascii="Arial" w:cs="Arial" w:eastAsia="Arial" w:hAnsi="Arial"/>
                <w:sz w:val="14"/>
                <w:szCs w:val="14"/>
                <w:b w:val="1"/>
                <w:bCs w:val="1"/>
                <w:color w:val="00AF41"/>
              </w:rPr>
              <w:t>Since</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00AF41"/>
              </w:rPr>
              <w:t>Position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AF41"/>
              </w:rPr>
              <w:t>Independent</w:t>
            </w:r>
          </w:p>
        </w:tc>
        <w:tc>
          <w:tcPr>
            <w:tcW w:w="4360" w:type="dxa"/>
            <w:vAlign w:val="bottom"/>
          </w:tcPr>
          <w:p>
            <w:pPr>
              <w:ind w:left="1800"/>
              <w:spacing w:after="0"/>
              <w:rPr>
                <w:sz w:val="20"/>
                <w:szCs w:val="20"/>
                <w:color w:val="auto"/>
              </w:rPr>
            </w:pPr>
            <w:r>
              <w:rPr>
                <w:rFonts w:ascii="Arial" w:cs="Arial" w:eastAsia="Arial" w:hAnsi="Arial"/>
                <w:sz w:val="14"/>
                <w:szCs w:val="14"/>
                <w:b w:val="1"/>
                <w:bCs w:val="1"/>
                <w:color w:val="00AF41"/>
              </w:rPr>
              <w:t>Committees</w:t>
            </w:r>
          </w:p>
        </w:tc>
      </w:tr>
      <w:tr>
        <w:trPr>
          <w:trHeight w:val="43"/>
        </w:trPr>
        <w:tc>
          <w:tcPr>
            <w:tcW w:w="2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360" w:type="dxa"/>
            <w:vAlign w:val="bottom"/>
            <w:tcBorders>
              <w:bottom w:val="single" w:sz="8" w:color="auto"/>
            </w:tcBorders>
          </w:tcPr>
          <w:p>
            <w:pPr>
              <w:spacing w:after="0"/>
              <w:rPr>
                <w:sz w:val="3"/>
                <w:szCs w:val="3"/>
                <w:color w:val="auto"/>
              </w:rPr>
            </w:pPr>
          </w:p>
        </w:tc>
      </w:tr>
      <w:tr>
        <w:trPr>
          <w:trHeight w:val="209"/>
        </w:trPr>
        <w:tc>
          <w:tcPr>
            <w:tcW w:w="2360" w:type="dxa"/>
            <w:vAlign w:val="bottom"/>
            <w:shd w:val="clear" w:color="auto" w:fill="EDEDED"/>
          </w:tcPr>
          <w:p>
            <w:pPr>
              <w:ind w:left="680"/>
              <w:spacing w:after="0"/>
              <w:rPr>
                <w:sz w:val="20"/>
                <w:szCs w:val="20"/>
                <w:color w:val="auto"/>
              </w:rPr>
            </w:pPr>
            <w:r>
              <w:rPr>
                <w:rFonts w:ascii="Arial" w:cs="Arial" w:eastAsia="Arial" w:hAnsi="Arial"/>
                <w:sz w:val="16"/>
                <w:szCs w:val="16"/>
                <w:b w:val="1"/>
                <w:bCs w:val="1"/>
                <w:color w:val="auto"/>
              </w:rPr>
              <w:t>Donald R. Parfet</w:t>
            </w:r>
          </w:p>
        </w:tc>
        <w:tc>
          <w:tcPr>
            <w:tcW w:w="480" w:type="dxa"/>
            <w:vAlign w:val="bottom"/>
            <w:shd w:val="clear" w:color="auto" w:fill="EDEDED"/>
          </w:tcPr>
          <w:p>
            <w:pPr>
              <w:jc w:val="right"/>
              <w:spacing w:after="0"/>
              <w:rPr>
                <w:sz w:val="20"/>
                <w:szCs w:val="20"/>
                <w:color w:val="auto"/>
              </w:rPr>
            </w:pPr>
            <w:r>
              <w:rPr>
                <w:rFonts w:ascii="Arial" w:cs="Arial" w:eastAsia="Arial" w:hAnsi="Arial"/>
                <w:sz w:val="16"/>
                <w:szCs w:val="16"/>
                <w:color w:val="auto"/>
              </w:rPr>
              <w:t>70</w:t>
            </w:r>
          </w:p>
        </w:tc>
        <w:tc>
          <w:tcPr>
            <w:tcW w:w="76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auto"/>
              </w:rPr>
              <w:t>2004</w:t>
            </w:r>
          </w:p>
        </w:tc>
        <w:tc>
          <w:tcPr>
            <w:tcW w:w="204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Non-Executive Chairman</w:t>
            </w:r>
          </w:p>
        </w:tc>
        <w:tc>
          <w:tcPr>
            <w:tcW w:w="1020" w:type="dxa"/>
            <w:vAlign w:val="bottom"/>
            <w:shd w:val="clear" w:color="auto" w:fill="EDEDED"/>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4360" w:type="dxa"/>
            <w:vAlign w:val="bottom"/>
            <w:shd w:val="clear" w:color="auto" w:fill="EDEDED"/>
          </w:tcPr>
          <w:p>
            <w:pPr>
              <w:spacing w:after="0"/>
              <w:rPr>
                <w:sz w:val="18"/>
                <w:szCs w:val="18"/>
                <w:color w:val="auto"/>
              </w:rPr>
            </w:pPr>
          </w:p>
        </w:tc>
      </w:tr>
      <w:tr>
        <w:trPr>
          <w:trHeight w:val="215"/>
        </w:trPr>
        <w:tc>
          <w:tcPr>
            <w:tcW w:w="2360" w:type="dxa"/>
            <w:vAlign w:val="bottom"/>
            <w:shd w:val="clear" w:color="auto" w:fill="EDEDED"/>
          </w:tcPr>
          <w:p>
            <w:pPr>
              <w:spacing w:after="0"/>
              <w:rPr>
                <w:sz w:val="18"/>
                <w:szCs w:val="18"/>
                <w:color w:val="auto"/>
              </w:rPr>
            </w:pPr>
          </w:p>
        </w:tc>
        <w:tc>
          <w:tcPr>
            <w:tcW w:w="480" w:type="dxa"/>
            <w:vAlign w:val="bottom"/>
            <w:shd w:val="clear" w:color="auto" w:fill="EDEDED"/>
          </w:tcPr>
          <w:p>
            <w:pPr>
              <w:spacing w:after="0"/>
              <w:rPr>
                <w:sz w:val="18"/>
                <w:szCs w:val="18"/>
                <w:color w:val="auto"/>
              </w:rPr>
            </w:pPr>
          </w:p>
        </w:tc>
        <w:tc>
          <w:tcPr>
            <w:tcW w:w="760" w:type="dxa"/>
            <w:vAlign w:val="bottom"/>
            <w:shd w:val="clear" w:color="auto" w:fill="EDEDED"/>
          </w:tcPr>
          <w:p>
            <w:pPr>
              <w:spacing w:after="0"/>
              <w:rPr>
                <w:sz w:val="18"/>
                <w:szCs w:val="18"/>
                <w:color w:val="auto"/>
              </w:rPr>
            </w:pPr>
          </w:p>
        </w:tc>
        <w:tc>
          <w:tcPr>
            <w:tcW w:w="204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of the Board</w:t>
            </w:r>
          </w:p>
        </w:tc>
        <w:tc>
          <w:tcPr>
            <w:tcW w:w="1020" w:type="dxa"/>
            <w:vAlign w:val="bottom"/>
            <w:shd w:val="clear" w:color="auto" w:fill="EDEDED"/>
          </w:tcPr>
          <w:p>
            <w:pPr>
              <w:spacing w:after="0"/>
              <w:rPr>
                <w:sz w:val="18"/>
                <w:szCs w:val="18"/>
                <w:color w:val="auto"/>
              </w:rPr>
            </w:pPr>
          </w:p>
        </w:tc>
        <w:tc>
          <w:tcPr>
            <w:tcW w:w="4360" w:type="dxa"/>
            <w:vAlign w:val="bottom"/>
            <w:shd w:val="clear" w:color="auto" w:fill="EDEDED"/>
          </w:tcPr>
          <w:p>
            <w:pPr>
              <w:spacing w:after="0"/>
              <w:rPr>
                <w:sz w:val="18"/>
                <w:szCs w:val="18"/>
                <w:color w:val="auto"/>
              </w:rPr>
            </w:pPr>
          </w:p>
        </w:tc>
      </w:tr>
      <w:tr>
        <w:trPr>
          <w:trHeight w:val="205"/>
        </w:trPr>
        <w:tc>
          <w:tcPr>
            <w:tcW w:w="2360" w:type="dxa"/>
            <w:vAlign w:val="bottom"/>
            <w:shd w:val="clear" w:color="auto" w:fill="EDEDED"/>
          </w:tcPr>
          <w:p>
            <w:pPr>
              <w:spacing w:after="0"/>
              <w:rPr>
                <w:sz w:val="17"/>
                <w:szCs w:val="17"/>
                <w:color w:val="auto"/>
              </w:rPr>
            </w:pPr>
          </w:p>
        </w:tc>
        <w:tc>
          <w:tcPr>
            <w:tcW w:w="480" w:type="dxa"/>
            <w:vAlign w:val="bottom"/>
            <w:shd w:val="clear" w:color="auto" w:fill="EDEDED"/>
          </w:tcPr>
          <w:p>
            <w:pPr>
              <w:spacing w:after="0"/>
              <w:rPr>
                <w:sz w:val="17"/>
                <w:szCs w:val="17"/>
                <w:color w:val="auto"/>
              </w:rPr>
            </w:pPr>
          </w:p>
        </w:tc>
        <w:tc>
          <w:tcPr>
            <w:tcW w:w="760" w:type="dxa"/>
            <w:vAlign w:val="bottom"/>
            <w:shd w:val="clear" w:color="auto" w:fill="EDEDED"/>
          </w:tcPr>
          <w:p>
            <w:pPr>
              <w:spacing w:after="0"/>
              <w:rPr>
                <w:sz w:val="17"/>
                <w:szCs w:val="17"/>
                <w:color w:val="auto"/>
              </w:rPr>
            </w:pPr>
          </w:p>
        </w:tc>
        <w:tc>
          <w:tcPr>
            <w:tcW w:w="2040" w:type="dxa"/>
            <w:vAlign w:val="bottom"/>
            <w:shd w:val="clear" w:color="auto" w:fill="EDEDED"/>
          </w:tcPr>
          <w:p>
            <w:pPr>
              <w:spacing w:after="0"/>
              <w:rPr>
                <w:sz w:val="17"/>
                <w:szCs w:val="17"/>
                <w:color w:val="auto"/>
              </w:rPr>
            </w:pPr>
          </w:p>
        </w:tc>
        <w:tc>
          <w:tcPr>
            <w:tcW w:w="1020" w:type="dxa"/>
            <w:vAlign w:val="bottom"/>
            <w:shd w:val="clear" w:color="auto" w:fill="EDEDED"/>
          </w:tcPr>
          <w:p>
            <w:pPr>
              <w:spacing w:after="0"/>
              <w:rPr>
                <w:sz w:val="17"/>
                <w:szCs w:val="17"/>
                <w:color w:val="auto"/>
              </w:rPr>
            </w:pPr>
          </w:p>
        </w:tc>
        <w:tc>
          <w:tcPr>
            <w:tcW w:w="4360" w:type="dxa"/>
            <w:vAlign w:val="bottom"/>
            <w:shd w:val="clear" w:color="auto" w:fill="EDEDED"/>
          </w:tcPr>
          <w:p>
            <w:pPr>
              <w:spacing w:after="0"/>
              <w:rPr>
                <w:sz w:val="17"/>
                <w:szCs w:val="17"/>
                <w:color w:val="auto"/>
              </w:rPr>
            </w:pPr>
          </w:p>
        </w:tc>
      </w:tr>
      <w:tr>
        <w:trPr>
          <w:trHeight w:val="229"/>
        </w:trPr>
        <w:tc>
          <w:tcPr>
            <w:tcW w:w="2360" w:type="dxa"/>
            <w:vAlign w:val="bottom"/>
          </w:tcPr>
          <w:p>
            <w:pPr>
              <w:ind w:left="680"/>
              <w:spacing w:after="0"/>
              <w:rPr>
                <w:sz w:val="20"/>
                <w:szCs w:val="20"/>
                <w:color w:val="auto"/>
              </w:rPr>
            </w:pPr>
            <w:r>
              <w:rPr>
                <w:rFonts w:ascii="Arial" w:cs="Arial" w:eastAsia="Arial" w:hAnsi="Arial"/>
                <w:sz w:val="16"/>
                <w:szCs w:val="16"/>
                <w:b w:val="1"/>
                <w:bCs w:val="1"/>
                <w:color w:val="auto"/>
              </w:rPr>
              <w:t>Peter W. Quigley</w:t>
            </w:r>
          </w:p>
        </w:tc>
        <w:tc>
          <w:tcPr>
            <w:tcW w:w="480" w:type="dxa"/>
            <w:vAlign w:val="bottom"/>
          </w:tcPr>
          <w:p>
            <w:pPr>
              <w:jc w:val="right"/>
              <w:spacing w:after="0"/>
              <w:rPr>
                <w:sz w:val="20"/>
                <w:szCs w:val="20"/>
                <w:color w:val="auto"/>
              </w:rPr>
            </w:pPr>
            <w:r>
              <w:rPr>
                <w:rFonts w:ascii="Arial" w:cs="Arial" w:eastAsia="Arial" w:hAnsi="Arial"/>
                <w:sz w:val="16"/>
                <w:szCs w:val="16"/>
                <w:color w:val="auto"/>
              </w:rPr>
              <w:t>61</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2019</w:t>
            </w:r>
          </w:p>
        </w:tc>
        <w:tc>
          <w:tcPr>
            <w:tcW w:w="2040" w:type="dxa"/>
            <w:vAlign w:val="bottom"/>
          </w:tcPr>
          <w:p>
            <w:pPr>
              <w:jc w:val="center"/>
              <w:spacing w:after="0"/>
              <w:rPr>
                <w:sz w:val="20"/>
                <w:szCs w:val="20"/>
                <w:color w:val="auto"/>
              </w:rPr>
            </w:pPr>
            <w:r>
              <w:rPr>
                <w:rFonts w:ascii="Arial" w:cs="Arial" w:eastAsia="Arial" w:hAnsi="Arial"/>
                <w:sz w:val="16"/>
                <w:szCs w:val="16"/>
                <w:color w:val="auto"/>
              </w:rPr>
              <w:t>President and Chief</w:t>
            </w:r>
          </w:p>
        </w:tc>
        <w:tc>
          <w:tcPr>
            <w:tcW w:w="102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215"/>
        </w:trPr>
        <w:tc>
          <w:tcPr>
            <w:tcW w:w="2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6"/>
                <w:szCs w:val="16"/>
                <w:color w:val="auto"/>
              </w:rPr>
              <w:t>Executive Officer (“CEO”)</w:t>
            </w:r>
          </w:p>
        </w:tc>
        <w:tc>
          <w:tcPr>
            <w:tcW w:w="1020" w:type="dxa"/>
            <w:vAlign w:val="bottom"/>
          </w:tcPr>
          <w:p>
            <w:pPr>
              <w:spacing w:after="0"/>
              <w:rPr>
                <w:sz w:val="18"/>
                <w:szCs w:val="18"/>
                <w:color w:val="auto"/>
              </w:rPr>
            </w:pPr>
          </w:p>
        </w:tc>
        <w:tc>
          <w:tcPr>
            <w:tcW w:w="4360" w:type="dxa"/>
            <w:vAlign w:val="bottom"/>
          </w:tcPr>
          <w:p>
            <w:pPr>
              <w:spacing w:after="0"/>
              <w:rPr>
                <w:sz w:val="18"/>
                <w:szCs w:val="18"/>
                <w:color w:val="auto"/>
              </w:rPr>
            </w:pPr>
          </w:p>
        </w:tc>
      </w:tr>
      <w:tr>
        <w:trPr>
          <w:trHeight w:val="204"/>
        </w:trPr>
        <w:tc>
          <w:tcPr>
            <w:tcW w:w="2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360" w:type="dxa"/>
            <w:vAlign w:val="bottom"/>
          </w:tcPr>
          <w:p>
            <w:pPr>
              <w:spacing w:after="0"/>
              <w:rPr>
                <w:sz w:val="17"/>
                <w:szCs w:val="17"/>
                <w:color w:val="auto"/>
              </w:rPr>
            </w:pPr>
          </w:p>
        </w:tc>
      </w:tr>
      <w:tr>
        <w:trPr>
          <w:trHeight w:val="229"/>
        </w:trPr>
        <w:tc>
          <w:tcPr>
            <w:tcW w:w="2360" w:type="dxa"/>
            <w:vAlign w:val="bottom"/>
            <w:shd w:val="clear" w:color="auto" w:fill="EDEDED"/>
          </w:tcPr>
          <w:p>
            <w:pPr>
              <w:ind w:left="680"/>
              <w:spacing w:after="0"/>
              <w:rPr>
                <w:sz w:val="20"/>
                <w:szCs w:val="20"/>
                <w:color w:val="auto"/>
              </w:rPr>
            </w:pPr>
            <w:r>
              <w:rPr>
                <w:rFonts w:ascii="Arial" w:cs="Arial" w:eastAsia="Arial" w:hAnsi="Arial"/>
                <w:sz w:val="16"/>
                <w:szCs w:val="16"/>
                <w:b w:val="1"/>
                <w:bCs w:val="1"/>
                <w:color w:val="auto"/>
              </w:rPr>
              <w:t>Gerald S. Adolph</w:t>
            </w:r>
          </w:p>
        </w:tc>
        <w:tc>
          <w:tcPr>
            <w:tcW w:w="480" w:type="dxa"/>
            <w:vAlign w:val="bottom"/>
            <w:shd w:val="clear" w:color="auto" w:fill="EDEDED"/>
          </w:tcPr>
          <w:p>
            <w:pPr>
              <w:jc w:val="right"/>
              <w:spacing w:after="0"/>
              <w:rPr>
                <w:sz w:val="20"/>
                <w:szCs w:val="20"/>
                <w:color w:val="auto"/>
              </w:rPr>
            </w:pPr>
            <w:r>
              <w:rPr>
                <w:rFonts w:ascii="Arial" w:cs="Arial" w:eastAsia="Arial" w:hAnsi="Arial"/>
                <w:sz w:val="16"/>
                <w:szCs w:val="16"/>
                <w:color w:val="auto"/>
              </w:rPr>
              <w:t>69</w:t>
            </w:r>
          </w:p>
        </w:tc>
        <w:tc>
          <w:tcPr>
            <w:tcW w:w="76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auto"/>
              </w:rPr>
              <w:t>2018</w:t>
            </w:r>
          </w:p>
        </w:tc>
        <w:tc>
          <w:tcPr>
            <w:tcW w:w="204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Director</w:t>
            </w:r>
          </w:p>
        </w:tc>
        <w:tc>
          <w:tcPr>
            <w:tcW w:w="1020" w:type="dxa"/>
            <w:vAlign w:val="bottom"/>
            <w:shd w:val="clear" w:color="auto" w:fill="EDEDED"/>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4360" w:type="dxa"/>
            <w:vAlign w:val="bottom"/>
            <w:shd w:val="clear" w:color="auto" w:fill="EDEDED"/>
          </w:tcPr>
          <w:p>
            <w:pPr>
              <w:ind w:left="60"/>
              <w:spacing w:after="0"/>
              <w:rPr>
                <w:sz w:val="20"/>
                <w:szCs w:val="20"/>
                <w:color w:val="auto"/>
              </w:rPr>
            </w:pPr>
            <w:r>
              <w:rPr>
                <w:rFonts w:ascii="Arial" w:cs="Arial" w:eastAsia="Arial" w:hAnsi="Arial"/>
                <w:sz w:val="16"/>
                <w:szCs w:val="16"/>
                <w:color w:val="auto"/>
              </w:rPr>
              <w:t>•   Audit</w:t>
            </w:r>
          </w:p>
        </w:tc>
      </w:tr>
      <w:tr>
        <w:trPr>
          <w:trHeight w:val="189"/>
        </w:trPr>
        <w:tc>
          <w:tcPr>
            <w:tcW w:w="2360" w:type="dxa"/>
            <w:vAlign w:val="bottom"/>
            <w:shd w:val="clear" w:color="auto" w:fill="EDEDED"/>
          </w:tcPr>
          <w:p>
            <w:pPr>
              <w:spacing w:after="0"/>
              <w:rPr>
                <w:sz w:val="16"/>
                <w:szCs w:val="16"/>
                <w:color w:val="auto"/>
              </w:rPr>
            </w:pPr>
          </w:p>
        </w:tc>
        <w:tc>
          <w:tcPr>
            <w:tcW w:w="480" w:type="dxa"/>
            <w:vAlign w:val="bottom"/>
            <w:shd w:val="clear" w:color="auto" w:fill="EDEDED"/>
          </w:tcPr>
          <w:p>
            <w:pPr>
              <w:spacing w:after="0"/>
              <w:rPr>
                <w:sz w:val="16"/>
                <w:szCs w:val="16"/>
                <w:color w:val="auto"/>
              </w:rPr>
            </w:pPr>
          </w:p>
        </w:tc>
        <w:tc>
          <w:tcPr>
            <w:tcW w:w="760" w:type="dxa"/>
            <w:vAlign w:val="bottom"/>
            <w:shd w:val="clear" w:color="auto" w:fill="EDEDED"/>
          </w:tcPr>
          <w:p>
            <w:pPr>
              <w:spacing w:after="0"/>
              <w:rPr>
                <w:sz w:val="16"/>
                <w:szCs w:val="16"/>
                <w:color w:val="auto"/>
              </w:rPr>
            </w:pPr>
          </w:p>
        </w:tc>
        <w:tc>
          <w:tcPr>
            <w:tcW w:w="2040" w:type="dxa"/>
            <w:vAlign w:val="bottom"/>
            <w:shd w:val="clear" w:color="auto" w:fill="EDEDED"/>
          </w:tcPr>
          <w:p>
            <w:pPr>
              <w:spacing w:after="0"/>
              <w:rPr>
                <w:sz w:val="16"/>
                <w:szCs w:val="16"/>
                <w:color w:val="auto"/>
              </w:rPr>
            </w:pPr>
          </w:p>
        </w:tc>
        <w:tc>
          <w:tcPr>
            <w:tcW w:w="1020" w:type="dxa"/>
            <w:vAlign w:val="bottom"/>
            <w:shd w:val="clear" w:color="auto" w:fill="EDEDED"/>
          </w:tcPr>
          <w:p>
            <w:pPr>
              <w:spacing w:after="0"/>
              <w:rPr>
                <w:sz w:val="16"/>
                <w:szCs w:val="16"/>
                <w:color w:val="auto"/>
              </w:rPr>
            </w:pPr>
          </w:p>
        </w:tc>
        <w:tc>
          <w:tcPr>
            <w:tcW w:w="4360" w:type="dxa"/>
            <w:vAlign w:val="bottom"/>
            <w:shd w:val="clear" w:color="auto" w:fill="EDEDED"/>
          </w:tcPr>
          <w:p>
            <w:pPr>
              <w:ind w:left="60"/>
              <w:spacing w:after="0"/>
              <w:rPr>
                <w:sz w:val="20"/>
                <w:szCs w:val="20"/>
                <w:color w:val="auto"/>
              </w:rPr>
            </w:pPr>
            <w:r>
              <w:rPr>
                <w:rFonts w:ascii="Arial" w:cs="Arial" w:eastAsia="Arial" w:hAnsi="Arial"/>
                <w:sz w:val="16"/>
                <w:szCs w:val="16"/>
                <w:color w:val="auto"/>
              </w:rPr>
              <w:t>•   Compensation and Talent Management</w:t>
            </w:r>
          </w:p>
        </w:tc>
      </w:tr>
      <w:tr>
        <w:trPr>
          <w:trHeight w:val="224"/>
        </w:trPr>
        <w:tc>
          <w:tcPr>
            <w:tcW w:w="2360" w:type="dxa"/>
            <w:vAlign w:val="bottom"/>
            <w:tcBorders>
              <w:bottom w:val="single" w:sz="8" w:color="EDEDED"/>
            </w:tcBorders>
            <w:shd w:val="clear" w:color="auto" w:fill="EDEDED"/>
          </w:tcPr>
          <w:p>
            <w:pPr>
              <w:spacing w:after="0"/>
              <w:rPr>
                <w:sz w:val="19"/>
                <w:szCs w:val="19"/>
                <w:color w:val="auto"/>
              </w:rPr>
            </w:pPr>
          </w:p>
        </w:tc>
        <w:tc>
          <w:tcPr>
            <w:tcW w:w="480" w:type="dxa"/>
            <w:vAlign w:val="bottom"/>
            <w:tcBorders>
              <w:bottom w:val="single" w:sz="8" w:color="EDEDED"/>
            </w:tcBorders>
            <w:shd w:val="clear" w:color="auto" w:fill="EDEDED"/>
          </w:tcPr>
          <w:p>
            <w:pPr>
              <w:spacing w:after="0"/>
              <w:rPr>
                <w:sz w:val="19"/>
                <w:szCs w:val="19"/>
                <w:color w:val="auto"/>
              </w:rPr>
            </w:pPr>
          </w:p>
        </w:tc>
        <w:tc>
          <w:tcPr>
            <w:tcW w:w="760" w:type="dxa"/>
            <w:vAlign w:val="bottom"/>
            <w:tcBorders>
              <w:bottom w:val="single" w:sz="8" w:color="EDEDED"/>
            </w:tcBorders>
            <w:shd w:val="clear" w:color="auto" w:fill="EDEDED"/>
          </w:tcPr>
          <w:p>
            <w:pPr>
              <w:spacing w:after="0"/>
              <w:rPr>
                <w:sz w:val="19"/>
                <w:szCs w:val="19"/>
                <w:color w:val="auto"/>
              </w:rPr>
            </w:pPr>
          </w:p>
        </w:tc>
        <w:tc>
          <w:tcPr>
            <w:tcW w:w="2040" w:type="dxa"/>
            <w:vAlign w:val="bottom"/>
            <w:tcBorders>
              <w:bottom w:val="single" w:sz="8" w:color="EDEDED"/>
            </w:tcBorders>
            <w:shd w:val="clear" w:color="auto" w:fill="EDEDED"/>
          </w:tcPr>
          <w:p>
            <w:pPr>
              <w:spacing w:after="0"/>
              <w:rPr>
                <w:sz w:val="19"/>
                <w:szCs w:val="19"/>
                <w:color w:val="auto"/>
              </w:rPr>
            </w:pPr>
          </w:p>
        </w:tc>
        <w:tc>
          <w:tcPr>
            <w:tcW w:w="1020" w:type="dxa"/>
            <w:vAlign w:val="bottom"/>
            <w:tcBorders>
              <w:bottom w:val="single" w:sz="8" w:color="EDEDED"/>
            </w:tcBorders>
            <w:shd w:val="clear" w:color="auto" w:fill="EDEDED"/>
          </w:tcPr>
          <w:p>
            <w:pPr>
              <w:spacing w:after="0"/>
              <w:rPr>
                <w:sz w:val="19"/>
                <w:szCs w:val="19"/>
                <w:color w:val="auto"/>
              </w:rPr>
            </w:pPr>
          </w:p>
        </w:tc>
        <w:tc>
          <w:tcPr>
            <w:tcW w:w="436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•   Corporate Governance and Nominating</w:t>
            </w:r>
          </w:p>
        </w:tc>
      </w:tr>
      <w:tr>
        <w:trPr>
          <w:trHeight w:val="276"/>
        </w:trPr>
        <w:tc>
          <w:tcPr>
            <w:tcW w:w="2360" w:type="dxa"/>
            <w:vAlign w:val="bottom"/>
          </w:tcPr>
          <w:p>
            <w:pPr>
              <w:ind w:left="680"/>
              <w:spacing w:after="0"/>
              <w:rPr>
                <w:sz w:val="20"/>
                <w:szCs w:val="20"/>
                <w:color w:val="auto"/>
              </w:rPr>
            </w:pPr>
            <w:r>
              <w:rPr>
                <w:rFonts w:ascii="Arial" w:cs="Arial" w:eastAsia="Arial" w:hAnsi="Arial"/>
                <w:sz w:val="16"/>
                <w:szCs w:val="16"/>
                <w:b w:val="1"/>
                <w:bCs w:val="1"/>
                <w:color w:val="auto"/>
              </w:rPr>
              <w:t>George S. Corona</w:t>
            </w:r>
          </w:p>
        </w:tc>
        <w:tc>
          <w:tcPr>
            <w:tcW w:w="480" w:type="dxa"/>
            <w:vAlign w:val="bottom"/>
          </w:tcPr>
          <w:p>
            <w:pPr>
              <w:jc w:val="right"/>
              <w:spacing w:after="0"/>
              <w:rPr>
                <w:sz w:val="20"/>
                <w:szCs w:val="20"/>
                <w:color w:val="auto"/>
              </w:rPr>
            </w:pPr>
            <w:r>
              <w:rPr>
                <w:rFonts w:ascii="Arial" w:cs="Arial" w:eastAsia="Arial" w:hAnsi="Arial"/>
                <w:sz w:val="16"/>
                <w:szCs w:val="16"/>
                <w:color w:val="auto"/>
              </w:rPr>
              <w:t>64</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2017</w:t>
            </w:r>
          </w:p>
        </w:tc>
        <w:tc>
          <w:tcPr>
            <w:tcW w:w="2040" w:type="dxa"/>
            <w:vAlign w:val="bottom"/>
          </w:tcPr>
          <w:p>
            <w:pPr>
              <w:jc w:val="center"/>
              <w:spacing w:after="0"/>
              <w:rPr>
                <w:sz w:val="20"/>
                <w:szCs w:val="20"/>
                <w:color w:val="auto"/>
              </w:rPr>
            </w:pPr>
            <w:r>
              <w:rPr>
                <w:rFonts w:ascii="Arial" w:cs="Arial" w:eastAsia="Arial" w:hAnsi="Arial"/>
                <w:sz w:val="16"/>
                <w:szCs w:val="16"/>
                <w:color w:val="auto"/>
              </w:rPr>
              <w:t>Director</w:t>
            </w:r>
          </w:p>
        </w:tc>
        <w:tc>
          <w:tcPr>
            <w:tcW w:w="10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386"/>
        </w:trPr>
        <w:tc>
          <w:tcPr>
            <w:tcW w:w="2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29"/>
        </w:trPr>
        <w:tc>
          <w:tcPr>
            <w:tcW w:w="2360" w:type="dxa"/>
            <w:vAlign w:val="bottom"/>
            <w:shd w:val="clear" w:color="auto" w:fill="EDEDED"/>
          </w:tcPr>
          <w:p>
            <w:pPr>
              <w:ind w:left="680"/>
              <w:spacing w:after="0"/>
              <w:rPr>
                <w:sz w:val="20"/>
                <w:szCs w:val="20"/>
                <w:color w:val="auto"/>
              </w:rPr>
            </w:pPr>
            <w:r>
              <w:rPr>
                <w:rFonts w:ascii="Arial" w:cs="Arial" w:eastAsia="Arial" w:hAnsi="Arial"/>
                <w:sz w:val="16"/>
                <w:szCs w:val="16"/>
                <w:b w:val="1"/>
                <w:bCs w:val="1"/>
                <w:color w:val="auto"/>
              </w:rPr>
              <w:t>Robert S. Cubbin</w:t>
            </w:r>
          </w:p>
        </w:tc>
        <w:tc>
          <w:tcPr>
            <w:tcW w:w="480" w:type="dxa"/>
            <w:vAlign w:val="bottom"/>
            <w:shd w:val="clear" w:color="auto" w:fill="EDEDED"/>
          </w:tcPr>
          <w:p>
            <w:pPr>
              <w:jc w:val="right"/>
              <w:spacing w:after="0"/>
              <w:rPr>
                <w:sz w:val="20"/>
                <w:szCs w:val="20"/>
                <w:color w:val="auto"/>
              </w:rPr>
            </w:pPr>
            <w:r>
              <w:rPr>
                <w:rFonts w:ascii="Arial" w:cs="Arial" w:eastAsia="Arial" w:hAnsi="Arial"/>
                <w:sz w:val="16"/>
                <w:szCs w:val="16"/>
                <w:color w:val="auto"/>
              </w:rPr>
              <w:t>65</w:t>
            </w:r>
          </w:p>
        </w:tc>
        <w:tc>
          <w:tcPr>
            <w:tcW w:w="76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auto"/>
              </w:rPr>
              <w:t>2014</w:t>
            </w:r>
          </w:p>
        </w:tc>
        <w:tc>
          <w:tcPr>
            <w:tcW w:w="204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Director</w:t>
            </w:r>
          </w:p>
        </w:tc>
        <w:tc>
          <w:tcPr>
            <w:tcW w:w="1020" w:type="dxa"/>
            <w:vAlign w:val="bottom"/>
            <w:shd w:val="clear" w:color="auto" w:fill="EDEDED"/>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4360" w:type="dxa"/>
            <w:vAlign w:val="bottom"/>
            <w:shd w:val="clear" w:color="auto" w:fill="EDEDED"/>
          </w:tcPr>
          <w:p>
            <w:pPr>
              <w:ind w:left="60"/>
              <w:spacing w:after="0"/>
              <w:rPr>
                <w:sz w:val="20"/>
                <w:szCs w:val="20"/>
                <w:color w:val="auto"/>
              </w:rPr>
            </w:pPr>
            <w:r>
              <w:rPr>
                <w:rFonts w:ascii="Arial" w:cs="Arial" w:eastAsia="Arial" w:hAnsi="Arial"/>
                <w:sz w:val="16"/>
                <w:szCs w:val="16"/>
                <w:color w:val="auto"/>
              </w:rPr>
              <w:t>•   Audit</w:t>
            </w:r>
          </w:p>
        </w:tc>
      </w:tr>
      <w:tr>
        <w:trPr>
          <w:trHeight w:val="189"/>
        </w:trPr>
        <w:tc>
          <w:tcPr>
            <w:tcW w:w="2360" w:type="dxa"/>
            <w:vAlign w:val="bottom"/>
            <w:shd w:val="clear" w:color="auto" w:fill="EDEDED"/>
          </w:tcPr>
          <w:p>
            <w:pPr>
              <w:spacing w:after="0"/>
              <w:rPr>
                <w:sz w:val="16"/>
                <w:szCs w:val="16"/>
                <w:color w:val="auto"/>
              </w:rPr>
            </w:pPr>
          </w:p>
        </w:tc>
        <w:tc>
          <w:tcPr>
            <w:tcW w:w="480" w:type="dxa"/>
            <w:vAlign w:val="bottom"/>
            <w:shd w:val="clear" w:color="auto" w:fill="EDEDED"/>
          </w:tcPr>
          <w:p>
            <w:pPr>
              <w:spacing w:after="0"/>
              <w:rPr>
                <w:sz w:val="16"/>
                <w:szCs w:val="16"/>
                <w:color w:val="auto"/>
              </w:rPr>
            </w:pPr>
          </w:p>
        </w:tc>
        <w:tc>
          <w:tcPr>
            <w:tcW w:w="760" w:type="dxa"/>
            <w:vAlign w:val="bottom"/>
            <w:shd w:val="clear" w:color="auto" w:fill="EDEDED"/>
          </w:tcPr>
          <w:p>
            <w:pPr>
              <w:spacing w:after="0"/>
              <w:rPr>
                <w:sz w:val="16"/>
                <w:szCs w:val="16"/>
                <w:color w:val="auto"/>
              </w:rPr>
            </w:pPr>
          </w:p>
        </w:tc>
        <w:tc>
          <w:tcPr>
            <w:tcW w:w="2040" w:type="dxa"/>
            <w:vAlign w:val="bottom"/>
            <w:shd w:val="clear" w:color="auto" w:fill="EDEDED"/>
          </w:tcPr>
          <w:p>
            <w:pPr>
              <w:spacing w:after="0"/>
              <w:rPr>
                <w:sz w:val="16"/>
                <w:szCs w:val="16"/>
                <w:color w:val="auto"/>
              </w:rPr>
            </w:pPr>
          </w:p>
        </w:tc>
        <w:tc>
          <w:tcPr>
            <w:tcW w:w="1020" w:type="dxa"/>
            <w:vAlign w:val="bottom"/>
            <w:shd w:val="clear" w:color="auto" w:fill="EDEDED"/>
          </w:tcPr>
          <w:p>
            <w:pPr>
              <w:spacing w:after="0"/>
              <w:rPr>
                <w:sz w:val="16"/>
                <w:szCs w:val="16"/>
                <w:color w:val="auto"/>
              </w:rPr>
            </w:pPr>
          </w:p>
        </w:tc>
        <w:tc>
          <w:tcPr>
            <w:tcW w:w="4360" w:type="dxa"/>
            <w:vAlign w:val="bottom"/>
            <w:shd w:val="clear" w:color="auto" w:fill="EDEDED"/>
          </w:tcPr>
          <w:p>
            <w:pPr>
              <w:ind w:left="60"/>
              <w:spacing w:after="0"/>
              <w:rPr>
                <w:sz w:val="20"/>
                <w:szCs w:val="20"/>
                <w:color w:val="auto"/>
              </w:rPr>
            </w:pPr>
            <w:r>
              <w:rPr>
                <w:rFonts w:ascii="Arial" w:cs="Arial" w:eastAsia="Arial" w:hAnsi="Arial"/>
                <w:sz w:val="16"/>
                <w:szCs w:val="16"/>
                <w:color w:val="auto"/>
              </w:rPr>
              <w:t>•   Compensation and Talent Management (Chair)</w:t>
            </w:r>
          </w:p>
        </w:tc>
      </w:tr>
      <w:tr>
        <w:trPr>
          <w:trHeight w:val="224"/>
        </w:trPr>
        <w:tc>
          <w:tcPr>
            <w:tcW w:w="2360" w:type="dxa"/>
            <w:vAlign w:val="bottom"/>
            <w:tcBorders>
              <w:bottom w:val="single" w:sz="8" w:color="EDEDED"/>
            </w:tcBorders>
            <w:shd w:val="clear" w:color="auto" w:fill="EDEDED"/>
          </w:tcPr>
          <w:p>
            <w:pPr>
              <w:spacing w:after="0"/>
              <w:rPr>
                <w:sz w:val="19"/>
                <w:szCs w:val="19"/>
                <w:color w:val="auto"/>
              </w:rPr>
            </w:pPr>
          </w:p>
        </w:tc>
        <w:tc>
          <w:tcPr>
            <w:tcW w:w="480" w:type="dxa"/>
            <w:vAlign w:val="bottom"/>
            <w:tcBorders>
              <w:bottom w:val="single" w:sz="8" w:color="EDEDED"/>
            </w:tcBorders>
            <w:shd w:val="clear" w:color="auto" w:fill="EDEDED"/>
          </w:tcPr>
          <w:p>
            <w:pPr>
              <w:spacing w:after="0"/>
              <w:rPr>
                <w:sz w:val="19"/>
                <w:szCs w:val="19"/>
                <w:color w:val="auto"/>
              </w:rPr>
            </w:pPr>
          </w:p>
        </w:tc>
        <w:tc>
          <w:tcPr>
            <w:tcW w:w="760" w:type="dxa"/>
            <w:vAlign w:val="bottom"/>
            <w:tcBorders>
              <w:bottom w:val="single" w:sz="8" w:color="EDEDED"/>
            </w:tcBorders>
            <w:shd w:val="clear" w:color="auto" w:fill="EDEDED"/>
          </w:tcPr>
          <w:p>
            <w:pPr>
              <w:spacing w:after="0"/>
              <w:rPr>
                <w:sz w:val="19"/>
                <w:szCs w:val="19"/>
                <w:color w:val="auto"/>
              </w:rPr>
            </w:pPr>
          </w:p>
        </w:tc>
        <w:tc>
          <w:tcPr>
            <w:tcW w:w="2040" w:type="dxa"/>
            <w:vAlign w:val="bottom"/>
            <w:tcBorders>
              <w:bottom w:val="single" w:sz="8" w:color="EDEDED"/>
            </w:tcBorders>
            <w:shd w:val="clear" w:color="auto" w:fill="EDEDED"/>
          </w:tcPr>
          <w:p>
            <w:pPr>
              <w:spacing w:after="0"/>
              <w:rPr>
                <w:sz w:val="19"/>
                <w:szCs w:val="19"/>
                <w:color w:val="auto"/>
              </w:rPr>
            </w:pPr>
          </w:p>
        </w:tc>
        <w:tc>
          <w:tcPr>
            <w:tcW w:w="1020" w:type="dxa"/>
            <w:vAlign w:val="bottom"/>
            <w:tcBorders>
              <w:bottom w:val="single" w:sz="8" w:color="EDEDED"/>
            </w:tcBorders>
            <w:shd w:val="clear" w:color="auto" w:fill="EDEDED"/>
          </w:tcPr>
          <w:p>
            <w:pPr>
              <w:spacing w:after="0"/>
              <w:rPr>
                <w:sz w:val="19"/>
                <w:szCs w:val="19"/>
                <w:color w:val="auto"/>
              </w:rPr>
            </w:pPr>
          </w:p>
        </w:tc>
        <w:tc>
          <w:tcPr>
            <w:tcW w:w="436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•   Corporate Governance and Nominating</w:t>
            </w:r>
          </w:p>
        </w:tc>
      </w:tr>
      <w:tr>
        <w:trPr>
          <w:trHeight w:val="229"/>
        </w:trPr>
        <w:tc>
          <w:tcPr>
            <w:tcW w:w="2360" w:type="dxa"/>
            <w:vAlign w:val="bottom"/>
          </w:tcPr>
          <w:p>
            <w:pPr>
              <w:ind w:left="680"/>
              <w:spacing w:after="0"/>
              <w:rPr>
                <w:sz w:val="20"/>
                <w:szCs w:val="20"/>
                <w:color w:val="auto"/>
              </w:rPr>
            </w:pPr>
            <w:r>
              <w:rPr>
                <w:rFonts w:ascii="Arial" w:cs="Arial" w:eastAsia="Arial" w:hAnsi="Arial"/>
                <w:sz w:val="16"/>
                <w:szCs w:val="16"/>
                <w:b w:val="1"/>
                <w:bCs w:val="1"/>
                <w:color w:val="auto"/>
              </w:rPr>
              <w:t>Amala Duggirala</w:t>
            </w:r>
          </w:p>
        </w:tc>
        <w:tc>
          <w:tcPr>
            <w:tcW w:w="480" w:type="dxa"/>
            <w:vAlign w:val="bottom"/>
          </w:tcPr>
          <w:p>
            <w:pPr>
              <w:jc w:val="right"/>
              <w:spacing w:after="0"/>
              <w:rPr>
                <w:sz w:val="20"/>
                <w:szCs w:val="20"/>
                <w:color w:val="auto"/>
              </w:rPr>
            </w:pPr>
            <w:r>
              <w:rPr>
                <w:rFonts w:ascii="Arial" w:cs="Arial" w:eastAsia="Arial" w:hAnsi="Arial"/>
                <w:sz w:val="16"/>
                <w:szCs w:val="16"/>
                <w:color w:val="auto"/>
              </w:rPr>
              <w:t>48</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2022</w:t>
            </w:r>
          </w:p>
        </w:tc>
        <w:tc>
          <w:tcPr>
            <w:tcW w:w="2040" w:type="dxa"/>
            <w:vAlign w:val="bottom"/>
          </w:tcPr>
          <w:p>
            <w:pPr>
              <w:jc w:val="center"/>
              <w:spacing w:after="0"/>
              <w:rPr>
                <w:sz w:val="20"/>
                <w:szCs w:val="20"/>
                <w:color w:val="auto"/>
              </w:rPr>
            </w:pPr>
            <w:r>
              <w:rPr>
                <w:rFonts w:ascii="Arial" w:cs="Arial" w:eastAsia="Arial" w:hAnsi="Arial"/>
                <w:sz w:val="16"/>
                <w:szCs w:val="16"/>
                <w:color w:val="auto"/>
              </w:rPr>
              <w:t>Director</w:t>
            </w:r>
          </w:p>
        </w:tc>
        <w:tc>
          <w:tcPr>
            <w:tcW w:w="10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4360" w:type="dxa"/>
            <w:vAlign w:val="bottom"/>
          </w:tcPr>
          <w:p>
            <w:pPr>
              <w:ind w:left="60"/>
              <w:spacing w:after="0"/>
              <w:rPr>
                <w:sz w:val="20"/>
                <w:szCs w:val="20"/>
                <w:color w:val="auto"/>
              </w:rPr>
            </w:pPr>
            <w:r>
              <w:rPr>
                <w:rFonts w:ascii="Arial" w:cs="Arial" w:eastAsia="Arial" w:hAnsi="Arial"/>
                <w:sz w:val="16"/>
                <w:szCs w:val="16"/>
                <w:color w:val="auto"/>
              </w:rPr>
              <w:t>•   Audit</w:t>
            </w:r>
          </w:p>
        </w:tc>
      </w:tr>
      <w:tr>
        <w:trPr>
          <w:trHeight w:val="215"/>
        </w:trPr>
        <w:tc>
          <w:tcPr>
            <w:tcW w:w="2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•   Corporate Governance and Nominating</w:t>
            </w:r>
          </w:p>
        </w:tc>
      </w:tr>
      <w:tr>
        <w:trPr>
          <w:trHeight w:val="205"/>
        </w:trPr>
        <w:tc>
          <w:tcPr>
            <w:tcW w:w="2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360" w:type="dxa"/>
            <w:vAlign w:val="bottom"/>
          </w:tcPr>
          <w:p>
            <w:pPr>
              <w:spacing w:after="0"/>
              <w:rPr>
                <w:sz w:val="17"/>
                <w:szCs w:val="17"/>
                <w:color w:val="auto"/>
              </w:rPr>
            </w:pPr>
          </w:p>
        </w:tc>
      </w:tr>
      <w:tr>
        <w:trPr>
          <w:trHeight w:val="229"/>
        </w:trPr>
        <w:tc>
          <w:tcPr>
            <w:tcW w:w="2360" w:type="dxa"/>
            <w:vAlign w:val="bottom"/>
            <w:shd w:val="clear" w:color="auto" w:fill="EDEDED"/>
          </w:tcPr>
          <w:p>
            <w:pPr>
              <w:ind w:left="680"/>
              <w:spacing w:after="0"/>
              <w:rPr>
                <w:sz w:val="20"/>
                <w:szCs w:val="20"/>
                <w:color w:val="auto"/>
              </w:rPr>
            </w:pPr>
            <w:r>
              <w:rPr>
                <w:rFonts w:ascii="Arial" w:cs="Arial" w:eastAsia="Arial" w:hAnsi="Arial"/>
                <w:sz w:val="16"/>
                <w:szCs w:val="16"/>
                <w:b w:val="1"/>
                <w:bCs w:val="1"/>
                <w:color w:val="auto"/>
              </w:rPr>
              <w:t>InaMarie F. Johnson</w:t>
            </w:r>
          </w:p>
        </w:tc>
        <w:tc>
          <w:tcPr>
            <w:tcW w:w="480" w:type="dxa"/>
            <w:vAlign w:val="bottom"/>
            <w:shd w:val="clear" w:color="auto" w:fill="EDEDED"/>
          </w:tcPr>
          <w:p>
            <w:pPr>
              <w:jc w:val="right"/>
              <w:spacing w:after="0"/>
              <w:rPr>
                <w:sz w:val="20"/>
                <w:szCs w:val="20"/>
                <w:color w:val="auto"/>
              </w:rPr>
            </w:pPr>
            <w:r>
              <w:rPr>
                <w:rFonts w:ascii="Arial" w:cs="Arial" w:eastAsia="Arial" w:hAnsi="Arial"/>
                <w:sz w:val="16"/>
                <w:szCs w:val="16"/>
                <w:color w:val="auto"/>
              </w:rPr>
              <w:t>58</w:t>
            </w:r>
          </w:p>
        </w:tc>
        <w:tc>
          <w:tcPr>
            <w:tcW w:w="76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auto"/>
              </w:rPr>
              <w:t>2022</w:t>
            </w:r>
          </w:p>
        </w:tc>
        <w:tc>
          <w:tcPr>
            <w:tcW w:w="204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Director</w:t>
            </w:r>
          </w:p>
        </w:tc>
        <w:tc>
          <w:tcPr>
            <w:tcW w:w="1020" w:type="dxa"/>
            <w:vAlign w:val="bottom"/>
            <w:shd w:val="clear" w:color="auto" w:fill="EDEDED"/>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4360" w:type="dxa"/>
            <w:vAlign w:val="bottom"/>
            <w:shd w:val="clear" w:color="auto" w:fill="EDEDED"/>
          </w:tcPr>
          <w:p>
            <w:pPr>
              <w:ind w:left="60"/>
              <w:spacing w:after="0"/>
              <w:rPr>
                <w:sz w:val="20"/>
                <w:szCs w:val="20"/>
                <w:color w:val="auto"/>
              </w:rPr>
            </w:pPr>
            <w:r>
              <w:rPr>
                <w:rFonts w:ascii="Arial" w:cs="Arial" w:eastAsia="Arial" w:hAnsi="Arial"/>
                <w:sz w:val="16"/>
                <w:szCs w:val="16"/>
                <w:color w:val="auto"/>
              </w:rPr>
              <w:t>•   Compensation and Talent Management</w:t>
            </w:r>
          </w:p>
        </w:tc>
      </w:tr>
      <w:tr>
        <w:trPr>
          <w:trHeight w:val="215"/>
        </w:trPr>
        <w:tc>
          <w:tcPr>
            <w:tcW w:w="2360" w:type="dxa"/>
            <w:vAlign w:val="bottom"/>
            <w:shd w:val="clear" w:color="auto" w:fill="EDEDED"/>
          </w:tcPr>
          <w:p>
            <w:pPr>
              <w:spacing w:after="0"/>
              <w:rPr>
                <w:sz w:val="18"/>
                <w:szCs w:val="18"/>
                <w:color w:val="auto"/>
              </w:rPr>
            </w:pPr>
          </w:p>
        </w:tc>
        <w:tc>
          <w:tcPr>
            <w:tcW w:w="480" w:type="dxa"/>
            <w:vAlign w:val="bottom"/>
            <w:shd w:val="clear" w:color="auto" w:fill="EDEDED"/>
          </w:tcPr>
          <w:p>
            <w:pPr>
              <w:spacing w:after="0"/>
              <w:rPr>
                <w:sz w:val="18"/>
                <w:szCs w:val="18"/>
                <w:color w:val="auto"/>
              </w:rPr>
            </w:pPr>
          </w:p>
        </w:tc>
        <w:tc>
          <w:tcPr>
            <w:tcW w:w="760" w:type="dxa"/>
            <w:vAlign w:val="bottom"/>
            <w:shd w:val="clear" w:color="auto" w:fill="EDEDED"/>
          </w:tcPr>
          <w:p>
            <w:pPr>
              <w:spacing w:after="0"/>
              <w:rPr>
                <w:sz w:val="18"/>
                <w:szCs w:val="18"/>
                <w:color w:val="auto"/>
              </w:rPr>
            </w:pPr>
          </w:p>
        </w:tc>
        <w:tc>
          <w:tcPr>
            <w:tcW w:w="2040" w:type="dxa"/>
            <w:vAlign w:val="bottom"/>
            <w:shd w:val="clear" w:color="auto" w:fill="EDEDED"/>
          </w:tcPr>
          <w:p>
            <w:pPr>
              <w:spacing w:after="0"/>
              <w:rPr>
                <w:sz w:val="18"/>
                <w:szCs w:val="18"/>
                <w:color w:val="auto"/>
              </w:rPr>
            </w:pPr>
          </w:p>
        </w:tc>
        <w:tc>
          <w:tcPr>
            <w:tcW w:w="1020" w:type="dxa"/>
            <w:vAlign w:val="bottom"/>
            <w:shd w:val="clear" w:color="auto" w:fill="EDEDED"/>
          </w:tcPr>
          <w:p>
            <w:pPr>
              <w:spacing w:after="0"/>
              <w:rPr>
                <w:sz w:val="18"/>
                <w:szCs w:val="18"/>
                <w:color w:val="auto"/>
              </w:rPr>
            </w:pPr>
          </w:p>
        </w:tc>
        <w:tc>
          <w:tcPr>
            <w:tcW w:w="4360" w:type="dxa"/>
            <w:vAlign w:val="bottom"/>
            <w:shd w:val="clear" w:color="auto" w:fill="EDEDED"/>
          </w:tcPr>
          <w:p>
            <w:pPr>
              <w:ind w:left="60"/>
              <w:spacing w:after="0"/>
              <w:rPr>
                <w:sz w:val="20"/>
                <w:szCs w:val="20"/>
                <w:color w:val="auto"/>
              </w:rPr>
            </w:pPr>
            <w:r>
              <w:rPr>
                <w:rFonts w:ascii="Arial" w:cs="Arial" w:eastAsia="Arial" w:hAnsi="Arial"/>
                <w:sz w:val="16"/>
                <w:szCs w:val="16"/>
                <w:color w:val="auto"/>
              </w:rPr>
              <w:t>•   Corporate Governance and Nominating</w:t>
            </w:r>
          </w:p>
        </w:tc>
      </w:tr>
      <w:tr>
        <w:trPr>
          <w:trHeight w:val="204"/>
        </w:trPr>
        <w:tc>
          <w:tcPr>
            <w:tcW w:w="2360" w:type="dxa"/>
            <w:vAlign w:val="bottom"/>
            <w:shd w:val="clear" w:color="auto" w:fill="EDEDED"/>
          </w:tcPr>
          <w:p>
            <w:pPr>
              <w:spacing w:after="0"/>
              <w:rPr>
                <w:sz w:val="17"/>
                <w:szCs w:val="17"/>
                <w:color w:val="auto"/>
              </w:rPr>
            </w:pPr>
          </w:p>
        </w:tc>
        <w:tc>
          <w:tcPr>
            <w:tcW w:w="480" w:type="dxa"/>
            <w:vAlign w:val="bottom"/>
            <w:shd w:val="clear" w:color="auto" w:fill="EDEDED"/>
          </w:tcPr>
          <w:p>
            <w:pPr>
              <w:spacing w:after="0"/>
              <w:rPr>
                <w:sz w:val="17"/>
                <w:szCs w:val="17"/>
                <w:color w:val="auto"/>
              </w:rPr>
            </w:pPr>
          </w:p>
        </w:tc>
        <w:tc>
          <w:tcPr>
            <w:tcW w:w="760" w:type="dxa"/>
            <w:vAlign w:val="bottom"/>
            <w:shd w:val="clear" w:color="auto" w:fill="EDEDED"/>
          </w:tcPr>
          <w:p>
            <w:pPr>
              <w:spacing w:after="0"/>
              <w:rPr>
                <w:sz w:val="17"/>
                <w:szCs w:val="17"/>
                <w:color w:val="auto"/>
              </w:rPr>
            </w:pPr>
          </w:p>
        </w:tc>
        <w:tc>
          <w:tcPr>
            <w:tcW w:w="2040" w:type="dxa"/>
            <w:vAlign w:val="bottom"/>
            <w:shd w:val="clear" w:color="auto" w:fill="EDEDED"/>
          </w:tcPr>
          <w:p>
            <w:pPr>
              <w:spacing w:after="0"/>
              <w:rPr>
                <w:sz w:val="17"/>
                <w:szCs w:val="17"/>
                <w:color w:val="auto"/>
              </w:rPr>
            </w:pPr>
          </w:p>
        </w:tc>
        <w:tc>
          <w:tcPr>
            <w:tcW w:w="1020" w:type="dxa"/>
            <w:vAlign w:val="bottom"/>
            <w:shd w:val="clear" w:color="auto" w:fill="EDEDED"/>
          </w:tcPr>
          <w:p>
            <w:pPr>
              <w:spacing w:after="0"/>
              <w:rPr>
                <w:sz w:val="17"/>
                <w:szCs w:val="17"/>
                <w:color w:val="auto"/>
              </w:rPr>
            </w:pPr>
          </w:p>
        </w:tc>
        <w:tc>
          <w:tcPr>
            <w:tcW w:w="4360" w:type="dxa"/>
            <w:vAlign w:val="bottom"/>
            <w:shd w:val="clear" w:color="auto" w:fill="EDEDED"/>
          </w:tcPr>
          <w:p>
            <w:pPr>
              <w:spacing w:after="0"/>
              <w:rPr>
                <w:sz w:val="17"/>
                <w:szCs w:val="17"/>
                <w:color w:val="auto"/>
              </w:rPr>
            </w:pPr>
          </w:p>
        </w:tc>
      </w:tr>
      <w:tr>
        <w:trPr>
          <w:trHeight w:val="229"/>
        </w:trPr>
        <w:tc>
          <w:tcPr>
            <w:tcW w:w="2360" w:type="dxa"/>
            <w:vAlign w:val="bottom"/>
          </w:tcPr>
          <w:p>
            <w:pPr>
              <w:ind w:left="680"/>
              <w:spacing w:after="0"/>
              <w:rPr>
                <w:sz w:val="20"/>
                <w:szCs w:val="20"/>
                <w:color w:val="auto"/>
              </w:rPr>
            </w:pPr>
            <w:r>
              <w:rPr>
                <w:rFonts w:ascii="Arial" w:cs="Arial" w:eastAsia="Arial" w:hAnsi="Arial"/>
                <w:sz w:val="16"/>
                <w:szCs w:val="16"/>
                <w:b w:val="1"/>
                <w:bCs w:val="1"/>
                <w:color w:val="auto"/>
              </w:rPr>
              <w:t>Terrence B. Larkin</w:t>
            </w:r>
          </w:p>
        </w:tc>
        <w:tc>
          <w:tcPr>
            <w:tcW w:w="480" w:type="dxa"/>
            <w:vAlign w:val="bottom"/>
          </w:tcPr>
          <w:p>
            <w:pPr>
              <w:jc w:val="right"/>
              <w:spacing w:after="0"/>
              <w:rPr>
                <w:sz w:val="20"/>
                <w:szCs w:val="20"/>
                <w:color w:val="auto"/>
              </w:rPr>
            </w:pPr>
            <w:r>
              <w:rPr>
                <w:rFonts w:ascii="Arial" w:cs="Arial" w:eastAsia="Arial" w:hAnsi="Arial"/>
                <w:sz w:val="16"/>
                <w:szCs w:val="16"/>
                <w:color w:val="auto"/>
              </w:rPr>
              <w:t>68</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2010</w:t>
            </w:r>
          </w:p>
        </w:tc>
        <w:tc>
          <w:tcPr>
            <w:tcW w:w="2040" w:type="dxa"/>
            <w:vAlign w:val="bottom"/>
          </w:tcPr>
          <w:p>
            <w:pPr>
              <w:jc w:val="center"/>
              <w:spacing w:after="0"/>
              <w:rPr>
                <w:sz w:val="20"/>
                <w:szCs w:val="20"/>
                <w:color w:val="auto"/>
              </w:rPr>
            </w:pPr>
            <w:r>
              <w:rPr>
                <w:rFonts w:ascii="Arial" w:cs="Arial" w:eastAsia="Arial" w:hAnsi="Arial"/>
                <w:sz w:val="16"/>
                <w:szCs w:val="16"/>
                <w:color w:val="auto"/>
              </w:rPr>
              <w:t>Director</w:t>
            </w:r>
          </w:p>
        </w:tc>
        <w:tc>
          <w:tcPr>
            <w:tcW w:w="10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4360" w:type="dxa"/>
            <w:vAlign w:val="bottom"/>
          </w:tcPr>
          <w:p>
            <w:pPr>
              <w:ind w:left="60"/>
              <w:spacing w:after="0"/>
              <w:rPr>
                <w:sz w:val="20"/>
                <w:szCs w:val="20"/>
                <w:color w:val="auto"/>
              </w:rPr>
            </w:pPr>
            <w:r>
              <w:rPr>
                <w:rFonts w:ascii="Arial" w:cs="Arial" w:eastAsia="Arial" w:hAnsi="Arial"/>
                <w:sz w:val="16"/>
                <w:szCs w:val="16"/>
                <w:color w:val="auto"/>
              </w:rPr>
              <w:t>•   Audit</w:t>
            </w:r>
          </w:p>
        </w:tc>
      </w:tr>
      <w:tr>
        <w:trPr>
          <w:trHeight w:val="215"/>
        </w:trPr>
        <w:tc>
          <w:tcPr>
            <w:tcW w:w="2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60" w:type="dxa"/>
            <w:vAlign w:val="bottom"/>
          </w:tcPr>
          <w:p>
            <w:pPr>
              <w:ind w:left="60"/>
              <w:spacing w:after="0"/>
              <w:rPr>
                <w:sz w:val="20"/>
                <w:szCs w:val="20"/>
                <w:color w:val="auto"/>
              </w:rPr>
            </w:pPr>
            <w:r>
              <w:rPr>
                <w:rFonts w:ascii="Arial" w:cs="Arial" w:eastAsia="Arial" w:hAnsi="Arial"/>
                <w:sz w:val="16"/>
                <w:szCs w:val="16"/>
                <w:color w:val="auto"/>
              </w:rPr>
              <w:t>•   Corporate Governance and Nominating (Chair)</w:t>
            </w:r>
          </w:p>
        </w:tc>
      </w:tr>
      <w:tr>
        <w:trPr>
          <w:trHeight w:val="205"/>
        </w:trPr>
        <w:tc>
          <w:tcPr>
            <w:tcW w:w="2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360" w:type="dxa"/>
            <w:vAlign w:val="bottom"/>
          </w:tcPr>
          <w:p>
            <w:pPr>
              <w:spacing w:after="0"/>
              <w:rPr>
                <w:sz w:val="17"/>
                <w:szCs w:val="17"/>
                <w:color w:val="auto"/>
              </w:rPr>
            </w:pPr>
          </w:p>
        </w:tc>
      </w:tr>
      <w:tr>
        <w:trPr>
          <w:trHeight w:val="229"/>
        </w:trPr>
        <w:tc>
          <w:tcPr>
            <w:tcW w:w="2360" w:type="dxa"/>
            <w:vAlign w:val="bottom"/>
            <w:shd w:val="clear" w:color="auto" w:fill="EDEDED"/>
          </w:tcPr>
          <w:p>
            <w:pPr>
              <w:ind w:left="680"/>
              <w:spacing w:after="0"/>
              <w:rPr>
                <w:sz w:val="20"/>
                <w:szCs w:val="20"/>
                <w:color w:val="auto"/>
              </w:rPr>
            </w:pPr>
            <w:r>
              <w:rPr>
                <w:rFonts w:ascii="Arial" w:cs="Arial" w:eastAsia="Arial" w:hAnsi="Arial"/>
                <w:sz w:val="16"/>
                <w:szCs w:val="16"/>
                <w:b w:val="1"/>
                <w:bCs w:val="1"/>
                <w:color w:val="auto"/>
              </w:rPr>
              <w:t>Leslie A. Murphy</w:t>
            </w:r>
          </w:p>
        </w:tc>
        <w:tc>
          <w:tcPr>
            <w:tcW w:w="480" w:type="dxa"/>
            <w:vAlign w:val="bottom"/>
            <w:shd w:val="clear" w:color="auto" w:fill="EDEDED"/>
          </w:tcPr>
          <w:p>
            <w:pPr>
              <w:jc w:val="right"/>
              <w:spacing w:after="0"/>
              <w:rPr>
                <w:sz w:val="20"/>
                <w:szCs w:val="20"/>
                <w:color w:val="auto"/>
              </w:rPr>
            </w:pPr>
            <w:r>
              <w:rPr>
                <w:rFonts w:ascii="Arial" w:cs="Arial" w:eastAsia="Arial" w:hAnsi="Arial"/>
                <w:sz w:val="16"/>
                <w:szCs w:val="16"/>
                <w:color w:val="auto"/>
              </w:rPr>
              <w:t>71</w:t>
            </w:r>
          </w:p>
        </w:tc>
        <w:tc>
          <w:tcPr>
            <w:tcW w:w="760" w:type="dxa"/>
            <w:vAlign w:val="bottom"/>
            <w:shd w:val="clear" w:color="auto" w:fill="EDEDED"/>
          </w:tcPr>
          <w:p>
            <w:pPr>
              <w:jc w:val="right"/>
              <w:ind w:right="41"/>
              <w:spacing w:after="0"/>
              <w:rPr>
                <w:sz w:val="20"/>
                <w:szCs w:val="20"/>
                <w:color w:val="auto"/>
              </w:rPr>
            </w:pPr>
            <w:r>
              <w:rPr>
                <w:rFonts w:ascii="Arial" w:cs="Arial" w:eastAsia="Arial" w:hAnsi="Arial"/>
                <w:sz w:val="16"/>
                <w:szCs w:val="16"/>
                <w:color w:val="auto"/>
              </w:rPr>
              <w:t>2008</w:t>
            </w:r>
          </w:p>
        </w:tc>
        <w:tc>
          <w:tcPr>
            <w:tcW w:w="204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Director</w:t>
            </w:r>
          </w:p>
        </w:tc>
        <w:tc>
          <w:tcPr>
            <w:tcW w:w="1020" w:type="dxa"/>
            <w:vAlign w:val="bottom"/>
            <w:shd w:val="clear" w:color="auto" w:fill="EDEDED"/>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4360" w:type="dxa"/>
            <w:vAlign w:val="bottom"/>
            <w:shd w:val="clear" w:color="auto" w:fill="EDEDED"/>
          </w:tcPr>
          <w:p>
            <w:pPr>
              <w:ind w:left="60"/>
              <w:spacing w:after="0"/>
              <w:rPr>
                <w:sz w:val="20"/>
                <w:szCs w:val="20"/>
                <w:color w:val="auto"/>
              </w:rPr>
            </w:pPr>
            <w:r>
              <w:rPr>
                <w:rFonts w:ascii="Arial" w:cs="Arial" w:eastAsia="Arial" w:hAnsi="Arial"/>
                <w:sz w:val="16"/>
                <w:szCs w:val="16"/>
                <w:color w:val="auto"/>
              </w:rPr>
              <w:t>•   Audit (Chair)</w:t>
            </w:r>
          </w:p>
        </w:tc>
      </w:tr>
      <w:tr>
        <w:trPr>
          <w:trHeight w:val="215"/>
        </w:trPr>
        <w:tc>
          <w:tcPr>
            <w:tcW w:w="2360" w:type="dxa"/>
            <w:vAlign w:val="bottom"/>
            <w:shd w:val="clear" w:color="auto" w:fill="EDEDED"/>
          </w:tcPr>
          <w:p>
            <w:pPr>
              <w:spacing w:after="0"/>
              <w:rPr>
                <w:sz w:val="18"/>
                <w:szCs w:val="18"/>
                <w:color w:val="auto"/>
              </w:rPr>
            </w:pPr>
          </w:p>
        </w:tc>
        <w:tc>
          <w:tcPr>
            <w:tcW w:w="480" w:type="dxa"/>
            <w:vAlign w:val="bottom"/>
            <w:shd w:val="clear" w:color="auto" w:fill="EDEDED"/>
          </w:tcPr>
          <w:p>
            <w:pPr>
              <w:spacing w:after="0"/>
              <w:rPr>
                <w:sz w:val="18"/>
                <w:szCs w:val="18"/>
                <w:color w:val="auto"/>
              </w:rPr>
            </w:pPr>
          </w:p>
        </w:tc>
        <w:tc>
          <w:tcPr>
            <w:tcW w:w="760" w:type="dxa"/>
            <w:vAlign w:val="bottom"/>
            <w:shd w:val="clear" w:color="auto" w:fill="EDEDED"/>
          </w:tcPr>
          <w:p>
            <w:pPr>
              <w:spacing w:after="0"/>
              <w:rPr>
                <w:sz w:val="18"/>
                <w:szCs w:val="18"/>
                <w:color w:val="auto"/>
              </w:rPr>
            </w:pPr>
          </w:p>
        </w:tc>
        <w:tc>
          <w:tcPr>
            <w:tcW w:w="2040" w:type="dxa"/>
            <w:vAlign w:val="bottom"/>
            <w:shd w:val="clear" w:color="auto" w:fill="EDEDED"/>
          </w:tcPr>
          <w:p>
            <w:pPr>
              <w:spacing w:after="0"/>
              <w:rPr>
                <w:sz w:val="18"/>
                <w:szCs w:val="18"/>
                <w:color w:val="auto"/>
              </w:rPr>
            </w:pPr>
          </w:p>
        </w:tc>
        <w:tc>
          <w:tcPr>
            <w:tcW w:w="1020" w:type="dxa"/>
            <w:vAlign w:val="bottom"/>
            <w:shd w:val="clear" w:color="auto" w:fill="EDEDED"/>
          </w:tcPr>
          <w:p>
            <w:pPr>
              <w:spacing w:after="0"/>
              <w:rPr>
                <w:sz w:val="18"/>
                <w:szCs w:val="18"/>
                <w:color w:val="auto"/>
              </w:rPr>
            </w:pPr>
          </w:p>
        </w:tc>
        <w:tc>
          <w:tcPr>
            <w:tcW w:w="4360" w:type="dxa"/>
            <w:vAlign w:val="bottom"/>
            <w:shd w:val="clear" w:color="auto" w:fill="EDEDED"/>
          </w:tcPr>
          <w:p>
            <w:pPr>
              <w:ind w:left="60"/>
              <w:spacing w:after="0"/>
              <w:rPr>
                <w:sz w:val="20"/>
                <w:szCs w:val="20"/>
                <w:color w:val="auto"/>
              </w:rPr>
            </w:pPr>
            <w:r>
              <w:rPr>
                <w:rFonts w:ascii="Arial" w:cs="Arial" w:eastAsia="Arial" w:hAnsi="Arial"/>
                <w:sz w:val="16"/>
                <w:szCs w:val="16"/>
                <w:color w:val="auto"/>
              </w:rPr>
              <w:t>•   Compensation and Talent Management</w:t>
            </w:r>
          </w:p>
        </w:tc>
      </w:tr>
      <w:tr>
        <w:trPr>
          <w:trHeight w:val="205"/>
        </w:trPr>
        <w:tc>
          <w:tcPr>
            <w:tcW w:w="2360" w:type="dxa"/>
            <w:vAlign w:val="bottom"/>
            <w:tcBorders>
              <w:bottom w:val="single" w:sz="8" w:color="auto"/>
            </w:tcBorders>
            <w:shd w:val="clear" w:color="auto" w:fill="EDEDED"/>
          </w:tcPr>
          <w:p>
            <w:pPr>
              <w:spacing w:after="0"/>
              <w:rPr>
                <w:sz w:val="17"/>
                <w:szCs w:val="17"/>
                <w:color w:val="auto"/>
              </w:rPr>
            </w:pPr>
          </w:p>
        </w:tc>
        <w:tc>
          <w:tcPr>
            <w:tcW w:w="480" w:type="dxa"/>
            <w:vAlign w:val="bottom"/>
            <w:tcBorders>
              <w:bottom w:val="single" w:sz="8" w:color="auto"/>
            </w:tcBorders>
            <w:shd w:val="clear" w:color="auto" w:fill="EDEDED"/>
          </w:tcPr>
          <w:p>
            <w:pPr>
              <w:spacing w:after="0"/>
              <w:rPr>
                <w:sz w:val="17"/>
                <w:szCs w:val="17"/>
                <w:color w:val="auto"/>
              </w:rPr>
            </w:pPr>
          </w:p>
        </w:tc>
        <w:tc>
          <w:tcPr>
            <w:tcW w:w="760" w:type="dxa"/>
            <w:vAlign w:val="bottom"/>
            <w:tcBorders>
              <w:bottom w:val="single" w:sz="8" w:color="auto"/>
            </w:tcBorders>
            <w:shd w:val="clear" w:color="auto" w:fill="EDEDED"/>
          </w:tcPr>
          <w:p>
            <w:pPr>
              <w:spacing w:after="0"/>
              <w:rPr>
                <w:sz w:val="17"/>
                <w:szCs w:val="17"/>
                <w:color w:val="auto"/>
              </w:rPr>
            </w:pPr>
          </w:p>
        </w:tc>
        <w:tc>
          <w:tcPr>
            <w:tcW w:w="2040" w:type="dxa"/>
            <w:vAlign w:val="bottom"/>
            <w:tcBorders>
              <w:bottom w:val="single" w:sz="8" w:color="auto"/>
            </w:tcBorders>
            <w:shd w:val="clear" w:color="auto" w:fill="EDEDED"/>
          </w:tcPr>
          <w:p>
            <w:pPr>
              <w:spacing w:after="0"/>
              <w:rPr>
                <w:sz w:val="17"/>
                <w:szCs w:val="17"/>
                <w:color w:val="auto"/>
              </w:rPr>
            </w:pPr>
          </w:p>
        </w:tc>
        <w:tc>
          <w:tcPr>
            <w:tcW w:w="1020" w:type="dxa"/>
            <w:vAlign w:val="bottom"/>
            <w:tcBorders>
              <w:bottom w:val="single" w:sz="8" w:color="auto"/>
            </w:tcBorders>
            <w:shd w:val="clear" w:color="auto" w:fill="EDEDED"/>
          </w:tcPr>
          <w:p>
            <w:pPr>
              <w:spacing w:after="0"/>
              <w:rPr>
                <w:sz w:val="17"/>
                <w:szCs w:val="17"/>
                <w:color w:val="auto"/>
              </w:rPr>
            </w:pPr>
          </w:p>
        </w:tc>
        <w:tc>
          <w:tcPr>
            <w:tcW w:w="4360" w:type="dxa"/>
            <w:vAlign w:val="bottom"/>
            <w:tcBorders>
              <w:bottom w:val="single" w:sz="8" w:color="auto"/>
            </w:tcBorders>
            <w:shd w:val="clear" w:color="auto" w:fill="EDEDED"/>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-3702685</wp:posOffset>
            </wp:positionV>
            <wp:extent cx="360045" cy="36772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0045" cy="3677285"/>
                    </a:xfrm>
                    <a:prstGeom prst="rect">
                      <a:avLst/>
                    </a:prstGeom>
                    <a:noFill/>
                  </pic:spPr>
                </pic:pic>
              </a:graphicData>
            </a:graphic>
          </wp:anchor>
        </w:drawing>
      </w:r>
    </w:p>
    <w:p>
      <w:pPr>
        <w:spacing w:after="0" w:line="102" w:lineRule="exact"/>
        <w:rPr>
          <w:sz w:val="20"/>
          <w:szCs w:val="20"/>
          <w:color w:val="auto"/>
        </w:rPr>
      </w:pPr>
    </w:p>
    <w:p>
      <w:pPr>
        <w:ind w:left="109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6682740</wp:posOffset>
            </wp:positionH>
            <wp:positionV relativeFrom="paragraph">
              <wp:posOffset>-142875</wp:posOffset>
            </wp:positionV>
            <wp:extent cx="8890" cy="2317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23177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-142875</wp:posOffset>
            </wp:positionV>
            <wp:extent cx="411480" cy="1968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Proxy Summary</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Corporate Governance Highlights</w:t>
      </w:r>
    </w:p>
    <w:p>
      <w:pPr>
        <w:spacing w:after="0" w:line="112" w:lineRule="exact"/>
        <w:rPr>
          <w:sz w:val="20"/>
          <w:szCs w:val="20"/>
          <w:color w:val="auto"/>
        </w:rPr>
      </w:pPr>
    </w:p>
    <w:p>
      <w:pPr>
        <w:ind w:left="120" w:right="300"/>
        <w:spacing w:after="0" w:line="286" w:lineRule="auto"/>
        <w:rPr>
          <w:sz w:val="20"/>
          <w:szCs w:val="20"/>
          <w:color w:val="auto"/>
        </w:rPr>
      </w:pPr>
      <w:r>
        <w:rPr>
          <w:rFonts w:ascii="Arial" w:cs="Arial" w:eastAsia="Arial" w:hAnsi="Arial"/>
          <w:sz w:val="16"/>
          <w:szCs w:val="16"/>
          <w:color w:val="auto"/>
        </w:rPr>
        <w:t>Kelly is committed to sound corporate governance as means of enhancing long-term shareholder value. The following table summarizes certain of our governance practices and processes.</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3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00AF41"/>
              </w:rPr>
              <w:t>Independence</w:t>
            </w:r>
          </w:p>
        </w:tc>
        <w:tc>
          <w:tcPr>
            <w:tcW w:w="44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00AF41"/>
              </w:rPr>
              <w:t>Accountability</w:t>
            </w:r>
          </w:p>
        </w:tc>
        <w:tc>
          <w:tcPr>
            <w:tcW w:w="4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00AF41"/>
              </w:rPr>
              <w:t>Best Practices</w:t>
            </w:r>
          </w:p>
        </w:tc>
      </w:tr>
      <w:tr>
        <w:trPr>
          <w:trHeight w:val="223"/>
        </w:trPr>
        <w:tc>
          <w:tcPr>
            <w:tcW w:w="320" w:type="dxa"/>
            <w:vAlign w:val="bottom"/>
          </w:tcPr>
          <w:p>
            <w:pPr>
              <w:ind w:left="160"/>
              <w:spacing w:after="0"/>
              <w:rPr>
                <w:sz w:val="20"/>
                <w:szCs w:val="20"/>
                <w:color w:val="auto"/>
              </w:rPr>
            </w:pPr>
            <w:r>
              <w:rPr>
                <w:rFonts w:ascii="Arial" w:cs="Arial" w:eastAsia="Arial" w:hAnsi="Arial"/>
                <w:sz w:val="14"/>
                <w:szCs w:val="14"/>
                <w:color w:val="auto"/>
                <w:w w:val="73"/>
              </w:rPr>
              <w:t>• </w:t>
            </w:r>
          </w:p>
        </w:tc>
        <w:tc>
          <w:tcPr>
            <w:tcW w:w="3320" w:type="dxa"/>
            <w:vAlign w:val="bottom"/>
          </w:tcPr>
          <w:p>
            <w:pPr>
              <w:ind w:left="60"/>
              <w:spacing w:after="0"/>
              <w:rPr>
                <w:sz w:val="20"/>
                <w:szCs w:val="20"/>
                <w:color w:val="auto"/>
              </w:rPr>
            </w:pPr>
            <w:r>
              <w:rPr>
                <w:rFonts w:ascii="Arial" w:cs="Arial" w:eastAsia="Arial" w:hAnsi="Arial"/>
                <w:sz w:val="16"/>
                <w:szCs w:val="16"/>
                <w:color w:val="auto"/>
              </w:rPr>
              <w:t> Majority independent Board (78%), including</w:t>
            </w:r>
          </w:p>
        </w:tc>
        <w:tc>
          <w:tcPr>
            <w:tcW w:w="440" w:type="dxa"/>
            <w:vAlign w:val="bottom"/>
          </w:tcPr>
          <w:p>
            <w:pPr>
              <w:ind w:left="280"/>
              <w:spacing w:after="0"/>
              <w:rPr>
                <w:sz w:val="20"/>
                <w:szCs w:val="20"/>
                <w:color w:val="auto"/>
              </w:rPr>
            </w:pPr>
            <w:r>
              <w:rPr>
                <w:rFonts w:ascii="Arial" w:cs="Arial" w:eastAsia="Arial" w:hAnsi="Arial"/>
                <w:sz w:val="14"/>
                <w:szCs w:val="14"/>
                <w:color w:val="auto"/>
                <w:w w:val="73"/>
              </w:rPr>
              <w:t>• </w:t>
            </w:r>
          </w:p>
        </w:tc>
        <w:tc>
          <w:tcPr>
            <w:tcW w:w="3340" w:type="dxa"/>
            <w:vAlign w:val="bottom"/>
          </w:tcPr>
          <w:p>
            <w:pPr>
              <w:ind w:left="40"/>
              <w:spacing w:after="0"/>
              <w:rPr>
                <w:sz w:val="20"/>
                <w:szCs w:val="20"/>
                <w:color w:val="auto"/>
              </w:rPr>
            </w:pPr>
            <w:r>
              <w:rPr>
                <w:rFonts w:ascii="Arial" w:cs="Arial" w:eastAsia="Arial" w:hAnsi="Arial"/>
                <w:sz w:val="16"/>
                <w:szCs w:val="16"/>
                <w:color w:val="auto"/>
              </w:rPr>
              <w:t> Annual election of all directors, including</w:t>
            </w:r>
          </w:p>
        </w:tc>
        <w:tc>
          <w:tcPr>
            <w:tcW w:w="400" w:type="dxa"/>
            <w:vAlign w:val="bottom"/>
          </w:tcPr>
          <w:p>
            <w:pPr>
              <w:ind w:left="240"/>
              <w:spacing w:after="0"/>
              <w:rPr>
                <w:sz w:val="20"/>
                <w:szCs w:val="20"/>
                <w:color w:val="auto"/>
              </w:rPr>
            </w:pPr>
            <w:r>
              <w:rPr>
                <w:rFonts w:ascii="Arial" w:cs="Arial" w:eastAsia="Arial" w:hAnsi="Arial"/>
                <w:sz w:val="14"/>
                <w:szCs w:val="14"/>
                <w:color w:val="auto"/>
                <w:w w:val="73"/>
              </w:rPr>
              <w:t>• </w:t>
            </w:r>
          </w:p>
        </w:tc>
        <w:tc>
          <w:tcPr>
            <w:tcW w:w="3200" w:type="dxa"/>
            <w:vAlign w:val="bottom"/>
          </w:tcPr>
          <w:p>
            <w:pPr>
              <w:ind w:left="40"/>
              <w:spacing w:after="0"/>
              <w:rPr>
                <w:sz w:val="20"/>
                <w:szCs w:val="20"/>
                <w:color w:val="auto"/>
              </w:rPr>
            </w:pPr>
            <w:r>
              <w:rPr>
                <w:rFonts w:ascii="Arial" w:cs="Arial" w:eastAsia="Arial" w:hAnsi="Arial"/>
                <w:sz w:val="16"/>
                <w:szCs w:val="16"/>
                <w:color w:val="auto"/>
              </w:rPr>
              <w:t> Robust director selection process resulting</w:t>
            </w:r>
          </w:p>
        </w:tc>
      </w:tr>
      <w:tr>
        <w:trPr>
          <w:trHeight w:val="189"/>
        </w:trPr>
        <w:tc>
          <w:tcPr>
            <w:tcW w:w="320" w:type="dxa"/>
            <w:vAlign w:val="bottom"/>
          </w:tcPr>
          <w:p>
            <w:pPr>
              <w:spacing w:after="0"/>
              <w:rPr>
                <w:sz w:val="16"/>
                <w:szCs w:val="16"/>
                <w:color w:val="auto"/>
              </w:rPr>
            </w:pPr>
          </w:p>
        </w:tc>
        <w:tc>
          <w:tcPr>
            <w:tcW w:w="3320" w:type="dxa"/>
            <w:vAlign w:val="bottom"/>
          </w:tcPr>
          <w:p>
            <w:pPr>
              <w:ind w:left="80"/>
              <w:spacing w:after="0"/>
              <w:rPr>
                <w:sz w:val="20"/>
                <w:szCs w:val="20"/>
                <w:color w:val="auto"/>
              </w:rPr>
            </w:pPr>
            <w:r>
              <w:rPr>
                <w:rFonts w:ascii="Arial" w:cs="Arial" w:eastAsia="Arial" w:hAnsi="Arial"/>
                <w:sz w:val="16"/>
                <w:szCs w:val="16"/>
                <w:color w:val="auto"/>
              </w:rPr>
              <w:t>independent Chairman of the Board</w:t>
            </w:r>
          </w:p>
        </w:tc>
        <w:tc>
          <w:tcPr>
            <w:tcW w:w="440" w:type="dxa"/>
            <w:vAlign w:val="bottom"/>
          </w:tcPr>
          <w:p>
            <w:pPr>
              <w:spacing w:after="0"/>
              <w:rPr>
                <w:sz w:val="16"/>
                <w:szCs w:val="16"/>
                <w:color w:val="auto"/>
              </w:rPr>
            </w:pPr>
          </w:p>
        </w:tc>
        <w:tc>
          <w:tcPr>
            <w:tcW w:w="3340" w:type="dxa"/>
            <w:vAlign w:val="bottom"/>
          </w:tcPr>
          <w:p>
            <w:pPr>
              <w:ind w:left="80"/>
              <w:spacing w:after="0"/>
              <w:rPr>
                <w:sz w:val="20"/>
                <w:szCs w:val="20"/>
                <w:color w:val="auto"/>
              </w:rPr>
            </w:pPr>
            <w:r>
              <w:rPr>
                <w:rFonts w:ascii="Arial" w:cs="Arial" w:eastAsia="Arial" w:hAnsi="Arial"/>
                <w:sz w:val="16"/>
                <w:szCs w:val="16"/>
                <w:color w:val="auto"/>
              </w:rPr>
              <w:t>Chairman of the Board</w:t>
            </w:r>
          </w:p>
        </w:tc>
        <w:tc>
          <w:tcPr>
            <w:tcW w:w="400" w:type="dxa"/>
            <w:vAlign w:val="bottom"/>
          </w:tcPr>
          <w:p>
            <w:pPr>
              <w:spacing w:after="0"/>
              <w:rPr>
                <w:sz w:val="16"/>
                <w:szCs w:val="16"/>
                <w:color w:val="auto"/>
              </w:rPr>
            </w:pPr>
          </w:p>
        </w:tc>
        <w:tc>
          <w:tcPr>
            <w:tcW w:w="3200" w:type="dxa"/>
            <w:vAlign w:val="bottom"/>
          </w:tcPr>
          <w:p>
            <w:pPr>
              <w:ind w:left="80"/>
              <w:spacing w:after="0"/>
              <w:rPr>
                <w:sz w:val="20"/>
                <w:szCs w:val="20"/>
                <w:color w:val="auto"/>
              </w:rPr>
            </w:pPr>
            <w:r>
              <w:rPr>
                <w:rFonts w:ascii="Arial" w:cs="Arial" w:eastAsia="Arial" w:hAnsi="Arial"/>
                <w:sz w:val="16"/>
                <w:szCs w:val="16"/>
                <w:color w:val="auto"/>
              </w:rPr>
              <w:t>in diverse Board relative to gender, race,</w:t>
            </w:r>
          </w:p>
        </w:tc>
      </w:tr>
      <w:tr>
        <w:trPr>
          <w:trHeight w:val="215"/>
        </w:trPr>
        <w:tc>
          <w:tcPr>
            <w:tcW w:w="3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0" w:type="dxa"/>
            <w:vAlign w:val="bottom"/>
          </w:tcPr>
          <w:p>
            <w:pPr>
              <w:ind w:left="80"/>
              <w:spacing w:after="0"/>
              <w:rPr>
                <w:sz w:val="20"/>
                <w:szCs w:val="20"/>
                <w:color w:val="auto"/>
              </w:rPr>
            </w:pPr>
            <w:r>
              <w:rPr>
                <w:rFonts w:ascii="Arial" w:cs="Arial" w:eastAsia="Arial" w:hAnsi="Arial"/>
                <w:sz w:val="16"/>
                <w:szCs w:val="16"/>
                <w:color w:val="auto"/>
              </w:rPr>
              <w:t>ethnicity, experience, and skills</w:t>
            </w:r>
          </w:p>
        </w:tc>
      </w:tr>
      <w:tr>
        <w:trPr>
          <w:trHeight w:val="56"/>
        </w:trPr>
        <w:tc>
          <w:tcPr>
            <w:tcW w:w="320" w:type="dxa"/>
            <w:vAlign w:val="bottom"/>
          </w:tcPr>
          <w:p>
            <w:pPr>
              <w:spacing w:after="0"/>
              <w:rPr>
                <w:sz w:val="4"/>
                <w:szCs w:val="4"/>
                <w:color w:val="auto"/>
              </w:rPr>
            </w:pPr>
          </w:p>
        </w:tc>
        <w:tc>
          <w:tcPr>
            <w:tcW w:w="3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0" w:type="dxa"/>
            <w:vAlign w:val="bottom"/>
          </w:tcPr>
          <w:p>
            <w:pPr>
              <w:spacing w:after="0"/>
              <w:rPr>
                <w:sz w:val="4"/>
                <w:szCs w:val="4"/>
                <w:color w:val="auto"/>
              </w:rPr>
            </w:pPr>
          </w:p>
        </w:tc>
      </w:tr>
      <w:tr>
        <w:trPr>
          <w:trHeight w:val="242"/>
        </w:trPr>
        <w:tc>
          <w:tcPr>
            <w:tcW w:w="320" w:type="dxa"/>
            <w:vAlign w:val="bottom"/>
            <w:shd w:val="clear" w:color="auto" w:fill="EDEDED"/>
          </w:tcPr>
          <w:p>
            <w:pPr>
              <w:ind w:left="160"/>
              <w:spacing w:after="0"/>
              <w:rPr>
                <w:sz w:val="20"/>
                <w:szCs w:val="20"/>
                <w:color w:val="auto"/>
              </w:rPr>
            </w:pPr>
            <w:r>
              <w:rPr>
                <w:rFonts w:ascii="Arial" w:cs="Arial" w:eastAsia="Arial" w:hAnsi="Arial"/>
                <w:sz w:val="14"/>
                <w:szCs w:val="14"/>
                <w:color w:val="auto"/>
                <w:w w:val="73"/>
              </w:rPr>
              <w:t>• </w:t>
            </w:r>
          </w:p>
        </w:tc>
        <w:tc>
          <w:tcPr>
            <w:tcW w:w="3320" w:type="dxa"/>
            <w:vAlign w:val="bottom"/>
            <w:shd w:val="clear" w:color="auto" w:fill="EDEDED"/>
          </w:tcPr>
          <w:p>
            <w:pPr>
              <w:ind w:left="60"/>
              <w:spacing w:after="0"/>
              <w:rPr>
                <w:sz w:val="20"/>
                <w:szCs w:val="20"/>
                <w:color w:val="auto"/>
              </w:rPr>
            </w:pPr>
            <w:r>
              <w:rPr>
                <w:rFonts w:ascii="Arial" w:cs="Arial" w:eastAsia="Arial" w:hAnsi="Arial"/>
                <w:sz w:val="16"/>
                <w:szCs w:val="16"/>
                <w:color w:val="auto"/>
              </w:rPr>
              <w:t> 100% Independent Board Committees</w:t>
            </w:r>
          </w:p>
        </w:tc>
        <w:tc>
          <w:tcPr>
            <w:tcW w:w="440" w:type="dxa"/>
            <w:vAlign w:val="bottom"/>
            <w:shd w:val="clear" w:color="auto" w:fill="EDEDED"/>
          </w:tcPr>
          <w:p>
            <w:pPr>
              <w:ind w:left="280"/>
              <w:spacing w:after="0"/>
              <w:rPr>
                <w:sz w:val="20"/>
                <w:szCs w:val="20"/>
                <w:color w:val="auto"/>
              </w:rPr>
            </w:pPr>
            <w:r>
              <w:rPr>
                <w:rFonts w:ascii="Arial" w:cs="Arial" w:eastAsia="Arial" w:hAnsi="Arial"/>
                <w:sz w:val="14"/>
                <w:szCs w:val="14"/>
                <w:color w:val="auto"/>
                <w:w w:val="73"/>
              </w:rPr>
              <w:t>• </w:t>
            </w:r>
          </w:p>
        </w:tc>
        <w:tc>
          <w:tcPr>
            <w:tcW w:w="3340" w:type="dxa"/>
            <w:vAlign w:val="bottom"/>
            <w:shd w:val="clear" w:color="auto" w:fill="EDEDED"/>
          </w:tcPr>
          <w:p>
            <w:pPr>
              <w:ind w:left="40"/>
              <w:spacing w:after="0"/>
              <w:rPr>
                <w:sz w:val="20"/>
                <w:szCs w:val="20"/>
                <w:color w:val="auto"/>
              </w:rPr>
            </w:pPr>
            <w:r>
              <w:rPr>
                <w:rFonts w:ascii="Arial" w:cs="Arial" w:eastAsia="Arial" w:hAnsi="Arial"/>
                <w:sz w:val="16"/>
                <w:szCs w:val="16"/>
                <w:color w:val="auto"/>
              </w:rPr>
              <w:t> Strong oversight of strategic planning,</w:t>
            </w:r>
          </w:p>
        </w:tc>
        <w:tc>
          <w:tcPr>
            <w:tcW w:w="400" w:type="dxa"/>
            <w:vAlign w:val="bottom"/>
            <w:shd w:val="clear" w:color="auto" w:fill="EDEDED"/>
          </w:tcPr>
          <w:p>
            <w:pPr>
              <w:ind w:left="240"/>
              <w:spacing w:after="0"/>
              <w:rPr>
                <w:sz w:val="20"/>
                <w:szCs w:val="20"/>
                <w:color w:val="auto"/>
              </w:rPr>
            </w:pPr>
            <w:r>
              <w:rPr>
                <w:rFonts w:ascii="Arial" w:cs="Arial" w:eastAsia="Arial" w:hAnsi="Arial"/>
                <w:sz w:val="14"/>
                <w:szCs w:val="14"/>
                <w:color w:val="auto"/>
                <w:w w:val="73"/>
              </w:rPr>
              <w:t>• </w:t>
            </w:r>
          </w:p>
        </w:tc>
        <w:tc>
          <w:tcPr>
            <w:tcW w:w="3200" w:type="dxa"/>
            <w:vAlign w:val="bottom"/>
            <w:shd w:val="clear" w:color="auto" w:fill="EDEDED"/>
          </w:tcPr>
          <w:p>
            <w:pPr>
              <w:ind w:left="40"/>
              <w:spacing w:after="0"/>
              <w:rPr>
                <w:sz w:val="20"/>
                <w:szCs w:val="20"/>
                <w:color w:val="auto"/>
              </w:rPr>
            </w:pPr>
            <w:r>
              <w:rPr>
                <w:rFonts w:ascii="Arial" w:cs="Arial" w:eastAsia="Arial" w:hAnsi="Arial"/>
                <w:sz w:val="16"/>
                <w:szCs w:val="16"/>
                <w:color w:val="auto"/>
              </w:rPr>
              <w:t> Board attendance of 96% during 2022</w:t>
            </w:r>
          </w:p>
        </w:tc>
      </w:tr>
      <w:tr>
        <w:trPr>
          <w:trHeight w:val="189"/>
        </w:trPr>
        <w:tc>
          <w:tcPr>
            <w:tcW w:w="320" w:type="dxa"/>
            <w:vAlign w:val="bottom"/>
            <w:shd w:val="clear" w:color="auto" w:fill="EDEDED"/>
          </w:tcPr>
          <w:p>
            <w:pPr>
              <w:spacing w:after="0"/>
              <w:rPr>
                <w:sz w:val="16"/>
                <w:szCs w:val="16"/>
                <w:color w:val="auto"/>
              </w:rPr>
            </w:pPr>
          </w:p>
        </w:tc>
        <w:tc>
          <w:tcPr>
            <w:tcW w:w="3320" w:type="dxa"/>
            <w:vAlign w:val="bottom"/>
            <w:shd w:val="clear" w:color="auto" w:fill="EDEDED"/>
          </w:tcPr>
          <w:p>
            <w:pPr>
              <w:spacing w:after="0"/>
              <w:rPr>
                <w:sz w:val="16"/>
                <w:szCs w:val="16"/>
                <w:color w:val="auto"/>
              </w:rPr>
            </w:pPr>
          </w:p>
        </w:tc>
        <w:tc>
          <w:tcPr>
            <w:tcW w:w="440" w:type="dxa"/>
            <w:vAlign w:val="bottom"/>
            <w:shd w:val="clear" w:color="auto" w:fill="EDEDED"/>
          </w:tcPr>
          <w:p>
            <w:pPr>
              <w:spacing w:after="0"/>
              <w:rPr>
                <w:sz w:val="16"/>
                <w:szCs w:val="16"/>
                <w:color w:val="auto"/>
              </w:rPr>
            </w:pPr>
          </w:p>
        </w:tc>
        <w:tc>
          <w:tcPr>
            <w:tcW w:w="3340" w:type="dxa"/>
            <w:vAlign w:val="bottom"/>
            <w:shd w:val="clear" w:color="auto" w:fill="EDEDED"/>
          </w:tcPr>
          <w:p>
            <w:pPr>
              <w:ind w:left="80"/>
              <w:spacing w:after="0"/>
              <w:rPr>
                <w:sz w:val="20"/>
                <w:szCs w:val="20"/>
                <w:color w:val="auto"/>
              </w:rPr>
            </w:pPr>
            <w:r>
              <w:rPr>
                <w:rFonts w:ascii="Arial" w:cs="Arial" w:eastAsia="Arial" w:hAnsi="Arial"/>
                <w:sz w:val="16"/>
                <w:szCs w:val="16"/>
                <w:color w:val="auto"/>
              </w:rPr>
              <w:t>objectives, and financial performance</w:t>
            </w:r>
          </w:p>
        </w:tc>
        <w:tc>
          <w:tcPr>
            <w:tcW w:w="400" w:type="dxa"/>
            <w:vAlign w:val="bottom"/>
            <w:shd w:val="clear" w:color="auto" w:fill="EDEDED"/>
          </w:tcPr>
          <w:p>
            <w:pPr>
              <w:spacing w:after="0"/>
              <w:rPr>
                <w:sz w:val="16"/>
                <w:szCs w:val="16"/>
                <w:color w:val="auto"/>
              </w:rPr>
            </w:pPr>
          </w:p>
        </w:tc>
        <w:tc>
          <w:tcPr>
            <w:tcW w:w="3200" w:type="dxa"/>
            <w:vAlign w:val="bottom"/>
            <w:shd w:val="clear" w:color="auto" w:fill="EDEDED"/>
          </w:tcPr>
          <w:p>
            <w:pPr>
              <w:spacing w:after="0"/>
              <w:rPr>
                <w:sz w:val="16"/>
                <w:szCs w:val="16"/>
                <w:color w:val="auto"/>
              </w:rPr>
            </w:pPr>
          </w:p>
        </w:tc>
      </w:tr>
      <w:tr>
        <w:trPr>
          <w:trHeight w:val="189"/>
        </w:trPr>
        <w:tc>
          <w:tcPr>
            <w:tcW w:w="320" w:type="dxa"/>
            <w:vAlign w:val="bottom"/>
            <w:shd w:val="clear" w:color="auto" w:fill="EDEDED"/>
          </w:tcPr>
          <w:p>
            <w:pPr>
              <w:spacing w:after="0"/>
              <w:rPr>
                <w:sz w:val="16"/>
                <w:szCs w:val="16"/>
                <w:color w:val="auto"/>
              </w:rPr>
            </w:pPr>
          </w:p>
        </w:tc>
        <w:tc>
          <w:tcPr>
            <w:tcW w:w="3320" w:type="dxa"/>
            <w:vAlign w:val="bottom"/>
            <w:shd w:val="clear" w:color="auto" w:fill="EDEDED"/>
          </w:tcPr>
          <w:p>
            <w:pPr>
              <w:spacing w:after="0"/>
              <w:rPr>
                <w:sz w:val="16"/>
                <w:szCs w:val="16"/>
                <w:color w:val="auto"/>
              </w:rPr>
            </w:pPr>
          </w:p>
        </w:tc>
        <w:tc>
          <w:tcPr>
            <w:tcW w:w="440" w:type="dxa"/>
            <w:vAlign w:val="bottom"/>
            <w:shd w:val="clear" w:color="auto" w:fill="EDEDED"/>
          </w:tcPr>
          <w:p>
            <w:pPr>
              <w:spacing w:after="0"/>
              <w:rPr>
                <w:sz w:val="16"/>
                <w:szCs w:val="16"/>
                <w:color w:val="auto"/>
              </w:rPr>
            </w:pPr>
          </w:p>
        </w:tc>
        <w:tc>
          <w:tcPr>
            <w:tcW w:w="3340" w:type="dxa"/>
            <w:vAlign w:val="bottom"/>
            <w:shd w:val="clear" w:color="auto" w:fill="EDEDED"/>
          </w:tcPr>
          <w:p>
            <w:pPr>
              <w:ind w:left="80"/>
              <w:spacing w:after="0"/>
              <w:rPr>
                <w:sz w:val="20"/>
                <w:szCs w:val="20"/>
                <w:color w:val="auto"/>
              </w:rPr>
            </w:pPr>
            <w:r>
              <w:rPr>
                <w:rFonts w:ascii="Arial" w:cs="Arial" w:eastAsia="Arial" w:hAnsi="Arial"/>
                <w:sz w:val="16"/>
                <w:szCs w:val="16"/>
                <w:color w:val="auto"/>
              </w:rPr>
              <w:t>including dedicated annual Board meeting</w:t>
            </w:r>
          </w:p>
        </w:tc>
        <w:tc>
          <w:tcPr>
            <w:tcW w:w="400" w:type="dxa"/>
            <w:vAlign w:val="bottom"/>
            <w:shd w:val="clear" w:color="auto" w:fill="EDEDED"/>
          </w:tcPr>
          <w:p>
            <w:pPr>
              <w:spacing w:after="0"/>
              <w:rPr>
                <w:sz w:val="16"/>
                <w:szCs w:val="16"/>
                <w:color w:val="auto"/>
              </w:rPr>
            </w:pPr>
          </w:p>
        </w:tc>
        <w:tc>
          <w:tcPr>
            <w:tcW w:w="3200" w:type="dxa"/>
            <w:vAlign w:val="bottom"/>
            <w:shd w:val="clear" w:color="auto" w:fill="EDEDED"/>
          </w:tcPr>
          <w:p>
            <w:pPr>
              <w:spacing w:after="0"/>
              <w:rPr>
                <w:sz w:val="16"/>
                <w:szCs w:val="16"/>
                <w:color w:val="auto"/>
              </w:rPr>
            </w:pPr>
          </w:p>
        </w:tc>
      </w:tr>
      <w:tr>
        <w:trPr>
          <w:trHeight w:val="215"/>
        </w:trPr>
        <w:tc>
          <w:tcPr>
            <w:tcW w:w="320" w:type="dxa"/>
            <w:vAlign w:val="bottom"/>
            <w:shd w:val="clear" w:color="auto" w:fill="EDEDED"/>
          </w:tcPr>
          <w:p>
            <w:pPr>
              <w:spacing w:after="0"/>
              <w:rPr>
                <w:sz w:val="18"/>
                <w:szCs w:val="18"/>
                <w:color w:val="auto"/>
              </w:rPr>
            </w:pPr>
          </w:p>
        </w:tc>
        <w:tc>
          <w:tcPr>
            <w:tcW w:w="3320" w:type="dxa"/>
            <w:vAlign w:val="bottom"/>
            <w:shd w:val="clear" w:color="auto" w:fill="EDEDED"/>
          </w:tcPr>
          <w:p>
            <w:pPr>
              <w:spacing w:after="0"/>
              <w:rPr>
                <w:sz w:val="18"/>
                <w:szCs w:val="18"/>
                <w:color w:val="auto"/>
              </w:rPr>
            </w:pPr>
          </w:p>
        </w:tc>
        <w:tc>
          <w:tcPr>
            <w:tcW w:w="440" w:type="dxa"/>
            <w:vAlign w:val="bottom"/>
            <w:shd w:val="clear" w:color="auto" w:fill="EDEDED"/>
          </w:tcPr>
          <w:p>
            <w:pPr>
              <w:spacing w:after="0"/>
              <w:rPr>
                <w:sz w:val="18"/>
                <w:szCs w:val="18"/>
                <w:color w:val="auto"/>
              </w:rPr>
            </w:pPr>
          </w:p>
        </w:tc>
        <w:tc>
          <w:tcPr>
            <w:tcW w:w="3340" w:type="dxa"/>
            <w:vAlign w:val="bottom"/>
            <w:shd w:val="clear" w:color="auto" w:fill="EDEDED"/>
          </w:tcPr>
          <w:p>
            <w:pPr>
              <w:ind w:left="80"/>
              <w:spacing w:after="0"/>
              <w:rPr>
                <w:sz w:val="20"/>
                <w:szCs w:val="20"/>
                <w:color w:val="auto"/>
              </w:rPr>
            </w:pPr>
            <w:r>
              <w:rPr>
                <w:rFonts w:ascii="Arial" w:cs="Arial" w:eastAsia="Arial" w:hAnsi="Arial"/>
                <w:sz w:val="16"/>
                <w:szCs w:val="16"/>
                <w:color w:val="auto"/>
              </w:rPr>
              <w:t>focused on strategic planning</w:t>
            </w:r>
          </w:p>
        </w:tc>
        <w:tc>
          <w:tcPr>
            <w:tcW w:w="400" w:type="dxa"/>
            <w:vAlign w:val="bottom"/>
            <w:shd w:val="clear" w:color="auto" w:fill="EDEDED"/>
          </w:tcPr>
          <w:p>
            <w:pPr>
              <w:spacing w:after="0"/>
              <w:rPr>
                <w:sz w:val="18"/>
                <w:szCs w:val="18"/>
                <w:color w:val="auto"/>
              </w:rPr>
            </w:pPr>
          </w:p>
        </w:tc>
        <w:tc>
          <w:tcPr>
            <w:tcW w:w="3200" w:type="dxa"/>
            <w:vAlign w:val="bottom"/>
            <w:shd w:val="clear" w:color="auto" w:fill="EDEDED"/>
          </w:tcPr>
          <w:p>
            <w:pPr>
              <w:spacing w:after="0"/>
              <w:rPr>
                <w:sz w:val="18"/>
                <w:szCs w:val="18"/>
                <w:color w:val="auto"/>
              </w:rPr>
            </w:pPr>
          </w:p>
        </w:tc>
      </w:tr>
      <w:tr>
        <w:trPr>
          <w:trHeight w:val="56"/>
        </w:trPr>
        <w:tc>
          <w:tcPr>
            <w:tcW w:w="320" w:type="dxa"/>
            <w:vAlign w:val="bottom"/>
            <w:shd w:val="clear" w:color="auto" w:fill="EDEDED"/>
          </w:tcPr>
          <w:p>
            <w:pPr>
              <w:spacing w:after="0"/>
              <w:rPr>
                <w:sz w:val="4"/>
                <w:szCs w:val="4"/>
                <w:color w:val="auto"/>
              </w:rPr>
            </w:pPr>
          </w:p>
        </w:tc>
        <w:tc>
          <w:tcPr>
            <w:tcW w:w="3320" w:type="dxa"/>
            <w:vAlign w:val="bottom"/>
            <w:shd w:val="clear" w:color="auto" w:fill="EDEDED"/>
          </w:tcPr>
          <w:p>
            <w:pPr>
              <w:spacing w:after="0"/>
              <w:rPr>
                <w:sz w:val="4"/>
                <w:szCs w:val="4"/>
                <w:color w:val="auto"/>
              </w:rPr>
            </w:pPr>
          </w:p>
        </w:tc>
        <w:tc>
          <w:tcPr>
            <w:tcW w:w="440" w:type="dxa"/>
            <w:vAlign w:val="bottom"/>
            <w:shd w:val="clear" w:color="auto" w:fill="EDEDED"/>
          </w:tcPr>
          <w:p>
            <w:pPr>
              <w:spacing w:after="0"/>
              <w:rPr>
                <w:sz w:val="4"/>
                <w:szCs w:val="4"/>
                <w:color w:val="auto"/>
              </w:rPr>
            </w:pPr>
          </w:p>
        </w:tc>
        <w:tc>
          <w:tcPr>
            <w:tcW w:w="3340" w:type="dxa"/>
            <w:vAlign w:val="bottom"/>
            <w:shd w:val="clear" w:color="auto" w:fill="EDEDED"/>
          </w:tcPr>
          <w:p>
            <w:pPr>
              <w:spacing w:after="0"/>
              <w:rPr>
                <w:sz w:val="4"/>
                <w:szCs w:val="4"/>
                <w:color w:val="auto"/>
              </w:rPr>
            </w:pPr>
          </w:p>
        </w:tc>
        <w:tc>
          <w:tcPr>
            <w:tcW w:w="400" w:type="dxa"/>
            <w:vAlign w:val="bottom"/>
            <w:shd w:val="clear" w:color="auto" w:fill="EDEDED"/>
          </w:tcPr>
          <w:p>
            <w:pPr>
              <w:spacing w:after="0"/>
              <w:rPr>
                <w:sz w:val="4"/>
                <w:szCs w:val="4"/>
                <w:color w:val="auto"/>
              </w:rPr>
            </w:pPr>
          </w:p>
        </w:tc>
        <w:tc>
          <w:tcPr>
            <w:tcW w:w="3200" w:type="dxa"/>
            <w:vAlign w:val="bottom"/>
            <w:shd w:val="clear" w:color="auto" w:fill="EDEDED"/>
          </w:tcPr>
          <w:p>
            <w:pPr>
              <w:spacing w:after="0"/>
              <w:rPr>
                <w:sz w:val="4"/>
                <w:szCs w:val="4"/>
                <w:color w:val="auto"/>
              </w:rPr>
            </w:pPr>
          </w:p>
        </w:tc>
      </w:tr>
    </w:tbl>
    <w:p>
      <w:pPr>
        <w:spacing w:after="0" w:line="53" w:lineRule="exact"/>
        <w:rPr>
          <w:sz w:val="20"/>
          <w:szCs w:val="20"/>
          <w:color w:val="auto"/>
        </w:rPr>
      </w:pPr>
    </w:p>
    <w:p>
      <w:pPr>
        <w:sectPr>
          <w:pgSz w:w="11900" w:h="16838" w:orient="portrait"/>
          <w:cols w:equalWidth="0" w:num="1">
            <w:col w:w="11140"/>
          </w:cols>
          <w:pgMar w:left="320" w:top="482" w:right="439" w:bottom="1440" w:gutter="0" w:footer="0" w:header="0"/>
        </w:sectPr>
      </w:pPr>
    </w:p>
    <w:p>
      <w:pPr>
        <w:ind w:left="520" w:right="420" w:hanging="242"/>
        <w:spacing w:after="0" w:line="286" w:lineRule="auto"/>
        <w:rPr>
          <w:sz w:val="20"/>
          <w:szCs w:val="20"/>
          <w:color w:val="auto"/>
        </w:rPr>
      </w:pPr>
      <w:r>
        <w:rPr>
          <w:rFonts w:ascii="Arial" w:cs="Arial" w:eastAsia="Arial" w:hAnsi="Arial"/>
          <w:sz w:val="16"/>
          <w:szCs w:val="16"/>
          <w:color w:val="auto"/>
        </w:rPr>
        <w:t>•   Diverse and highly skilled Board that provides a range of viewpoints</w:t>
      </w:r>
    </w:p>
    <w:p>
      <w:pPr>
        <w:spacing w:after="0" w:line="20" w:lineRule="exact"/>
        <w:rPr>
          <w:sz w:val="20"/>
          <w:szCs w:val="20"/>
          <w:color w:val="auto"/>
        </w:rPr>
      </w:pPr>
      <w:r>
        <w:rPr>
          <w:sz w:val="20"/>
          <w:szCs w:val="20"/>
          <w:color w:val="auto"/>
        </w:rPr>
        <w:br w:type="column"/>
      </w:r>
    </w:p>
    <w:p>
      <w:pPr>
        <w:ind w:right="140" w:hanging="242"/>
        <w:spacing w:after="0" w:line="286" w:lineRule="auto"/>
        <w:rPr>
          <w:sz w:val="20"/>
          <w:szCs w:val="20"/>
          <w:color w:val="auto"/>
        </w:rPr>
      </w:pPr>
      <w:r>
        <w:rPr>
          <w:rFonts w:ascii="Arial" w:cs="Arial" w:eastAsia="Arial" w:hAnsi="Arial"/>
          <w:sz w:val="16"/>
          <w:szCs w:val="16"/>
          <w:color w:val="auto"/>
        </w:rPr>
        <w:t>•   Annual evaluation of CEO (including compensation) by independent directors</w:t>
      </w:r>
    </w:p>
    <w:p>
      <w:pPr>
        <w:spacing w:after="0" w:line="20" w:lineRule="exact"/>
        <w:rPr>
          <w:sz w:val="20"/>
          <w:szCs w:val="20"/>
          <w:color w:val="auto"/>
        </w:rPr>
      </w:pPr>
      <w:r>
        <w:rPr>
          <w:sz w:val="20"/>
          <w:szCs w:val="20"/>
          <w:color w:val="auto"/>
        </w:rPr>
        <w:br w:type="column"/>
      </w:r>
    </w:p>
    <w:p>
      <w:pPr>
        <w:ind w:right="40" w:hanging="242"/>
        <w:spacing w:after="0" w:line="256" w:lineRule="auto"/>
        <w:rPr>
          <w:sz w:val="20"/>
          <w:szCs w:val="20"/>
          <w:color w:val="auto"/>
        </w:rPr>
      </w:pPr>
      <w:r>
        <w:rPr>
          <w:rFonts w:ascii="Arial" w:cs="Arial" w:eastAsia="Arial" w:hAnsi="Arial"/>
          <w:sz w:val="16"/>
          <w:szCs w:val="16"/>
          <w:color w:val="auto"/>
        </w:rPr>
        <w:t>•   Strong oversight of the integrity of the Company’s financial statements, as well as cybersecurity and Enterprise Risk Management (“ERM”) by the Board and Audit Committee</w:t>
      </w:r>
    </w:p>
    <w:p>
      <w:pPr>
        <w:spacing w:after="0" w:line="45" w:lineRule="exact"/>
        <w:rPr>
          <w:sz w:val="20"/>
          <w:szCs w:val="20"/>
          <w:color w:val="auto"/>
        </w:rPr>
      </w:pPr>
    </w:p>
    <w:p>
      <w:pPr>
        <w:sectPr>
          <w:pgSz w:w="11900" w:h="16838" w:orient="portrait"/>
          <w:cols w:equalWidth="0" w:num="3">
            <w:col w:w="3560" w:space="720"/>
            <w:col w:w="3020" w:space="720"/>
            <w:col w:w="312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242"/>
        </w:trPr>
        <w:tc>
          <w:tcPr>
            <w:tcW w:w="3640" w:type="dxa"/>
            <w:vAlign w:val="bottom"/>
            <w:shd w:val="clear" w:color="auto" w:fill="EDEDED"/>
          </w:tcPr>
          <w:p>
            <w:pPr>
              <w:ind w:left="160"/>
              <w:spacing w:after="0"/>
              <w:rPr>
                <w:sz w:val="20"/>
                <w:szCs w:val="20"/>
                <w:color w:val="auto"/>
              </w:rPr>
            </w:pPr>
            <w:r>
              <w:rPr>
                <w:rFonts w:ascii="Arial" w:cs="Arial" w:eastAsia="Arial" w:hAnsi="Arial"/>
                <w:sz w:val="16"/>
                <w:szCs w:val="16"/>
                <w:color w:val="auto"/>
              </w:rPr>
              <w:t>•    Frequent executive sessions where</w:t>
            </w:r>
          </w:p>
        </w:tc>
        <w:tc>
          <w:tcPr>
            <w:tcW w:w="3620" w:type="dxa"/>
            <w:vAlign w:val="bottom"/>
            <w:shd w:val="clear" w:color="auto" w:fill="EDEDED"/>
          </w:tcPr>
          <w:p>
            <w:pPr>
              <w:ind w:left="280"/>
              <w:spacing w:after="0"/>
              <w:rPr>
                <w:sz w:val="20"/>
                <w:szCs w:val="20"/>
                <w:color w:val="auto"/>
              </w:rPr>
            </w:pPr>
            <w:r>
              <w:rPr>
                <w:rFonts w:ascii="Arial" w:cs="Arial" w:eastAsia="Arial" w:hAnsi="Arial"/>
                <w:sz w:val="16"/>
                <w:szCs w:val="16"/>
                <w:color w:val="auto"/>
              </w:rPr>
              <w:t>•    Annual Board and Committee self-</w:t>
            </w:r>
          </w:p>
        </w:tc>
        <w:tc>
          <w:tcPr>
            <w:tcW w:w="3760" w:type="dxa"/>
            <w:vAlign w:val="bottom"/>
            <w:shd w:val="clear" w:color="auto" w:fill="EDEDED"/>
          </w:tcPr>
          <w:p>
            <w:pPr>
              <w:ind w:left="400"/>
              <w:spacing w:after="0"/>
              <w:rPr>
                <w:sz w:val="20"/>
                <w:szCs w:val="20"/>
                <w:color w:val="auto"/>
              </w:rPr>
            </w:pPr>
            <w:r>
              <w:rPr>
                <w:rFonts w:ascii="Arial" w:cs="Arial" w:eastAsia="Arial" w:hAnsi="Arial"/>
                <w:sz w:val="16"/>
                <w:szCs w:val="16"/>
                <w:color w:val="auto"/>
              </w:rPr>
              <w:t>•    CEO and executive leadership succession</w:t>
            </w:r>
          </w:p>
        </w:tc>
      </w:tr>
      <w:tr>
        <w:trPr>
          <w:trHeight w:val="189"/>
        </w:trPr>
        <w:tc>
          <w:tcPr>
            <w:tcW w:w="3640" w:type="dxa"/>
            <w:vAlign w:val="bottom"/>
            <w:shd w:val="clear" w:color="auto" w:fill="EDEDED"/>
          </w:tcPr>
          <w:p>
            <w:pPr>
              <w:ind w:left="400"/>
              <w:spacing w:after="0"/>
              <w:rPr>
                <w:sz w:val="20"/>
                <w:szCs w:val="20"/>
                <w:color w:val="auto"/>
              </w:rPr>
            </w:pPr>
            <w:r>
              <w:rPr>
                <w:rFonts w:ascii="Arial" w:cs="Arial" w:eastAsia="Arial" w:hAnsi="Arial"/>
                <w:sz w:val="16"/>
                <w:szCs w:val="16"/>
                <w:color w:val="auto"/>
              </w:rPr>
              <w:t>independent directors meet without</w:t>
            </w:r>
          </w:p>
        </w:tc>
        <w:tc>
          <w:tcPr>
            <w:tcW w:w="3620" w:type="dxa"/>
            <w:vAlign w:val="bottom"/>
            <w:shd w:val="clear" w:color="auto" w:fill="EDEDED"/>
          </w:tcPr>
          <w:p>
            <w:pPr>
              <w:ind w:left="520"/>
              <w:spacing w:after="0"/>
              <w:rPr>
                <w:sz w:val="20"/>
                <w:szCs w:val="20"/>
                <w:color w:val="auto"/>
              </w:rPr>
            </w:pPr>
            <w:r>
              <w:rPr>
                <w:rFonts w:ascii="Arial" w:cs="Arial" w:eastAsia="Arial" w:hAnsi="Arial"/>
                <w:sz w:val="16"/>
                <w:szCs w:val="16"/>
                <w:color w:val="auto"/>
              </w:rPr>
              <w:t>evaluations and bi-annual peer review</w:t>
            </w:r>
          </w:p>
        </w:tc>
        <w:tc>
          <w:tcPr>
            <w:tcW w:w="3760" w:type="dxa"/>
            <w:vAlign w:val="bottom"/>
            <w:shd w:val="clear" w:color="auto" w:fill="EDEDED"/>
          </w:tcPr>
          <w:p>
            <w:pPr>
              <w:ind w:left="640"/>
              <w:spacing w:after="0"/>
              <w:rPr>
                <w:sz w:val="20"/>
                <w:szCs w:val="20"/>
                <w:color w:val="auto"/>
              </w:rPr>
            </w:pPr>
            <w:r>
              <w:rPr>
                <w:rFonts w:ascii="Arial" w:cs="Arial" w:eastAsia="Arial" w:hAnsi="Arial"/>
                <w:sz w:val="16"/>
                <w:szCs w:val="16"/>
                <w:color w:val="auto"/>
              </w:rPr>
              <w:t>planning and annual talent review of key</w:t>
            </w:r>
          </w:p>
        </w:tc>
      </w:tr>
      <w:tr>
        <w:trPr>
          <w:trHeight w:val="189"/>
        </w:trPr>
        <w:tc>
          <w:tcPr>
            <w:tcW w:w="3640" w:type="dxa"/>
            <w:vAlign w:val="bottom"/>
            <w:shd w:val="clear" w:color="auto" w:fill="EDEDED"/>
          </w:tcPr>
          <w:p>
            <w:pPr>
              <w:ind w:left="400"/>
              <w:spacing w:after="0"/>
              <w:rPr>
                <w:sz w:val="20"/>
                <w:szCs w:val="20"/>
                <w:color w:val="auto"/>
              </w:rPr>
            </w:pPr>
            <w:r>
              <w:rPr>
                <w:rFonts w:ascii="Arial" w:cs="Arial" w:eastAsia="Arial" w:hAnsi="Arial"/>
                <w:sz w:val="16"/>
                <w:szCs w:val="16"/>
                <w:color w:val="auto"/>
              </w:rPr>
              <w:t>management and non-independent directors</w:t>
            </w:r>
          </w:p>
        </w:tc>
        <w:tc>
          <w:tcPr>
            <w:tcW w:w="3620" w:type="dxa"/>
            <w:vAlign w:val="bottom"/>
            <w:shd w:val="clear" w:color="auto" w:fill="EDEDED"/>
          </w:tcPr>
          <w:p>
            <w:pPr>
              <w:spacing w:after="0"/>
              <w:rPr>
                <w:sz w:val="16"/>
                <w:szCs w:val="16"/>
                <w:color w:val="auto"/>
              </w:rPr>
            </w:pPr>
          </w:p>
        </w:tc>
        <w:tc>
          <w:tcPr>
            <w:tcW w:w="3760" w:type="dxa"/>
            <w:vAlign w:val="bottom"/>
            <w:shd w:val="clear" w:color="auto" w:fill="EDEDED"/>
          </w:tcPr>
          <w:p>
            <w:pPr>
              <w:ind w:left="640"/>
              <w:spacing w:after="0"/>
              <w:rPr>
                <w:sz w:val="20"/>
                <w:szCs w:val="20"/>
                <w:color w:val="auto"/>
              </w:rPr>
            </w:pPr>
            <w:r>
              <w:rPr>
                <w:rFonts w:ascii="Arial" w:cs="Arial" w:eastAsia="Arial" w:hAnsi="Arial"/>
                <w:sz w:val="16"/>
                <w:szCs w:val="16"/>
                <w:color w:val="auto"/>
              </w:rPr>
              <w:t>and rising talent by the Board and</w:t>
            </w:r>
          </w:p>
        </w:tc>
      </w:tr>
      <w:tr>
        <w:trPr>
          <w:trHeight w:val="189"/>
        </w:trPr>
        <w:tc>
          <w:tcPr>
            <w:tcW w:w="3640" w:type="dxa"/>
            <w:vAlign w:val="bottom"/>
            <w:shd w:val="clear" w:color="auto" w:fill="EDEDED"/>
          </w:tcPr>
          <w:p>
            <w:pPr>
              <w:spacing w:after="0"/>
              <w:rPr>
                <w:sz w:val="16"/>
                <w:szCs w:val="16"/>
                <w:color w:val="auto"/>
              </w:rPr>
            </w:pPr>
          </w:p>
        </w:tc>
        <w:tc>
          <w:tcPr>
            <w:tcW w:w="3620" w:type="dxa"/>
            <w:vAlign w:val="bottom"/>
            <w:shd w:val="clear" w:color="auto" w:fill="EDEDED"/>
          </w:tcPr>
          <w:p>
            <w:pPr>
              <w:spacing w:after="0"/>
              <w:rPr>
                <w:sz w:val="16"/>
                <w:szCs w:val="16"/>
                <w:color w:val="auto"/>
              </w:rPr>
            </w:pPr>
          </w:p>
        </w:tc>
        <w:tc>
          <w:tcPr>
            <w:tcW w:w="3760" w:type="dxa"/>
            <w:vAlign w:val="bottom"/>
            <w:shd w:val="clear" w:color="auto" w:fill="EDEDED"/>
          </w:tcPr>
          <w:p>
            <w:pPr>
              <w:ind w:left="640"/>
              <w:spacing w:after="0"/>
              <w:rPr>
                <w:sz w:val="20"/>
                <w:szCs w:val="20"/>
                <w:color w:val="auto"/>
              </w:rPr>
            </w:pPr>
            <w:r>
              <w:rPr>
                <w:rFonts w:ascii="Arial" w:cs="Arial" w:eastAsia="Arial" w:hAnsi="Arial"/>
                <w:sz w:val="16"/>
                <w:szCs w:val="16"/>
                <w:color w:val="auto"/>
              </w:rPr>
              <w:t>Compensation and Talent Management</w:t>
            </w:r>
          </w:p>
        </w:tc>
      </w:tr>
      <w:tr>
        <w:trPr>
          <w:trHeight w:val="215"/>
        </w:trPr>
        <w:tc>
          <w:tcPr>
            <w:tcW w:w="3640" w:type="dxa"/>
            <w:vAlign w:val="bottom"/>
            <w:shd w:val="clear" w:color="auto" w:fill="EDEDED"/>
          </w:tcPr>
          <w:p>
            <w:pPr>
              <w:spacing w:after="0"/>
              <w:rPr>
                <w:sz w:val="18"/>
                <w:szCs w:val="18"/>
                <w:color w:val="auto"/>
              </w:rPr>
            </w:pPr>
          </w:p>
        </w:tc>
        <w:tc>
          <w:tcPr>
            <w:tcW w:w="3620" w:type="dxa"/>
            <w:vAlign w:val="bottom"/>
            <w:shd w:val="clear" w:color="auto" w:fill="EDEDED"/>
          </w:tcPr>
          <w:p>
            <w:pPr>
              <w:spacing w:after="0"/>
              <w:rPr>
                <w:sz w:val="18"/>
                <w:szCs w:val="18"/>
                <w:color w:val="auto"/>
              </w:rPr>
            </w:pPr>
          </w:p>
        </w:tc>
        <w:tc>
          <w:tcPr>
            <w:tcW w:w="3760" w:type="dxa"/>
            <w:vAlign w:val="bottom"/>
            <w:shd w:val="clear" w:color="auto" w:fill="EDEDED"/>
          </w:tcPr>
          <w:p>
            <w:pPr>
              <w:ind w:left="640"/>
              <w:spacing w:after="0"/>
              <w:rPr>
                <w:sz w:val="20"/>
                <w:szCs w:val="20"/>
                <w:color w:val="auto"/>
              </w:rPr>
            </w:pPr>
            <w:r>
              <w:rPr>
                <w:rFonts w:ascii="Arial" w:cs="Arial" w:eastAsia="Arial" w:hAnsi="Arial"/>
                <w:sz w:val="16"/>
                <w:szCs w:val="16"/>
                <w:color w:val="auto"/>
              </w:rPr>
              <w:t>Committee</w:t>
            </w:r>
          </w:p>
        </w:tc>
      </w:tr>
      <w:tr>
        <w:trPr>
          <w:trHeight w:val="56"/>
        </w:trPr>
        <w:tc>
          <w:tcPr>
            <w:tcW w:w="3640" w:type="dxa"/>
            <w:vAlign w:val="bottom"/>
            <w:shd w:val="clear" w:color="auto" w:fill="EDEDED"/>
          </w:tcPr>
          <w:p>
            <w:pPr>
              <w:spacing w:after="0"/>
              <w:rPr>
                <w:sz w:val="4"/>
                <w:szCs w:val="4"/>
                <w:color w:val="auto"/>
              </w:rPr>
            </w:pPr>
          </w:p>
        </w:tc>
        <w:tc>
          <w:tcPr>
            <w:tcW w:w="3620" w:type="dxa"/>
            <w:vAlign w:val="bottom"/>
            <w:shd w:val="clear" w:color="auto" w:fill="EDEDED"/>
          </w:tcPr>
          <w:p>
            <w:pPr>
              <w:spacing w:after="0"/>
              <w:rPr>
                <w:sz w:val="4"/>
                <w:szCs w:val="4"/>
                <w:color w:val="auto"/>
              </w:rPr>
            </w:pPr>
          </w:p>
        </w:tc>
        <w:tc>
          <w:tcPr>
            <w:tcW w:w="3760" w:type="dxa"/>
            <w:vAlign w:val="bottom"/>
            <w:shd w:val="clear" w:color="auto" w:fill="EDEDED"/>
          </w:tcPr>
          <w:p>
            <w:pPr>
              <w:spacing w:after="0"/>
              <w:rPr>
                <w:sz w:val="4"/>
                <w:szCs w:val="4"/>
                <w:color w:val="auto"/>
              </w:rPr>
            </w:pPr>
          </w:p>
        </w:tc>
      </w:tr>
    </w:tbl>
    <w:p>
      <w:pPr>
        <w:spacing w:after="0" w:line="53" w:lineRule="exact"/>
        <w:rPr>
          <w:sz w:val="20"/>
          <w:szCs w:val="20"/>
          <w:color w:val="auto"/>
        </w:rPr>
      </w:pPr>
    </w:p>
    <w:p>
      <w:pPr>
        <w:sectPr>
          <w:pgSz w:w="11900" w:h="16838" w:orient="portrait"/>
          <w:cols w:equalWidth="0" w:num="1">
            <w:col w:w="11140"/>
          </w:cols>
          <w:pgMar w:left="320" w:top="482" w:right="439" w:bottom="1440" w:gutter="0" w:footer="0" w:header="0"/>
          <w:type w:val="continuous"/>
        </w:sectPr>
      </w:pPr>
    </w:p>
    <w:p>
      <w:pPr>
        <w:ind w:left="520" w:right="140" w:hanging="242"/>
        <w:spacing w:after="0" w:line="286" w:lineRule="auto"/>
        <w:rPr>
          <w:sz w:val="20"/>
          <w:szCs w:val="20"/>
          <w:color w:val="auto"/>
        </w:rPr>
      </w:pPr>
      <w:r>
        <w:rPr>
          <w:rFonts w:ascii="Arial" w:cs="Arial" w:eastAsia="Arial" w:hAnsi="Arial"/>
          <w:sz w:val="16"/>
          <w:szCs w:val="16"/>
          <w:color w:val="auto"/>
        </w:rPr>
        <w:t>•   Director access to experts and advisors, both internal and external</w:t>
      </w:r>
    </w:p>
    <w:p>
      <w:pPr>
        <w:spacing w:after="0" w:line="20" w:lineRule="exact"/>
        <w:rPr>
          <w:sz w:val="20"/>
          <w:szCs w:val="20"/>
          <w:color w:val="auto"/>
        </w:rPr>
      </w:pPr>
      <w:r>
        <w:rPr>
          <w:sz w:val="20"/>
          <w:szCs w:val="20"/>
          <w:color w:val="auto"/>
        </w:rPr>
        <w:br w:type="column"/>
      </w:r>
    </w:p>
    <w:p>
      <w:pPr>
        <w:ind w:right="200" w:hanging="242"/>
        <w:spacing w:after="0" w:line="266" w:lineRule="auto"/>
        <w:rPr>
          <w:sz w:val="20"/>
          <w:szCs w:val="20"/>
          <w:color w:val="auto"/>
        </w:rPr>
      </w:pPr>
      <w:r>
        <w:rPr>
          <w:rFonts w:ascii="Arial" w:cs="Arial" w:eastAsia="Arial" w:hAnsi="Arial"/>
          <w:sz w:val="16"/>
          <w:szCs w:val="16"/>
          <w:color w:val="auto"/>
        </w:rPr>
        <w:t>•   Annual review of corporate governance documents to ensure they reflect best practices</w:t>
      </w:r>
    </w:p>
    <w:p>
      <w:pPr>
        <w:spacing w:after="0" w:line="20" w:lineRule="exact"/>
        <w:rPr>
          <w:sz w:val="20"/>
          <w:szCs w:val="20"/>
          <w:color w:val="auto"/>
        </w:rPr>
      </w:pPr>
      <w:r>
        <w:rPr>
          <w:sz w:val="20"/>
          <w:szCs w:val="20"/>
          <w:color w:val="auto"/>
        </w:rPr>
        <w:br w:type="column"/>
      </w:r>
    </w:p>
    <w:p>
      <w:pPr>
        <w:ind w:right="220" w:hanging="242"/>
        <w:spacing w:after="0" w:line="286" w:lineRule="auto"/>
        <w:rPr>
          <w:sz w:val="20"/>
          <w:szCs w:val="20"/>
          <w:color w:val="auto"/>
        </w:rPr>
      </w:pPr>
      <w:r>
        <w:rPr>
          <w:rFonts w:ascii="Arial" w:cs="Arial" w:eastAsia="Arial" w:hAnsi="Arial"/>
          <w:sz w:val="16"/>
          <w:szCs w:val="16"/>
          <w:color w:val="auto"/>
        </w:rPr>
        <w:t>•   Policies prohibiting short-sales, hedging, pledging, and margin accounts</w:t>
      </w:r>
    </w:p>
    <w:p>
      <w:pPr>
        <w:spacing w:after="0" w:line="210" w:lineRule="exact"/>
        <w:rPr>
          <w:sz w:val="20"/>
          <w:szCs w:val="20"/>
          <w:color w:val="auto"/>
        </w:rPr>
      </w:pPr>
    </w:p>
    <w:p>
      <w:pPr>
        <w:sectPr>
          <w:pgSz w:w="11900" w:h="16838" w:orient="portrait"/>
          <w:cols w:equalWidth="0" w:num="3">
            <w:col w:w="3560" w:space="720"/>
            <w:col w:w="3020" w:space="720"/>
            <w:col w:w="312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242"/>
        </w:trPr>
        <w:tc>
          <w:tcPr>
            <w:tcW w:w="3640" w:type="dxa"/>
            <w:vAlign w:val="bottom"/>
            <w:shd w:val="clear" w:color="auto" w:fill="EDEDED"/>
          </w:tcPr>
          <w:p>
            <w:pPr>
              <w:ind w:left="160"/>
              <w:spacing w:after="0"/>
              <w:rPr>
                <w:sz w:val="20"/>
                <w:szCs w:val="20"/>
                <w:color w:val="auto"/>
              </w:rPr>
            </w:pPr>
            <w:r>
              <w:rPr>
                <w:rFonts w:ascii="Arial" w:cs="Arial" w:eastAsia="Arial" w:hAnsi="Arial"/>
                <w:sz w:val="16"/>
                <w:szCs w:val="16"/>
                <w:color w:val="auto"/>
              </w:rPr>
              <w:t>•    No related party transactions between the</w:t>
            </w:r>
          </w:p>
        </w:tc>
        <w:tc>
          <w:tcPr>
            <w:tcW w:w="440" w:type="dxa"/>
            <w:vAlign w:val="bottom"/>
            <w:shd w:val="clear" w:color="auto" w:fill="EDEDED"/>
          </w:tcPr>
          <w:p>
            <w:pPr>
              <w:ind w:left="280"/>
              <w:spacing w:after="0"/>
              <w:rPr>
                <w:sz w:val="20"/>
                <w:szCs w:val="20"/>
                <w:color w:val="auto"/>
              </w:rPr>
            </w:pPr>
            <w:r>
              <w:rPr>
                <w:rFonts w:ascii="Arial" w:cs="Arial" w:eastAsia="Arial" w:hAnsi="Arial"/>
                <w:sz w:val="14"/>
                <w:szCs w:val="14"/>
                <w:color w:val="auto"/>
                <w:w w:val="73"/>
              </w:rPr>
              <w:t>• </w:t>
            </w:r>
          </w:p>
        </w:tc>
        <w:tc>
          <w:tcPr>
            <w:tcW w:w="3400" w:type="dxa"/>
            <w:vAlign w:val="bottom"/>
            <w:shd w:val="clear" w:color="auto" w:fill="EDEDED"/>
          </w:tcPr>
          <w:p>
            <w:pPr>
              <w:ind w:left="40"/>
              <w:spacing w:after="0"/>
              <w:rPr>
                <w:sz w:val="20"/>
                <w:szCs w:val="20"/>
                <w:color w:val="auto"/>
              </w:rPr>
            </w:pPr>
            <w:r>
              <w:rPr>
                <w:rFonts w:ascii="Arial" w:cs="Arial" w:eastAsia="Arial" w:hAnsi="Arial"/>
                <w:sz w:val="16"/>
                <w:szCs w:val="16"/>
                <w:color w:val="auto"/>
              </w:rPr>
              <w:t> Clawback policy that applies to short-term</w:t>
            </w:r>
          </w:p>
        </w:tc>
        <w:tc>
          <w:tcPr>
            <w:tcW w:w="340" w:type="dxa"/>
            <w:vAlign w:val="bottom"/>
            <w:shd w:val="clear" w:color="auto" w:fill="EDEDED"/>
          </w:tcPr>
          <w:p>
            <w:pPr>
              <w:ind w:left="180"/>
              <w:spacing w:after="0"/>
              <w:rPr>
                <w:sz w:val="20"/>
                <w:szCs w:val="20"/>
                <w:color w:val="auto"/>
              </w:rPr>
            </w:pPr>
            <w:r>
              <w:rPr>
                <w:rFonts w:ascii="Arial" w:cs="Arial" w:eastAsia="Arial" w:hAnsi="Arial"/>
                <w:sz w:val="14"/>
                <w:szCs w:val="14"/>
                <w:color w:val="auto"/>
                <w:w w:val="73"/>
              </w:rPr>
              <w:t>• </w:t>
            </w:r>
          </w:p>
        </w:tc>
        <w:tc>
          <w:tcPr>
            <w:tcW w:w="3200" w:type="dxa"/>
            <w:vAlign w:val="bottom"/>
            <w:shd w:val="clear" w:color="auto" w:fill="EDEDED"/>
          </w:tcPr>
          <w:p>
            <w:pPr>
              <w:ind w:left="40"/>
              <w:spacing w:after="0"/>
              <w:rPr>
                <w:sz w:val="20"/>
                <w:szCs w:val="20"/>
                <w:color w:val="auto"/>
              </w:rPr>
            </w:pPr>
            <w:r>
              <w:rPr>
                <w:rFonts w:ascii="Arial" w:cs="Arial" w:eastAsia="Arial" w:hAnsi="Arial"/>
                <w:sz w:val="16"/>
                <w:szCs w:val="16"/>
                <w:color w:val="auto"/>
              </w:rPr>
              <w:t> Strong oversight of Environmental, Social</w:t>
            </w:r>
          </w:p>
        </w:tc>
      </w:tr>
      <w:tr>
        <w:trPr>
          <w:trHeight w:val="189"/>
        </w:trPr>
        <w:tc>
          <w:tcPr>
            <w:tcW w:w="3640" w:type="dxa"/>
            <w:vAlign w:val="bottom"/>
            <w:shd w:val="clear" w:color="auto" w:fill="EDEDED"/>
          </w:tcPr>
          <w:p>
            <w:pPr>
              <w:ind w:left="400"/>
              <w:spacing w:after="0"/>
              <w:rPr>
                <w:sz w:val="20"/>
                <w:szCs w:val="20"/>
                <w:color w:val="auto"/>
              </w:rPr>
            </w:pPr>
            <w:r>
              <w:rPr>
                <w:rFonts w:ascii="Arial" w:cs="Arial" w:eastAsia="Arial" w:hAnsi="Arial"/>
                <w:sz w:val="16"/>
                <w:szCs w:val="16"/>
                <w:color w:val="auto"/>
              </w:rPr>
              <w:t>Company and members of the Board or</w:t>
            </w:r>
          </w:p>
        </w:tc>
        <w:tc>
          <w:tcPr>
            <w:tcW w:w="440" w:type="dxa"/>
            <w:vAlign w:val="bottom"/>
            <w:shd w:val="clear" w:color="auto" w:fill="EDEDED"/>
          </w:tcPr>
          <w:p>
            <w:pPr>
              <w:spacing w:after="0"/>
              <w:rPr>
                <w:sz w:val="16"/>
                <w:szCs w:val="16"/>
                <w:color w:val="auto"/>
              </w:rPr>
            </w:pPr>
          </w:p>
        </w:tc>
        <w:tc>
          <w:tcPr>
            <w:tcW w:w="3400" w:type="dxa"/>
            <w:vAlign w:val="bottom"/>
            <w:shd w:val="clear" w:color="auto" w:fill="EDEDED"/>
          </w:tcPr>
          <w:p>
            <w:pPr>
              <w:ind w:left="80"/>
              <w:spacing w:after="0"/>
              <w:rPr>
                <w:sz w:val="20"/>
                <w:szCs w:val="20"/>
                <w:color w:val="auto"/>
              </w:rPr>
            </w:pPr>
            <w:r>
              <w:rPr>
                <w:rFonts w:ascii="Arial" w:cs="Arial" w:eastAsia="Arial" w:hAnsi="Arial"/>
                <w:sz w:val="16"/>
                <w:szCs w:val="16"/>
                <w:color w:val="auto"/>
              </w:rPr>
              <w:t>and long-term incentive compensation plans</w:t>
            </w:r>
          </w:p>
        </w:tc>
        <w:tc>
          <w:tcPr>
            <w:tcW w:w="340" w:type="dxa"/>
            <w:vAlign w:val="bottom"/>
            <w:shd w:val="clear" w:color="auto" w:fill="EDEDED"/>
          </w:tcPr>
          <w:p>
            <w:pPr>
              <w:spacing w:after="0"/>
              <w:rPr>
                <w:sz w:val="16"/>
                <w:szCs w:val="16"/>
                <w:color w:val="auto"/>
              </w:rPr>
            </w:pPr>
          </w:p>
        </w:tc>
        <w:tc>
          <w:tcPr>
            <w:tcW w:w="3200" w:type="dxa"/>
            <w:vAlign w:val="bottom"/>
            <w:shd w:val="clear" w:color="auto" w:fill="EDEDED"/>
          </w:tcPr>
          <w:p>
            <w:pPr>
              <w:ind w:left="80"/>
              <w:spacing w:after="0"/>
              <w:rPr>
                <w:sz w:val="20"/>
                <w:szCs w:val="20"/>
                <w:color w:val="auto"/>
              </w:rPr>
            </w:pPr>
            <w:r>
              <w:rPr>
                <w:rFonts w:ascii="Arial" w:cs="Arial" w:eastAsia="Arial" w:hAnsi="Arial"/>
                <w:sz w:val="16"/>
                <w:szCs w:val="16"/>
                <w:color w:val="auto"/>
              </w:rPr>
              <w:t>and Governance (“ESG”) standards by the</w:t>
            </w:r>
          </w:p>
        </w:tc>
      </w:tr>
      <w:tr>
        <w:trPr>
          <w:trHeight w:val="189"/>
        </w:trPr>
        <w:tc>
          <w:tcPr>
            <w:tcW w:w="3640" w:type="dxa"/>
            <w:vAlign w:val="bottom"/>
            <w:shd w:val="clear" w:color="auto" w:fill="EDEDED"/>
          </w:tcPr>
          <w:p>
            <w:pPr>
              <w:ind w:left="400"/>
              <w:spacing w:after="0"/>
              <w:rPr>
                <w:sz w:val="20"/>
                <w:szCs w:val="20"/>
                <w:color w:val="auto"/>
              </w:rPr>
            </w:pPr>
            <w:r>
              <w:rPr>
                <w:rFonts w:ascii="Arial" w:cs="Arial" w:eastAsia="Arial" w:hAnsi="Arial"/>
                <w:sz w:val="16"/>
                <w:szCs w:val="16"/>
                <w:color w:val="auto"/>
              </w:rPr>
              <w:t>senior management</w:t>
            </w:r>
          </w:p>
        </w:tc>
        <w:tc>
          <w:tcPr>
            <w:tcW w:w="440" w:type="dxa"/>
            <w:vAlign w:val="bottom"/>
            <w:shd w:val="clear" w:color="auto" w:fill="EDEDED"/>
          </w:tcPr>
          <w:p>
            <w:pPr>
              <w:spacing w:after="0"/>
              <w:rPr>
                <w:sz w:val="16"/>
                <w:szCs w:val="16"/>
                <w:color w:val="auto"/>
              </w:rPr>
            </w:pPr>
          </w:p>
        </w:tc>
        <w:tc>
          <w:tcPr>
            <w:tcW w:w="3400" w:type="dxa"/>
            <w:vAlign w:val="bottom"/>
            <w:shd w:val="clear" w:color="auto" w:fill="EDEDED"/>
          </w:tcPr>
          <w:p>
            <w:pPr>
              <w:ind w:left="80"/>
              <w:spacing w:after="0"/>
              <w:rPr>
                <w:sz w:val="20"/>
                <w:szCs w:val="20"/>
                <w:color w:val="auto"/>
              </w:rPr>
            </w:pPr>
            <w:r>
              <w:rPr>
                <w:rFonts w:ascii="Arial" w:cs="Arial" w:eastAsia="Arial" w:hAnsi="Arial"/>
                <w:sz w:val="16"/>
                <w:szCs w:val="16"/>
                <w:color w:val="auto"/>
              </w:rPr>
              <w:t>for senior management</w:t>
            </w:r>
          </w:p>
        </w:tc>
        <w:tc>
          <w:tcPr>
            <w:tcW w:w="340" w:type="dxa"/>
            <w:vAlign w:val="bottom"/>
            <w:shd w:val="clear" w:color="auto" w:fill="EDEDED"/>
          </w:tcPr>
          <w:p>
            <w:pPr>
              <w:spacing w:after="0"/>
              <w:rPr>
                <w:sz w:val="16"/>
                <w:szCs w:val="16"/>
                <w:color w:val="auto"/>
              </w:rPr>
            </w:pPr>
          </w:p>
        </w:tc>
        <w:tc>
          <w:tcPr>
            <w:tcW w:w="3200" w:type="dxa"/>
            <w:vAlign w:val="bottom"/>
            <w:shd w:val="clear" w:color="auto" w:fill="EDEDED"/>
          </w:tcPr>
          <w:p>
            <w:pPr>
              <w:ind w:left="80"/>
              <w:spacing w:after="0"/>
              <w:rPr>
                <w:sz w:val="20"/>
                <w:szCs w:val="20"/>
                <w:color w:val="auto"/>
              </w:rPr>
            </w:pPr>
            <w:r>
              <w:rPr>
                <w:rFonts w:ascii="Arial" w:cs="Arial" w:eastAsia="Arial" w:hAnsi="Arial"/>
                <w:sz w:val="16"/>
                <w:szCs w:val="16"/>
                <w:color w:val="auto"/>
              </w:rPr>
              <w:t>Board and Corporate Governance and</w:t>
            </w:r>
          </w:p>
        </w:tc>
      </w:tr>
      <w:tr>
        <w:trPr>
          <w:trHeight w:val="251"/>
        </w:trPr>
        <w:tc>
          <w:tcPr>
            <w:tcW w:w="3640" w:type="dxa"/>
            <w:vAlign w:val="bottom"/>
            <w:tcBorders>
              <w:bottom w:val="single" w:sz="8" w:color="EDEDED"/>
            </w:tcBorders>
            <w:shd w:val="clear" w:color="auto" w:fill="EDEDED"/>
          </w:tcPr>
          <w:p>
            <w:pPr>
              <w:spacing w:after="0"/>
              <w:rPr>
                <w:sz w:val="21"/>
                <w:szCs w:val="21"/>
                <w:color w:val="auto"/>
              </w:rPr>
            </w:pPr>
          </w:p>
        </w:tc>
        <w:tc>
          <w:tcPr>
            <w:tcW w:w="440" w:type="dxa"/>
            <w:vAlign w:val="bottom"/>
            <w:tcBorders>
              <w:bottom w:val="single" w:sz="8" w:color="EDEDED"/>
            </w:tcBorders>
            <w:shd w:val="clear" w:color="auto" w:fill="EDEDED"/>
          </w:tcPr>
          <w:p>
            <w:pPr>
              <w:spacing w:after="0"/>
              <w:rPr>
                <w:sz w:val="21"/>
                <w:szCs w:val="21"/>
                <w:color w:val="auto"/>
              </w:rPr>
            </w:pPr>
          </w:p>
        </w:tc>
        <w:tc>
          <w:tcPr>
            <w:tcW w:w="3400" w:type="dxa"/>
            <w:vAlign w:val="bottom"/>
            <w:tcBorders>
              <w:bottom w:val="single" w:sz="8" w:color="EDEDED"/>
            </w:tcBorders>
            <w:shd w:val="clear" w:color="auto" w:fill="EDEDED"/>
          </w:tcPr>
          <w:p>
            <w:pPr>
              <w:spacing w:after="0"/>
              <w:rPr>
                <w:sz w:val="21"/>
                <w:szCs w:val="21"/>
                <w:color w:val="auto"/>
              </w:rPr>
            </w:pPr>
          </w:p>
        </w:tc>
        <w:tc>
          <w:tcPr>
            <w:tcW w:w="340" w:type="dxa"/>
            <w:vAlign w:val="bottom"/>
            <w:tcBorders>
              <w:bottom w:val="single" w:sz="8" w:color="EDEDED"/>
            </w:tcBorders>
            <w:shd w:val="clear" w:color="auto" w:fill="EDEDED"/>
          </w:tcPr>
          <w:p>
            <w:pPr>
              <w:spacing w:after="0"/>
              <w:rPr>
                <w:sz w:val="21"/>
                <w:szCs w:val="21"/>
                <w:color w:val="auto"/>
              </w:rPr>
            </w:pPr>
          </w:p>
        </w:tc>
        <w:tc>
          <w:tcPr>
            <w:tcW w:w="320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color w:val="auto"/>
              </w:rPr>
              <w:t>Nominating Committee</w:t>
            </w:r>
          </w:p>
        </w:tc>
      </w:tr>
      <w:tr>
        <w:trPr>
          <w:trHeight w:val="242"/>
        </w:trPr>
        <w:tc>
          <w:tcPr>
            <w:tcW w:w="3640" w:type="dxa"/>
            <w:vAlign w:val="bottom"/>
          </w:tcPr>
          <w:p>
            <w:pPr>
              <w:spacing w:after="0"/>
              <w:rPr>
                <w:sz w:val="21"/>
                <w:szCs w:val="21"/>
                <w:color w:val="auto"/>
              </w:rPr>
            </w:pPr>
          </w:p>
        </w:tc>
        <w:tc>
          <w:tcPr>
            <w:tcW w:w="440" w:type="dxa"/>
            <w:vAlign w:val="bottom"/>
          </w:tcPr>
          <w:p>
            <w:pPr>
              <w:ind w:left="280"/>
              <w:spacing w:after="0"/>
              <w:rPr>
                <w:sz w:val="20"/>
                <w:szCs w:val="20"/>
                <w:color w:val="auto"/>
              </w:rPr>
            </w:pPr>
            <w:r>
              <w:rPr>
                <w:rFonts w:ascii="Arial" w:cs="Arial" w:eastAsia="Arial" w:hAnsi="Arial"/>
                <w:sz w:val="14"/>
                <w:szCs w:val="14"/>
                <w:color w:val="auto"/>
                <w:w w:val="73"/>
              </w:rPr>
              <w:t>• </w:t>
            </w:r>
          </w:p>
        </w:tc>
        <w:tc>
          <w:tcPr>
            <w:tcW w:w="3400" w:type="dxa"/>
            <w:vAlign w:val="bottom"/>
          </w:tcPr>
          <w:p>
            <w:pPr>
              <w:ind w:left="40"/>
              <w:spacing w:after="0"/>
              <w:rPr>
                <w:sz w:val="20"/>
                <w:szCs w:val="20"/>
                <w:color w:val="auto"/>
              </w:rPr>
            </w:pPr>
            <w:r>
              <w:rPr>
                <w:rFonts w:ascii="Arial" w:cs="Arial" w:eastAsia="Arial" w:hAnsi="Arial"/>
                <w:sz w:val="16"/>
                <w:szCs w:val="16"/>
                <w:color w:val="auto"/>
              </w:rPr>
              <w:t> Stock ownership requirements for directors</w:t>
            </w:r>
          </w:p>
        </w:tc>
        <w:tc>
          <w:tcPr>
            <w:tcW w:w="340" w:type="dxa"/>
            <w:vAlign w:val="bottom"/>
          </w:tcPr>
          <w:p>
            <w:pPr>
              <w:ind w:left="180"/>
              <w:spacing w:after="0"/>
              <w:rPr>
                <w:sz w:val="20"/>
                <w:szCs w:val="20"/>
                <w:color w:val="auto"/>
              </w:rPr>
            </w:pPr>
            <w:r>
              <w:rPr>
                <w:rFonts w:ascii="Arial" w:cs="Arial" w:eastAsia="Arial" w:hAnsi="Arial"/>
                <w:sz w:val="14"/>
                <w:szCs w:val="14"/>
                <w:color w:val="auto"/>
                <w:w w:val="73"/>
              </w:rPr>
              <w:t>• </w:t>
            </w:r>
          </w:p>
        </w:tc>
        <w:tc>
          <w:tcPr>
            <w:tcW w:w="3200" w:type="dxa"/>
            <w:vAlign w:val="bottom"/>
          </w:tcPr>
          <w:p>
            <w:pPr>
              <w:ind w:left="40"/>
              <w:spacing w:after="0"/>
              <w:rPr>
                <w:sz w:val="20"/>
                <w:szCs w:val="20"/>
                <w:color w:val="auto"/>
              </w:rPr>
            </w:pPr>
            <w:r>
              <w:rPr>
                <w:rFonts w:ascii="Arial" w:cs="Arial" w:eastAsia="Arial" w:hAnsi="Arial"/>
                <w:sz w:val="16"/>
                <w:szCs w:val="16"/>
                <w:color w:val="auto"/>
              </w:rPr>
              <w:t> Comprehensive orientation program for</w:t>
            </w:r>
          </w:p>
        </w:tc>
      </w:tr>
      <w:tr>
        <w:trPr>
          <w:trHeight w:val="189"/>
        </w:trPr>
        <w:tc>
          <w:tcPr>
            <w:tcW w:w="3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0" w:type="dxa"/>
            <w:vAlign w:val="bottom"/>
          </w:tcPr>
          <w:p>
            <w:pPr>
              <w:ind w:left="80"/>
              <w:spacing w:after="0"/>
              <w:rPr>
                <w:sz w:val="20"/>
                <w:szCs w:val="20"/>
                <w:color w:val="auto"/>
              </w:rPr>
            </w:pPr>
            <w:r>
              <w:rPr>
                <w:rFonts w:ascii="Arial" w:cs="Arial" w:eastAsia="Arial" w:hAnsi="Arial"/>
                <w:sz w:val="16"/>
                <w:szCs w:val="16"/>
                <w:color w:val="auto"/>
              </w:rPr>
              <w:t>and senior management</w:t>
            </w:r>
          </w:p>
        </w:tc>
        <w:tc>
          <w:tcPr>
            <w:tcW w:w="340" w:type="dxa"/>
            <w:vAlign w:val="bottom"/>
          </w:tcPr>
          <w:p>
            <w:pPr>
              <w:spacing w:after="0"/>
              <w:rPr>
                <w:sz w:val="16"/>
                <w:szCs w:val="16"/>
                <w:color w:val="auto"/>
              </w:rPr>
            </w:pPr>
          </w:p>
        </w:tc>
        <w:tc>
          <w:tcPr>
            <w:tcW w:w="3200" w:type="dxa"/>
            <w:vAlign w:val="bottom"/>
          </w:tcPr>
          <w:p>
            <w:pPr>
              <w:ind w:left="80"/>
              <w:spacing w:after="0"/>
              <w:rPr>
                <w:sz w:val="20"/>
                <w:szCs w:val="20"/>
                <w:color w:val="auto"/>
              </w:rPr>
            </w:pPr>
            <w:r>
              <w:rPr>
                <w:rFonts w:ascii="Arial" w:cs="Arial" w:eastAsia="Arial" w:hAnsi="Arial"/>
                <w:sz w:val="16"/>
                <w:szCs w:val="16"/>
                <w:color w:val="auto"/>
              </w:rPr>
              <w:t>new directors and robust continuing</w:t>
            </w:r>
          </w:p>
        </w:tc>
      </w:tr>
      <w:tr>
        <w:trPr>
          <w:trHeight w:val="215"/>
        </w:trPr>
        <w:tc>
          <w:tcPr>
            <w:tcW w:w="3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0" w:type="dxa"/>
            <w:vAlign w:val="bottom"/>
          </w:tcPr>
          <w:p>
            <w:pPr>
              <w:ind w:left="80"/>
              <w:spacing w:after="0"/>
              <w:rPr>
                <w:sz w:val="20"/>
                <w:szCs w:val="20"/>
                <w:color w:val="auto"/>
              </w:rPr>
            </w:pPr>
            <w:r>
              <w:rPr>
                <w:rFonts w:ascii="Arial" w:cs="Arial" w:eastAsia="Arial" w:hAnsi="Arial"/>
                <w:sz w:val="16"/>
                <w:szCs w:val="16"/>
                <w:color w:val="auto"/>
              </w:rPr>
              <w:t>education programs</w:t>
            </w:r>
          </w:p>
        </w:tc>
      </w:tr>
      <w:tr>
        <w:trPr>
          <w:trHeight w:val="56"/>
        </w:trPr>
        <w:tc>
          <w:tcPr>
            <w:tcW w:w="3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0" w:type="dxa"/>
            <w:vAlign w:val="bottom"/>
          </w:tcPr>
          <w:p>
            <w:pPr>
              <w:spacing w:after="0"/>
              <w:rPr>
                <w:sz w:val="4"/>
                <w:szCs w:val="4"/>
                <w:color w:val="auto"/>
              </w:rPr>
            </w:pPr>
          </w:p>
        </w:tc>
      </w:tr>
      <w:tr>
        <w:trPr>
          <w:trHeight w:val="242"/>
        </w:trPr>
        <w:tc>
          <w:tcPr>
            <w:tcW w:w="3640" w:type="dxa"/>
            <w:vAlign w:val="bottom"/>
            <w:shd w:val="clear" w:color="auto" w:fill="EDEDED"/>
          </w:tcPr>
          <w:p>
            <w:pPr>
              <w:spacing w:after="0"/>
              <w:rPr>
                <w:sz w:val="21"/>
                <w:szCs w:val="21"/>
                <w:color w:val="auto"/>
              </w:rPr>
            </w:pPr>
          </w:p>
        </w:tc>
        <w:tc>
          <w:tcPr>
            <w:tcW w:w="440" w:type="dxa"/>
            <w:vAlign w:val="bottom"/>
            <w:shd w:val="clear" w:color="auto" w:fill="EDEDED"/>
          </w:tcPr>
          <w:p>
            <w:pPr>
              <w:spacing w:after="0"/>
              <w:rPr>
                <w:sz w:val="21"/>
                <w:szCs w:val="21"/>
                <w:color w:val="auto"/>
              </w:rPr>
            </w:pPr>
          </w:p>
        </w:tc>
        <w:tc>
          <w:tcPr>
            <w:tcW w:w="3400" w:type="dxa"/>
            <w:vAlign w:val="bottom"/>
            <w:shd w:val="clear" w:color="auto" w:fill="EDEDED"/>
          </w:tcPr>
          <w:p>
            <w:pPr>
              <w:spacing w:after="0"/>
              <w:rPr>
                <w:sz w:val="21"/>
                <w:szCs w:val="21"/>
                <w:color w:val="auto"/>
              </w:rPr>
            </w:pPr>
          </w:p>
        </w:tc>
        <w:tc>
          <w:tcPr>
            <w:tcW w:w="340" w:type="dxa"/>
            <w:vAlign w:val="bottom"/>
            <w:shd w:val="clear" w:color="auto" w:fill="EDEDED"/>
          </w:tcPr>
          <w:p>
            <w:pPr>
              <w:ind w:left="180"/>
              <w:spacing w:after="0"/>
              <w:rPr>
                <w:sz w:val="20"/>
                <w:szCs w:val="20"/>
                <w:color w:val="auto"/>
              </w:rPr>
            </w:pPr>
            <w:r>
              <w:rPr>
                <w:rFonts w:ascii="Arial" w:cs="Arial" w:eastAsia="Arial" w:hAnsi="Arial"/>
                <w:sz w:val="14"/>
                <w:szCs w:val="14"/>
                <w:color w:val="auto"/>
                <w:w w:val="73"/>
              </w:rPr>
              <w:t>• </w:t>
            </w:r>
          </w:p>
        </w:tc>
        <w:tc>
          <w:tcPr>
            <w:tcW w:w="3200" w:type="dxa"/>
            <w:vAlign w:val="bottom"/>
            <w:shd w:val="clear" w:color="auto" w:fill="EDEDED"/>
          </w:tcPr>
          <w:p>
            <w:pPr>
              <w:ind w:left="40"/>
              <w:spacing w:after="0"/>
              <w:rPr>
                <w:sz w:val="20"/>
                <w:szCs w:val="20"/>
                <w:color w:val="auto"/>
              </w:rPr>
            </w:pPr>
            <w:r>
              <w:rPr>
                <w:rFonts w:ascii="Arial" w:cs="Arial" w:eastAsia="Arial" w:hAnsi="Arial"/>
                <w:sz w:val="16"/>
                <w:szCs w:val="16"/>
                <w:color w:val="auto"/>
              </w:rPr>
              <w:t> Robust Code of Business Conduct and</w:t>
            </w:r>
          </w:p>
        </w:tc>
      </w:tr>
      <w:tr>
        <w:trPr>
          <w:trHeight w:val="189"/>
        </w:trPr>
        <w:tc>
          <w:tcPr>
            <w:tcW w:w="3640" w:type="dxa"/>
            <w:vAlign w:val="bottom"/>
            <w:shd w:val="clear" w:color="auto" w:fill="EDEDED"/>
          </w:tcPr>
          <w:p>
            <w:pPr>
              <w:spacing w:after="0"/>
              <w:rPr>
                <w:sz w:val="16"/>
                <w:szCs w:val="16"/>
                <w:color w:val="auto"/>
              </w:rPr>
            </w:pPr>
          </w:p>
        </w:tc>
        <w:tc>
          <w:tcPr>
            <w:tcW w:w="440" w:type="dxa"/>
            <w:vAlign w:val="bottom"/>
            <w:shd w:val="clear" w:color="auto" w:fill="EDEDED"/>
          </w:tcPr>
          <w:p>
            <w:pPr>
              <w:spacing w:after="0"/>
              <w:rPr>
                <w:sz w:val="16"/>
                <w:szCs w:val="16"/>
                <w:color w:val="auto"/>
              </w:rPr>
            </w:pPr>
          </w:p>
        </w:tc>
        <w:tc>
          <w:tcPr>
            <w:tcW w:w="3400" w:type="dxa"/>
            <w:vAlign w:val="bottom"/>
            <w:shd w:val="clear" w:color="auto" w:fill="EDEDED"/>
          </w:tcPr>
          <w:p>
            <w:pPr>
              <w:spacing w:after="0"/>
              <w:rPr>
                <w:sz w:val="16"/>
                <w:szCs w:val="16"/>
                <w:color w:val="auto"/>
              </w:rPr>
            </w:pPr>
          </w:p>
        </w:tc>
        <w:tc>
          <w:tcPr>
            <w:tcW w:w="340" w:type="dxa"/>
            <w:vAlign w:val="bottom"/>
            <w:shd w:val="clear" w:color="auto" w:fill="EDEDED"/>
          </w:tcPr>
          <w:p>
            <w:pPr>
              <w:spacing w:after="0"/>
              <w:rPr>
                <w:sz w:val="16"/>
                <w:szCs w:val="16"/>
                <w:color w:val="auto"/>
              </w:rPr>
            </w:pPr>
          </w:p>
        </w:tc>
        <w:tc>
          <w:tcPr>
            <w:tcW w:w="3200" w:type="dxa"/>
            <w:vAlign w:val="bottom"/>
            <w:shd w:val="clear" w:color="auto" w:fill="EDEDED"/>
          </w:tcPr>
          <w:p>
            <w:pPr>
              <w:ind w:left="80"/>
              <w:spacing w:after="0"/>
              <w:rPr>
                <w:sz w:val="20"/>
                <w:szCs w:val="20"/>
                <w:color w:val="auto"/>
              </w:rPr>
            </w:pPr>
            <w:r>
              <w:rPr>
                <w:rFonts w:ascii="Arial" w:cs="Arial" w:eastAsia="Arial" w:hAnsi="Arial"/>
                <w:sz w:val="16"/>
                <w:szCs w:val="16"/>
                <w:color w:val="auto"/>
              </w:rPr>
              <w:t>Ethics for the Board, senior management,</w:t>
            </w:r>
          </w:p>
        </w:tc>
      </w:tr>
      <w:tr>
        <w:trPr>
          <w:trHeight w:val="189"/>
        </w:trPr>
        <w:tc>
          <w:tcPr>
            <w:tcW w:w="3640" w:type="dxa"/>
            <w:vAlign w:val="bottom"/>
            <w:shd w:val="clear" w:color="auto" w:fill="EDEDED"/>
          </w:tcPr>
          <w:p>
            <w:pPr>
              <w:spacing w:after="0"/>
              <w:rPr>
                <w:sz w:val="16"/>
                <w:szCs w:val="16"/>
                <w:color w:val="auto"/>
              </w:rPr>
            </w:pPr>
          </w:p>
        </w:tc>
        <w:tc>
          <w:tcPr>
            <w:tcW w:w="440" w:type="dxa"/>
            <w:vAlign w:val="bottom"/>
            <w:shd w:val="clear" w:color="auto" w:fill="EDEDED"/>
          </w:tcPr>
          <w:p>
            <w:pPr>
              <w:spacing w:after="0"/>
              <w:rPr>
                <w:sz w:val="16"/>
                <w:szCs w:val="16"/>
                <w:color w:val="auto"/>
              </w:rPr>
            </w:pPr>
          </w:p>
        </w:tc>
        <w:tc>
          <w:tcPr>
            <w:tcW w:w="3400" w:type="dxa"/>
            <w:vAlign w:val="bottom"/>
            <w:shd w:val="clear" w:color="auto" w:fill="EDEDED"/>
          </w:tcPr>
          <w:p>
            <w:pPr>
              <w:spacing w:after="0"/>
              <w:rPr>
                <w:sz w:val="16"/>
                <w:szCs w:val="16"/>
                <w:color w:val="auto"/>
              </w:rPr>
            </w:pPr>
          </w:p>
        </w:tc>
        <w:tc>
          <w:tcPr>
            <w:tcW w:w="340" w:type="dxa"/>
            <w:vAlign w:val="bottom"/>
            <w:shd w:val="clear" w:color="auto" w:fill="EDEDED"/>
          </w:tcPr>
          <w:p>
            <w:pPr>
              <w:spacing w:after="0"/>
              <w:rPr>
                <w:sz w:val="16"/>
                <w:szCs w:val="16"/>
                <w:color w:val="auto"/>
              </w:rPr>
            </w:pPr>
          </w:p>
        </w:tc>
        <w:tc>
          <w:tcPr>
            <w:tcW w:w="3200" w:type="dxa"/>
            <w:vAlign w:val="bottom"/>
            <w:shd w:val="clear" w:color="auto" w:fill="EDEDED"/>
          </w:tcPr>
          <w:p>
            <w:pPr>
              <w:ind w:left="80"/>
              <w:spacing w:after="0"/>
              <w:rPr>
                <w:sz w:val="20"/>
                <w:szCs w:val="20"/>
                <w:color w:val="auto"/>
              </w:rPr>
            </w:pPr>
            <w:r>
              <w:rPr>
                <w:rFonts w:ascii="Arial" w:cs="Arial" w:eastAsia="Arial" w:hAnsi="Arial"/>
                <w:sz w:val="16"/>
                <w:szCs w:val="16"/>
                <w:color w:val="auto"/>
              </w:rPr>
              <w:t>and all employees that includes an annual</w:t>
            </w:r>
          </w:p>
        </w:tc>
      </w:tr>
      <w:tr>
        <w:trPr>
          <w:trHeight w:val="251"/>
        </w:trPr>
        <w:tc>
          <w:tcPr>
            <w:tcW w:w="3640" w:type="dxa"/>
            <w:vAlign w:val="bottom"/>
            <w:tcBorders>
              <w:bottom w:val="single" w:sz="8" w:color="EDEDED"/>
            </w:tcBorders>
            <w:shd w:val="clear" w:color="auto" w:fill="EDEDED"/>
          </w:tcPr>
          <w:p>
            <w:pPr>
              <w:spacing w:after="0"/>
              <w:rPr>
                <w:sz w:val="21"/>
                <w:szCs w:val="21"/>
                <w:color w:val="auto"/>
              </w:rPr>
            </w:pPr>
          </w:p>
        </w:tc>
        <w:tc>
          <w:tcPr>
            <w:tcW w:w="440" w:type="dxa"/>
            <w:vAlign w:val="bottom"/>
            <w:tcBorders>
              <w:bottom w:val="single" w:sz="8" w:color="EDEDED"/>
            </w:tcBorders>
            <w:shd w:val="clear" w:color="auto" w:fill="EDEDED"/>
          </w:tcPr>
          <w:p>
            <w:pPr>
              <w:spacing w:after="0"/>
              <w:rPr>
                <w:sz w:val="21"/>
                <w:szCs w:val="21"/>
                <w:color w:val="auto"/>
              </w:rPr>
            </w:pPr>
          </w:p>
        </w:tc>
        <w:tc>
          <w:tcPr>
            <w:tcW w:w="3400" w:type="dxa"/>
            <w:vAlign w:val="bottom"/>
            <w:tcBorders>
              <w:bottom w:val="single" w:sz="8" w:color="EDEDED"/>
            </w:tcBorders>
            <w:shd w:val="clear" w:color="auto" w:fill="EDEDED"/>
          </w:tcPr>
          <w:p>
            <w:pPr>
              <w:spacing w:after="0"/>
              <w:rPr>
                <w:sz w:val="21"/>
                <w:szCs w:val="21"/>
                <w:color w:val="auto"/>
              </w:rPr>
            </w:pPr>
          </w:p>
        </w:tc>
        <w:tc>
          <w:tcPr>
            <w:tcW w:w="340" w:type="dxa"/>
            <w:vAlign w:val="bottom"/>
            <w:tcBorders>
              <w:bottom w:val="single" w:sz="8" w:color="EDEDED"/>
            </w:tcBorders>
            <w:shd w:val="clear" w:color="auto" w:fill="EDEDED"/>
          </w:tcPr>
          <w:p>
            <w:pPr>
              <w:spacing w:after="0"/>
              <w:rPr>
                <w:sz w:val="21"/>
                <w:szCs w:val="21"/>
                <w:color w:val="auto"/>
              </w:rPr>
            </w:pPr>
          </w:p>
        </w:tc>
        <w:tc>
          <w:tcPr>
            <w:tcW w:w="320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color w:val="auto"/>
              </w:rPr>
              <w:t>certification requirement</w:t>
            </w:r>
          </w:p>
        </w:tc>
      </w:tr>
      <w:tr>
        <w:trPr>
          <w:trHeight w:val="20"/>
        </w:trPr>
        <w:tc>
          <w:tcPr>
            <w:tcW w:w="3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bl>
    <w:p>
      <w:pPr>
        <w:spacing w:after="0" w:line="1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-142875</wp:posOffset>
            </wp:positionV>
            <wp:extent cx="8890" cy="2317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23177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-142875</wp:posOffset>
            </wp:positionV>
            <wp:extent cx="411480" cy="1968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Proxy Summary</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Meet Today’s Kelly</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We’re building on 75 years of industry leadership.</w:t>
      </w:r>
    </w:p>
    <w:p>
      <w:pPr>
        <w:sectPr>
          <w:pgSz w:w="11900" w:h="16838" w:orient="portrait"/>
          <w:cols w:equalWidth="0" w:num="1">
            <w:col w:w="11140"/>
          </w:cols>
          <w:pgMar w:left="320" w:top="482" w:right="439" w:bottom="1440" w:gutter="0" w:footer="0" w:header="0"/>
        </w:sectPr>
      </w:pPr>
    </w:p>
    <w:p>
      <w:pPr>
        <w:ind w:left="540" w:hanging="424"/>
        <w:spacing w:after="0" w:line="185" w:lineRule="auto"/>
        <w:tabs>
          <w:tab w:leader="none" w:pos="540" w:val="left"/>
        </w:tabs>
        <w:numPr>
          <w:ilvl w:val="0"/>
          <w:numId w:val="6"/>
        </w:numPr>
        <w:rPr>
          <w:rFonts w:ascii="Arial" w:cs="Arial" w:eastAsia="Arial" w:hAnsi="Arial"/>
          <w:sz w:val="97"/>
          <w:szCs w:val="97"/>
          <w:b w:val="1"/>
          <w:bCs w:val="1"/>
          <w:color w:val="auto"/>
        </w:rPr>
      </w:pPr>
      <w:r>
        <w:rPr>
          <w:rFonts w:ascii="Arial" w:cs="Arial" w:eastAsia="Arial" w:hAnsi="Arial"/>
          <w:sz w:val="27"/>
          <w:szCs w:val="27"/>
          <w:b w:val="1"/>
          <w:bCs w:val="1"/>
          <w:color w:val="FFFFFF"/>
        </w:rPr>
        <w:t>Top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-379095</wp:posOffset>
            </wp:positionV>
            <wp:extent cx="1499870" cy="14319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499870" cy="1431925"/>
                    </a:xfrm>
                    <a:prstGeom prst="rect">
                      <a:avLst/>
                    </a:prstGeom>
                    <a:noFill/>
                  </pic:spPr>
                </pic:pic>
              </a:graphicData>
            </a:graphic>
          </wp:anchor>
        </w:drawing>
      </w:r>
    </w:p>
    <w:p>
      <w:pPr>
        <w:spacing w:after="0" w:line="83" w:lineRule="exact"/>
        <w:rPr>
          <w:sz w:val="20"/>
          <w:szCs w:val="20"/>
          <w:color w:val="auto"/>
        </w:rPr>
      </w:pPr>
    </w:p>
    <w:p>
      <w:pPr>
        <w:ind w:left="540"/>
        <w:spacing w:after="0" w:line="237" w:lineRule="auto"/>
        <w:rPr>
          <w:sz w:val="20"/>
          <w:szCs w:val="20"/>
          <w:color w:val="auto"/>
        </w:rPr>
      </w:pPr>
      <w:r>
        <w:rPr>
          <w:rFonts w:ascii="Arial" w:cs="Arial" w:eastAsia="Arial" w:hAnsi="Arial"/>
          <w:sz w:val="18"/>
          <w:szCs w:val="18"/>
          <w:color w:val="FFFFFF"/>
        </w:rPr>
        <w:t>on Staffing Industry Analysts 2022 lists of largest U.S. workforce providers: #1 in education, #2 in life sciences, and #3 in engineering</w:t>
      </w:r>
    </w:p>
    <w:p>
      <w:pPr>
        <w:ind w:left="540" w:hanging="424"/>
        <w:spacing w:after="0" w:line="190" w:lineRule="auto"/>
        <w:tabs>
          <w:tab w:leader="none" w:pos="540" w:val="left"/>
        </w:tabs>
        <w:numPr>
          <w:ilvl w:val="0"/>
          <w:numId w:val="7"/>
        </w:numPr>
        <w:rPr>
          <w:rFonts w:ascii="Arial" w:cs="Arial" w:eastAsia="Arial" w:hAnsi="Arial"/>
          <w:sz w:val="97"/>
          <w:szCs w:val="97"/>
          <w:b w:val="1"/>
          <w:bCs w:val="1"/>
          <w:color w:val="auto"/>
        </w:rPr>
      </w:pPr>
      <w:r>
        <w:rPr>
          <w:rFonts w:ascii="Arial" w:cs="Arial" w:eastAsia="Arial" w:hAnsi="Arial"/>
          <w:sz w:val="27"/>
          <w:szCs w:val="27"/>
          <w:b w:val="1"/>
          <w:bCs w:val="1"/>
          <w:color w:val="FFFFFF"/>
        </w:rPr>
        <w:t>Powering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-379095</wp:posOffset>
            </wp:positionV>
            <wp:extent cx="1499870" cy="13201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99870" cy="1320165"/>
                    </a:xfrm>
                    <a:prstGeom prst="rect">
                      <a:avLst/>
                    </a:prstGeom>
                    <a:noFill/>
                  </pic:spPr>
                </pic:pic>
              </a:graphicData>
            </a:graphic>
          </wp:anchor>
        </w:drawing>
      </w:r>
    </w:p>
    <w:p>
      <w:pPr>
        <w:spacing w:after="0" w:line="83" w:lineRule="exact"/>
        <w:rPr>
          <w:sz w:val="20"/>
          <w:szCs w:val="20"/>
          <w:color w:val="auto"/>
        </w:rPr>
      </w:pPr>
    </w:p>
    <w:p>
      <w:pPr>
        <w:ind w:left="540" w:right="140"/>
        <w:spacing w:after="0" w:line="279" w:lineRule="auto"/>
        <w:rPr>
          <w:sz w:val="20"/>
          <w:szCs w:val="20"/>
          <w:color w:val="auto"/>
        </w:rPr>
      </w:pPr>
      <w:r>
        <w:rPr>
          <w:rFonts w:ascii="Arial" w:cs="Arial" w:eastAsia="Arial" w:hAnsi="Arial"/>
          <w:sz w:val="17"/>
          <w:szCs w:val="17"/>
          <w:color w:val="FFFFFF"/>
        </w:rPr>
        <w:t>the Fortune 500 with workforce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 Year in Review</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97"/>
          <w:szCs w:val="9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97"/>
          <w:szCs w:val="97"/>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7"/>
          <w:szCs w:val="27"/>
          <w:b w:val="1"/>
          <w:bCs w:val="1"/>
          <w:color w:val="FFFFFF"/>
        </w:rPr>
        <w:t>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-340995</wp:posOffset>
            </wp:positionV>
            <wp:extent cx="1723390" cy="14319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23390" cy="143192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FFFFFF"/>
        </w:rPr>
        <w:t>managed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FFFFFF"/>
        </w:rPr>
        <w:t>provider (MSP) with</w:t>
      </w:r>
    </w:p>
    <w:p>
      <w:pPr>
        <w:spacing w:after="0" w:line="234" w:lineRule="auto"/>
        <w:rPr>
          <w:sz w:val="20"/>
          <w:szCs w:val="20"/>
          <w:color w:val="auto"/>
        </w:rPr>
      </w:pPr>
      <w:r>
        <w:rPr>
          <w:rFonts w:ascii="Arial" w:cs="Arial" w:eastAsia="Arial" w:hAnsi="Arial"/>
          <w:sz w:val="18"/>
          <w:szCs w:val="18"/>
          <w:color w:val="FFFFFF"/>
        </w:rPr>
        <w:t>$9.4 billion spend under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FFFFFF"/>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572135</wp:posOffset>
            </wp:positionV>
            <wp:extent cx="1723390" cy="13201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23390"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7"/>
          <w:szCs w:val="27"/>
          <w:b w:val="1"/>
          <w:bCs w:val="1"/>
          <w:color w:val="FFFFFF"/>
        </w:rPr>
        <w:t>Leader</w:t>
      </w:r>
    </w:p>
    <w:p>
      <w:pPr>
        <w:spacing w:after="0" w:line="146" w:lineRule="exact"/>
        <w:rPr>
          <w:sz w:val="20"/>
          <w:szCs w:val="20"/>
          <w:color w:val="auto"/>
        </w:rPr>
      </w:pPr>
    </w:p>
    <w:p>
      <w:pPr>
        <w:spacing w:after="0" w:line="247" w:lineRule="auto"/>
        <w:rPr>
          <w:sz w:val="20"/>
          <w:szCs w:val="20"/>
          <w:color w:val="auto"/>
        </w:rPr>
      </w:pPr>
      <w:r>
        <w:rPr>
          <w:rFonts w:ascii="Arial" w:cs="Arial" w:eastAsia="Arial" w:hAnsi="Arial"/>
          <w:sz w:val="18"/>
          <w:szCs w:val="18"/>
          <w:color w:val="FFFFFF"/>
        </w:rPr>
        <w:t>in Engineering Contingent Staffing Services on Everest Group’s 2022 PEAK Matrix assessment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Arial" w:cs="Arial" w:eastAsia="Arial" w:hAnsi="Arial"/>
          <w:sz w:val="96"/>
          <w:szCs w:val="9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96"/>
          <w:szCs w:val="96"/>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7"/>
          <w:szCs w:val="27"/>
          <w:b w:val="1"/>
          <w:bCs w:val="1"/>
          <w:color w:val="FFFFFF"/>
        </w:rPr>
        <w:t>Star Performer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-340995</wp:posOffset>
            </wp:positionV>
            <wp:extent cx="1654175" cy="14319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54175" cy="1431925"/>
                    </a:xfrm>
                    <a:prstGeom prst="rect">
                      <a:avLst/>
                    </a:prstGeom>
                    <a:noFill/>
                  </pic:spPr>
                </pic:pic>
              </a:graphicData>
            </a:graphic>
          </wp:anchor>
        </w:drawing>
      </w:r>
    </w:p>
    <w:p>
      <w:pPr>
        <w:spacing w:after="0" w:line="126" w:lineRule="exact"/>
        <w:rPr>
          <w:sz w:val="20"/>
          <w:szCs w:val="20"/>
          <w:color w:val="auto"/>
        </w:rPr>
      </w:pPr>
    </w:p>
    <w:p>
      <w:pPr>
        <w:spacing w:after="0" w:line="244" w:lineRule="auto"/>
        <w:rPr>
          <w:sz w:val="20"/>
          <w:szCs w:val="20"/>
          <w:color w:val="auto"/>
        </w:rPr>
      </w:pPr>
      <w:r>
        <w:rPr>
          <w:rFonts w:ascii="Arial" w:cs="Arial" w:eastAsia="Arial" w:hAnsi="Arial"/>
          <w:sz w:val="18"/>
          <w:szCs w:val="18"/>
          <w:color w:val="FFFFFF"/>
        </w:rPr>
        <w:t>in MSP, Services Procurement, and RPO on Everest Group’s 2022 PEAK Matrix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432435</wp:posOffset>
            </wp:positionV>
            <wp:extent cx="1654175" cy="13201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654175"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7"/>
          <w:szCs w:val="27"/>
          <w:b w:val="1"/>
          <w:bCs w:val="1"/>
          <w:color w:val="FFFFFF"/>
        </w:rPr>
        <w:t>#1 of 100</w:t>
      </w:r>
    </w:p>
    <w:p>
      <w:pPr>
        <w:spacing w:after="0" w:line="14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FFFFFF"/>
        </w:rPr>
        <w:t>on Flex Job’s list of top companies for hybrid work in 2022</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jc w:val="right"/>
        <w:spacing w:after="0"/>
        <w:rPr>
          <w:sz w:val="20"/>
          <w:szCs w:val="20"/>
          <w:color w:val="auto"/>
        </w:rPr>
      </w:pPr>
      <w:r>
        <w:rPr>
          <w:rFonts w:ascii="Arial" w:cs="Arial" w:eastAsia="Arial" w:hAnsi="Arial"/>
          <w:sz w:val="97"/>
          <w:szCs w:val="9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sz w:val="1"/>
          <w:szCs w:val="1"/>
          <w:color w:val="auto"/>
        </w:rPr>
        <w:drawing>
          <wp:inline distT="0" distB="0" distL="0" distR="0">
            <wp:extent cx="68580" cy="123444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234440"/>
                    </a:xfrm>
                    <a:prstGeom prst="rect">
                      <a:avLst/>
                    </a:prstGeom>
                    <a:noFill/>
                    <a:ln>
                      <a:noFill/>
                    </a:ln>
                  </pic:spPr>
                </pic:pic>
              </a:graphicData>
            </a:graphic>
          </wp:inline>
        </w:drawing>
      </w:r>
      <w:r>
        <w:rPr>
          <w:rFonts w:ascii="Arial" w:cs="Arial" w:eastAsia="Arial" w:hAnsi="Arial"/>
          <w:sz w:val="87"/>
          <w:szCs w:val="87"/>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7"/>
          <w:szCs w:val="27"/>
          <w:b w:val="1"/>
          <w:bCs w:val="1"/>
          <w:color w:val="FFFFFF"/>
        </w:rPr>
        <w:t>Partnering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-340995</wp:posOffset>
            </wp:positionV>
            <wp:extent cx="1671320" cy="14319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71320" cy="1431925"/>
                    </a:xfrm>
                    <a:prstGeom prst="rect">
                      <a:avLst/>
                    </a:prstGeom>
                    <a:noFill/>
                  </pic:spPr>
                </pic:pic>
              </a:graphicData>
            </a:graphic>
          </wp:anchor>
        </w:drawing>
      </w:r>
    </w:p>
    <w:p>
      <w:pPr>
        <w:spacing w:after="0" w:line="126" w:lineRule="exact"/>
        <w:rPr>
          <w:sz w:val="20"/>
          <w:szCs w:val="20"/>
          <w:color w:val="auto"/>
        </w:rPr>
      </w:pPr>
    </w:p>
    <w:p>
      <w:pPr>
        <w:ind w:right="240"/>
        <w:spacing w:after="0" w:line="301" w:lineRule="auto"/>
        <w:rPr>
          <w:sz w:val="20"/>
          <w:szCs w:val="20"/>
          <w:color w:val="auto"/>
        </w:rPr>
      </w:pPr>
      <w:r>
        <w:rPr>
          <w:rFonts w:ascii="Arial" w:cs="Arial" w:eastAsia="Arial" w:hAnsi="Arial"/>
          <w:sz w:val="17"/>
          <w:szCs w:val="17"/>
          <w:color w:val="FFFFFF"/>
        </w:rPr>
        <w:t>with more than 4,600 talent suppliers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789305</wp:posOffset>
            </wp:positionV>
            <wp:extent cx="1671320" cy="4457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713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7"/>
          <w:szCs w:val="27"/>
          <w:b w:val="1"/>
          <w:bCs w:val="1"/>
          <w:color w:val="FFFFFF"/>
        </w:rPr>
        <w:t>8th year</w:t>
      </w:r>
    </w:p>
    <w:p>
      <w:pPr>
        <w:spacing w:after="0" w:line="14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FFFFFF"/>
        </w:rPr>
        <w:t>of consecutively being named a Military-Friendly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-403225</wp:posOffset>
            </wp:positionV>
            <wp:extent cx="1602740" cy="8743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02740" cy="874395"/>
                    </a:xfrm>
                    <a:prstGeom prst="rect">
                      <a:avLst/>
                    </a:prstGeom>
                    <a:noFill/>
                  </pic:spPr>
                </pic:pic>
              </a:graphicData>
            </a:graphic>
          </wp:anchor>
        </w:drawing>
      </w:r>
    </w:p>
    <w:p>
      <w:pPr>
        <w:spacing w:after="0" w:line="1293" w:lineRule="exact"/>
        <w:rPr>
          <w:sz w:val="20"/>
          <w:szCs w:val="20"/>
          <w:color w:val="auto"/>
        </w:rPr>
      </w:pPr>
    </w:p>
    <w:p>
      <w:pPr>
        <w:sectPr>
          <w:pgSz w:w="11900" w:h="16838" w:orient="portrait"/>
          <w:cols w:equalWidth="0" w:num="7">
            <w:col w:w="2320" w:space="460"/>
            <w:col w:w="340" w:space="100"/>
            <w:col w:w="2080" w:space="440"/>
            <w:col w:w="320" w:space="100"/>
            <w:col w:w="2000" w:space="340"/>
            <w:col w:w="440" w:space="100"/>
            <w:col w:w="2100"/>
          </w:cols>
          <w:pgMar w:left="320" w:top="482" w:right="439" w:bottom="1440" w:gutter="0" w:footer="0" w:header="0"/>
          <w:type w:val="continuous"/>
        </w:sectPr>
      </w:pPr>
    </w:p>
    <w:p>
      <w:pPr>
        <w:ind w:left="120" w:right="140"/>
        <w:spacing w:after="0" w:line="252" w:lineRule="auto"/>
        <w:rPr>
          <w:sz w:val="20"/>
          <w:szCs w:val="20"/>
          <w:color w:val="auto"/>
        </w:rPr>
      </w:pPr>
      <w:r>
        <w:rPr>
          <w:rFonts w:ascii="Arial" w:cs="Arial" w:eastAsia="Arial" w:hAnsi="Arial"/>
          <w:sz w:val="16"/>
          <w:szCs w:val="16"/>
          <w:color w:val="auto"/>
        </w:rPr>
        <w:t>Kelly entered 2022 squarely focused on executing our specialty strategy and taking bold action to accelerate our strategic transformation, streamline our portfolio, and create value. Notwithstanding a dynamic geopolitical, macroeconomic, and labor environment that evolved throughout the year, we made steady progress on our growth journey. Kelly delivered revenue of $4.9 billion – an increase of 1.1% compared to 2021. The Company’s gross profit increased 10.1% from the prior year to more than $1 billion. We advanced our inorganic growth strategy by acquiring two companies: RocketPower, a leading provider of Recruitment Process Outsourcing (RPO) solutions; and Pediatric Therapeutic Services, a specialty firm that provides state and federally mandated in-school therapy services including occupational therapy, physical therapy, speech-language pathology, and mental and behavioral health services. We continued to make structural improvements in our businesses as well by expanding our gross profit margin to 20.4% – marking the first time our gross profit margin has exceeded 20% in more than 25 years.</w:t>
      </w:r>
    </w:p>
    <w:p>
      <w:pPr>
        <w:spacing w:after="0" w:line="75"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Strong customer demand for our staffing services in the first half of 2022 decelerated in the third quarter amid heightened macroeconomic uncertainty – a trend that persisted through the remainder of the year. Our higher-margin outcome-based solutions demonstrated greater resilience amid these headwinds, growing at a rapid pace. This dynamic was evident in our Professional &amp; Industrial segment in which revenue decreased over the prior year, but gross profit margin grew to 18.2% – an increase of 130 basis points compared to 2022 driven by growing demand for outcome-based solutions. Revenue in our Education segment increased 52.7% as we captured additional growth opportunities and effectively managed talent supply challenges. Our Science, Engineering &amp; Technology segment grew revenue 9.4% which, combined with our ability to translate higher gross profit margins in this segment to earnings growth, drove an 11.4% increase in earnings from operations compared to 2022. We also achieved solid constant currency revenue growth in International excluding our Russia operations, which we transferred to a Russian company in July. Revenue increased 8.3% in OCG, which also expanded its gross profit margin by 360 basis points – the most significant year-over-year increase of our five segments. Each of our five specialty business units will continue to make strategic contributions to Kelly’s progress on our growth journey in 2023.</w:t>
      </w:r>
    </w:p>
    <w:p>
      <w:pPr>
        <w:spacing w:after="0" w:line="110" w:lineRule="exact"/>
        <w:rPr>
          <w:sz w:val="20"/>
          <w:szCs w:val="20"/>
          <w:color w:val="auto"/>
        </w:rPr>
      </w:pPr>
    </w:p>
    <w:p>
      <w:pPr>
        <w:ind w:left="109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6682740</wp:posOffset>
            </wp:positionH>
            <wp:positionV relativeFrom="paragraph">
              <wp:posOffset>-142875</wp:posOffset>
            </wp:positionV>
            <wp:extent cx="8890" cy="2311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23114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-142875</wp:posOffset>
            </wp:positionV>
            <wp:extent cx="411480" cy="1968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Proxy Summary</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2022 Financial Highlights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Full Year 2022 Financial Summary</w:t>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2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00AF41"/>
              </w:rPr>
              <w:t>Change Increase/(Decrease)</w:t>
            </w:r>
          </w:p>
        </w:tc>
        <w:tc>
          <w:tcPr>
            <w:tcW w:w="0" w:type="dxa"/>
            <w:vAlign w:val="bottom"/>
          </w:tcPr>
          <w:p>
            <w:pPr>
              <w:spacing w:after="0"/>
              <w:rPr>
                <w:sz w:val="1"/>
                <w:szCs w:val="1"/>
                <w:color w:val="auto"/>
              </w:rPr>
            </w:pPr>
          </w:p>
        </w:tc>
      </w:tr>
      <w:tr>
        <w:trPr>
          <w:trHeight w:val="29"/>
        </w:trPr>
        <w:tc>
          <w:tcPr>
            <w:tcW w:w="5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54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00AF41"/>
              </w:rPr>
              <w:t>Actual Results</w:t>
            </w:r>
          </w:p>
        </w:tc>
        <w:tc>
          <w:tcPr>
            <w:tcW w:w="2540" w:type="dxa"/>
            <w:vAlign w:val="bottom"/>
            <w:tcBorders>
              <w:bottom w:val="single" w:sz="8" w:color="auto"/>
            </w:tcBorders>
          </w:tcPr>
          <w:p>
            <w:pPr>
              <w:jc w:val="center"/>
              <w:ind w:left="342"/>
              <w:spacing w:after="0"/>
              <w:rPr>
                <w:sz w:val="20"/>
                <w:szCs w:val="20"/>
                <w:color w:val="auto"/>
              </w:rPr>
            </w:pPr>
            <w:r>
              <w:rPr>
                <w:rFonts w:ascii="Arial" w:cs="Arial" w:eastAsia="Arial" w:hAnsi="Arial"/>
                <w:sz w:val="14"/>
                <w:szCs w:val="14"/>
                <w:b w:val="1"/>
                <w:bCs w:val="1"/>
                <w:color w:val="00AF41"/>
              </w:rPr>
              <w:t>As Reported</w:t>
            </w:r>
          </w:p>
        </w:tc>
        <w:tc>
          <w:tcPr>
            <w:tcW w:w="1740" w:type="dxa"/>
            <w:vAlign w:val="bottom"/>
            <w:tcBorders>
              <w:bottom w:val="single" w:sz="8" w:color="auto"/>
            </w:tcBorders>
          </w:tcPr>
          <w:p>
            <w:pPr>
              <w:jc w:val="center"/>
              <w:ind w:left="180"/>
              <w:spacing w:after="0"/>
              <w:rPr>
                <w:sz w:val="20"/>
                <w:szCs w:val="20"/>
                <w:color w:val="auto"/>
              </w:rPr>
            </w:pPr>
            <w:r>
              <w:rPr>
                <w:rFonts w:ascii="Arial" w:cs="Arial" w:eastAsia="Arial" w:hAnsi="Arial"/>
                <w:sz w:val="14"/>
                <w:szCs w:val="14"/>
                <w:b w:val="1"/>
                <w:bCs w:val="1"/>
                <w:color w:val="00AF41"/>
                <w:w w:val="97"/>
              </w:rPr>
              <w:t>As Adjusted</w:t>
            </w:r>
            <w:r>
              <w:rPr>
                <w:rFonts w:ascii="Arial" w:cs="Arial" w:eastAsia="Arial" w:hAnsi="Arial"/>
                <w:sz w:val="21"/>
                <w:szCs w:val="21"/>
                <w:b w:val="1"/>
                <w:bCs w:val="1"/>
                <w:color w:val="00AF41"/>
                <w:w w:val="97"/>
                <w:vertAlign w:val="superscript"/>
              </w:rPr>
              <w:t>(2)</w:t>
            </w:r>
          </w:p>
        </w:tc>
        <w:tc>
          <w:tcPr>
            <w:tcW w:w="0" w:type="dxa"/>
            <w:vAlign w:val="bottom"/>
          </w:tcPr>
          <w:p>
            <w:pPr>
              <w:spacing w:after="0"/>
              <w:rPr>
                <w:sz w:val="1"/>
                <w:szCs w:val="1"/>
                <w:color w:val="auto"/>
              </w:rPr>
            </w:pPr>
          </w:p>
        </w:tc>
      </w:tr>
      <w:tr>
        <w:trPr>
          <w:trHeight w:val="248"/>
        </w:trPr>
        <w:tc>
          <w:tcPr>
            <w:tcW w:w="5440" w:type="dxa"/>
            <w:vAlign w:val="bottom"/>
            <w:vMerge w:val="restart"/>
            <w:shd w:val="clear" w:color="auto" w:fill="EDEDED"/>
          </w:tcPr>
          <w:p>
            <w:pPr>
              <w:ind w:left="60"/>
              <w:spacing w:after="0"/>
              <w:rPr>
                <w:sz w:val="20"/>
                <w:szCs w:val="20"/>
                <w:color w:val="auto"/>
              </w:rPr>
            </w:pPr>
            <w:r>
              <w:rPr>
                <w:rFonts w:ascii="Arial" w:cs="Arial" w:eastAsia="Arial" w:hAnsi="Arial"/>
                <w:sz w:val="16"/>
                <w:szCs w:val="16"/>
                <w:b w:val="1"/>
                <w:bCs w:val="1"/>
                <w:color w:val="auto"/>
              </w:rPr>
              <w:t>Revenue</w:t>
            </w:r>
          </w:p>
        </w:tc>
        <w:tc>
          <w:tcPr>
            <w:tcW w:w="1300" w:type="dxa"/>
            <w:vAlign w:val="bottom"/>
            <w:shd w:val="clear" w:color="auto" w:fill="EDEDED"/>
          </w:tcPr>
          <w:p>
            <w:pPr>
              <w:jc w:val="center"/>
              <w:ind w:left="141"/>
              <w:spacing w:after="0"/>
              <w:rPr>
                <w:sz w:val="20"/>
                <w:szCs w:val="20"/>
                <w:color w:val="auto"/>
              </w:rPr>
            </w:pPr>
            <w:r>
              <w:rPr>
                <w:rFonts w:ascii="Arial" w:cs="Arial" w:eastAsia="Arial" w:hAnsi="Arial"/>
                <w:sz w:val="16"/>
                <w:szCs w:val="16"/>
                <w:color w:val="auto"/>
              </w:rPr>
              <w:t>$5.0B</w:t>
            </w:r>
          </w:p>
        </w:tc>
        <w:tc>
          <w:tcPr>
            <w:tcW w:w="2540" w:type="dxa"/>
            <w:vAlign w:val="bottom"/>
            <w:shd w:val="clear" w:color="auto" w:fill="EDEDED"/>
          </w:tcPr>
          <w:p>
            <w:pPr>
              <w:jc w:val="right"/>
              <w:ind w:right="802"/>
              <w:spacing w:after="0"/>
              <w:rPr>
                <w:sz w:val="20"/>
                <w:szCs w:val="20"/>
                <w:color w:val="auto"/>
              </w:rPr>
            </w:pPr>
            <w:r>
              <w:rPr>
                <w:rFonts w:ascii="Arial" w:cs="Arial" w:eastAsia="Arial" w:hAnsi="Arial"/>
                <w:sz w:val="16"/>
                <w:szCs w:val="16"/>
                <w:color w:val="auto"/>
              </w:rPr>
              <w:t>1.1%</w:t>
            </w:r>
          </w:p>
        </w:tc>
        <w:tc>
          <w:tcPr>
            <w:tcW w:w="1740" w:type="dxa"/>
            <w:vAlign w:val="bottom"/>
            <w:shd w:val="clear" w:color="auto" w:fill="EDEDED"/>
          </w:tcPr>
          <w:p>
            <w:pPr>
              <w:jc w:val="right"/>
              <w:ind w:right="48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29"/>
        </w:trPr>
        <w:tc>
          <w:tcPr>
            <w:tcW w:w="5440" w:type="dxa"/>
            <w:vAlign w:val="bottom"/>
            <w:vMerge w:val="continue"/>
            <w:shd w:val="clear" w:color="auto" w:fill="EDEDED"/>
          </w:tcPr>
          <w:p>
            <w:pPr>
              <w:spacing w:after="0"/>
              <w:rPr>
                <w:sz w:val="11"/>
                <w:szCs w:val="11"/>
                <w:color w:val="auto"/>
              </w:rPr>
            </w:pPr>
          </w:p>
        </w:tc>
        <w:tc>
          <w:tcPr>
            <w:tcW w:w="1300" w:type="dxa"/>
            <w:vAlign w:val="bottom"/>
            <w:shd w:val="clear" w:color="auto" w:fill="EDEDED"/>
          </w:tcPr>
          <w:p>
            <w:pPr>
              <w:spacing w:after="0"/>
              <w:rPr>
                <w:sz w:val="11"/>
                <w:szCs w:val="11"/>
                <w:color w:val="auto"/>
              </w:rPr>
            </w:pPr>
          </w:p>
        </w:tc>
        <w:tc>
          <w:tcPr>
            <w:tcW w:w="2540" w:type="dxa"/>
            <w:vAlign w:val="bottom"/>
            <w:vMerge w:val="restart"/>
            <w:shd w:val="clear" w:color="auto" w:fill="EDEDED"/>
          </w:tcPr>
          <w:p>
            <w:pPr>
              <w:ind w:left="1200"/>
              <w:spacing w:after="0"/>
              <w:rPr>
                <w:sz w:val="20"/>
                <w:szCs w:val="20"/>
                <w:color w:val="auto"/>
              </w:rPr>
            </w:pPr>
            <w:r>
              <w:rPr>
                <w:rFonts w:ascii="Arial" w:cs="Arial" w:eastAsia="Arial" w:hAnsi="Arial"/>
                <w:sz w:val="16"/>
                <w:szCs w:val="16"/>
                <w:color w:val="auto"/>
              </w:rPr>
              <w:t>3.2% CC</w:t>
            </w:r>
            <w:r>
              <w:rPr>
                <w:rFonts w:ascii="Arial" w:cs="Arial" w:eastAsia="Arial" w:hAnsi="Arial"/>
                <w:sz w:val="24"/>
                <w:szCs w:val="24"/>
                <w:color w:val="auto"/>
                <w:vertAlign w:val="superscript"/>
              </w:rPr>
              <w:t>(1)</w:t>
            </w:r>
          </w:p>
        </w:tc>
        <w:tc>
          <w:tcPr>
            <w:tcW w:w="1740" w:type="dxa"/>
            <w:vAlign w:val="bottom"/>
            <w:vMerge w:val="restart"/>
            <w:shd w:val="clear" w:color="auto" w:fill="EDEDED"/>
          </w:tcPr>
          <w:p>
            <w:pPr>
              <w:jc w:val="center"/>
              <w:ind w:left="180"/>
              <w:spacing w:after="0"/>
              <w:rPr>
                <w:sz w:val="20"/>
                <w:szCs w:val="20"/>
                <w:color w:val="auto"/>
              </w:rPr>
            </w:pPr>
            <w:r>
              <w:rPr>
                <w:rFonts w:ascii="Arial" w:cs="Arial" w:eastAsia="Arial" w:hAnsi="Arial"/>
                <w:sz w:val="16"/>
                <w:szCs w:val="16"/>
                <w:color w:val="auto"/>
              </w:rPr>
              <w:t>3.2% CC</w:t>
            </w:r>
            <w:r>
              <w:rPr>
                <w:rFonts w:ascii="Arial" w:cs="Arial" w:eastAsia="Arial" w:hAnsi="Arial"/>
                <w:sz w:val="24"/>
                <w:szCs w:val="24"/>
                <w:color w:val="auto"/>
                <w:vertAlign w:val="superscript"/>
              </w:rPr>
              <w:t>(1)</w:t>
            </w:r>
          </w:p>
        </w:tc>
        <w:tc>
          <w:tcPr>
            <w:tcW w:w="0" w:type="dxa"/>
            <w:vAlign w:val="bottom"/>
          </w:tcPr>
          <w:p>
            <w:pPr>
              <w:spacing w:after="0"/>
              <w:rPr>
                <w:sz w:val="1"/>
                <w:szCs w:val="1"/>
                <w:color w:val="auto"/>
              </w:rPr>
            </w:pPr>
          </w:p>
        </w:tc>
      </w:tr>
      <w:tr>
        <w:trPr>
          <w:trHeight w:val="183"/>
        </w:trPr>
        <w:tc>
          <w:tcPr>
            <w:tcW w:w="5440" w:type="dxa"/>
            <w:vAlign w:val="bottom"/>
            <w:shd w:val="clear" w:color="auto" w:fill="EDEDED"/>
          </w:tcPr>
          <w:p>
            <w:pPr>
              <w:spacing w:after="0"/>
              <w:rPr>
                <w:sz w:val="15"/>
                <w:szCs w:val="15"/>
                <w:color w:val="auto"/>
              </w:rPr>
            </w:pPr>
          </w:p>
        </w:tc>
        <w:tc>
          <w:tcPr>
            <w:tcW w:w="1300" w:type="dxa"/>
            <w:vAlign w:val="bottom"/>
            <w:shd w:val="clear" w:color="auto" w:fill="EDEDED"/>
          </w:tcPr>
          <w:p>
            <w:pPr>
              <w:spacing w:after="0"/>
              <w:rPr>
                <w:sz w:val="15"/>
                <w:szCs w:val="15"/>
                <w:color w:val="auto"/>
              </w:rPr>
            </w:pPr>
          </w:p>
        </w:tc>
        <w:tc>
          <w:tcPr>
            <w:tcW w:w="2540" w:type="dxa"/>
            <w:vAlign w:val="bottom"/>
            <w:vMerge w:val="continue"/>
            <w:shd w:val="clear" w:color="auto" w:fill="EDEDED"/>
          </w:tcPr>
          <w:p>
            <w:pPr>
              <w:spacing w:after="0"/>
              <w:rPr>
                <w:sz w:val="15"/>
                <w:szCs w:val="15"/>
                <w:color w:val="auto"/>
              </w:rPr>
            </w:pPr>
          </w:p>
        </w:tc>
        <w:tc>
          <w:tcPr>
            <w:tcW w:w="1740" w:type="dxa"/>
            <w:vAlign w:val="bottom"/>
            <w:vMerge w:val="continue"/>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5440" w:type="dxa"/>
            <w:vAlign w:val="bottom"/>
          </w:tcPr>
          <w:p>
            <w:pPr>
              <w:ind w:left="60"/>
              <w:spacing w:after="0"/>
              <w:rPr>
                <w:sz w:val="20"/>
                <w:szCs w:val="20"/>
                <w:color w:val="auto"/>
              </w:rPr>
            </w:pPr>
            <w:r>
              <w:rPr>
                <w:rFonts w:ascii="Arial" w:cs="Arial" w:eastAsia="Arial" w:hAnsi="Arial"/>
                <w:sz w:val="16"/>
                <w:szCs w:val="16"/>
                <w:b w:val="1"/>
                <w:bCs w:val="1"/>
                <w:color w:val="auto"/>
              </w:rPr>
              <w:t>Gross Profit Rate</w:t>
            </w:r>
          </w:p>
        </w:tc>
        <w:tc>
          <w:tcPr>
            <w:tcW w:w="1300" w:type="dxa"/>
            <w:vAlign w:val="bottom"/>
          </w:tcPr>
          <w:p>
            <w:pPr>
              <w:jc w:val="center"/>
              <w:ind w:left="121"/>
              <w:spacing w:after="0"/>
              <w:rPr>
                <w:sz w:val="20"/>
                <w:szCs w:val="20"/>
                <w:color w:val="auto"/>
              </w:rPr>
            </w:pPr>
            <w:r>
              <w:rPr>
                <w:rFonts w:ascii="Arial" w:cs="Arial" w:eastAsia="Arial" w:hAnsi="Arial"/>
                <w:sz w:val="16"/>
                <w:szCs w:val="16"/>
                <w:color w:val="auto"/>
              </w:rPr>
              <w:t>20.4%</w:t>
            </w:r>
          </w:p>
        </w:tc>
        <w:tc>
          <w:tcPr>
            <w:tcW w:w="2540" w:type="dxa"/>
            <w:vAlign w:val="bottom"/>
          </w:tcPr>
          <w:p>
            <w:pPr>
              <w:jc w:val="center"/>
              <w:ind w:left="322"/>
              <w:spacing w:after="0"/>
              <w:rPr>
                <w:sz w:val="20"/>
                <w:szCs w:val="20"/>
                <w:color w:val="auto"/>
              </w:rPr>
            </w:pPr>
            <w:r>
              <w:rPr>
                <w:rFonts w:ascii="Arial" w:cs="Arial" w:eastAsia="Arial" w:hAnsi="Arial"/>
                <w:sz w:val="16"/>
                <w:szCs w:val="16"/>
                <w:color w:val="auto"/>
              </w:rPr>
              <w:t>170 bps</w:t>
            </w:r>
          </w:p>
        </w:tc>
        <w:tc>
          <w:tcPr>
            <w:tcW w:w="1740" w:type="dxa"/>
            <w:vAlign w:val="bottom"/>
          </w:tcPr>
          <w:p>
            <w:pPr>
              <w:jc w:val="center"/>
              <w:ind w:left="200"/>
              <w:spacing w:after="0"/>
              <w:rPr>
                <w:sz w:val="20"/>
                <w:szCs w:val="20"/>
                <w:color w:val="auto"/>
              </w:rPr>
            </w:pPr>
            <w:r>
              <w:rPr>
                <w:rFonts w:ascii="Arial" w:cs="Arial" w:eastAsia="Arial" w:hAnsi="Arial"/>
                <w:sz w:val="16"/>
                <w:szCs w:val="16"/>
                <w:color w:val="auto"/>
              </w:rPr>
              <w:t>170 bps</w:t>
            </w: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5440" w:type="dxa"/>
            <w:vAlign w:val="bottom"/>
            <w:vMerge w:val="restart"/>
            <w:shd w:val="clear" w:color="auto" w:fill="EDEDED"/>
          </w:tcPr>
          <w:p>
            <w:pPr>
              <w:ind w:left="60"/>
              <w:spacing w:after="0"/>
              <w:rPr>
                <w:sz w:val="20"/>
                <w:szCs w:val="20"/>
                <w:color w:val="auto"/>
              </w:rPr>
            </w:pPr>
            <w:r>
              <w:rPr>
                <w:rFonts w:ascii="Arial" w:cs="Arial" w:eastAsia="Arial" w:hAnsi="Arial"/>
                <w:sz w:val="16"/>
                <w:szCs w:val="16"/>
                <w:b w:val="1"/>
                <w:bCs w:val="1"/>
                <w:color w:val="auto"/>
              </w:rPr>
              <w:t>Earnings from Operations</w:t>
            </w:r>
          </w:p>
        </w:tc>
        <w:tc>
          <w:tcPr>
            <w:tcW w:w="1300" w:type="dxa"/>
            <w:vAlign w:val="bottom"/>
            <w:shd w:val="clear" w:color="auto" w:fill="EDEDED"/>
          </w:tcPr>
          <w:p>
            <w:pPr>
              <w:jc w:val="center"/>
              <w:ind w:left="121"/>
              <w:spacing w:after="0"/>
              <w:rPr>
                <w:sz w:val="20"/>
                <w:szCs w:val="20"/>
                <w:color w:val="auto"/>
              </w:rPr>
            </w:pPr>
            <w:r>
              <w:rPr>
                <w:rFonts w:ascii="Arial" w:cs="Arial" w:eastAsia="Arial" w:hAnsi="Arial"/>
                <w:sz w:val="16"/>
                <w:szCs w:val="16"/>
                <w:color w:val="auto"/>
              </w:rPr>
              <w:t>$14.8M</w:t>
            </w:r>
          </w:p>
        </w:tc>
        <w:tc>
          <w:tcPr>
            <w:tcW w:w="2540" w:type="dxa"/>
            <w:vAlign w:val="bottom"/>
            <w:shd w:val="clear" w:color="auto" w:fill="EDEDED"/>
          </w:tcPr>
          <w:p>
            <w:pPr>
              <w:jc w:val="right"/>
              <w:ind w:right="702"/>
              <w:spacing w:after="0"/>
              <w:rPr>
                <w:sz w:val="20"/>
                <w:szCs w:val="20"/>
                <w:color w:val="auto"/>
              </w:rPr>
            </w:pPr>
            <w:r>
              <w:rPr>
                <w:rFonts w:ascii="Arial" w:cs="Arial" w:eastAsia="Arial" w:hAnsi="Arial"/>
                <w:sz w:val="16"/>
                <w:szCs w:val="16"/>
                <w:color w:val="auto"/>
              </w:rPr>
              <w:t>(69.7%)</w:t>
            </w:r>
          </w:p>
        </w:tc>
        <w:tc>
          <w:tcPr>
            <w:tcW w:w="1740" w:type="dxa"/>
            <w:vAlign w:val="bottom"/>
            <w:shd w:val="clear" w:color="auto" w:fill="EDEDED"/>
          </w:tcPr>
          <w:p>
            <w:pPr>
              <w:jc w:val="right"/>
              <w:ind w:right="240"/>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130"/>
        </w:trPr>
        <w:tc>
          <w:tcPr>
            <w:tcW w:w="5440" w:type="dxa"/>
            <w:vAlign w:val="bottom"/>
            <w:vMerge w:val="continue"/>
            <w:shd w:val="clear" w:color="auto" w:fill="EDEDED"/>
          </w:tcPr>
          <w:p>
            <w:pPr>
              <w:spacing w:after="0"/>
              <w:rPr>
                <w:sz w:val="11"/>
                <w:szCs w:val="11"/>
                <w:color w:val="auto"/>
              </w:rPr>
            </w:pPr>
          </w:p>
        </w:tc>
        <w:tc>
          <w:tcPr>
            <w:tcW w:w="1300" w:type="dxa"/>
            <w:vAlign w:val="bottom"/>
            <w:shd w:val="clear" w:color="auto" w:fill="EDEDED"/>
          </w:tcPr>
          <w:p>
            <w:pPr>
              <w:spacing w:after="0"/>
              <w:rPr>
                <w:sz w:val="11"/>
                <w:szCs w:val="11"/>
                <w:color w:val="auto"/>
              </w:rPr>
            </w:pPr>
          </w:p>
        </w:tc>
        <w:tc>
          <w:tcPr>
            <w:tcW w:w="2540" w:type="dxa"/>
            <w:vAlign w:val="bottom"/>
            <w:vMerge w:val="restart"/>
            <w:shd w:val="clear" w:color="auto" w:fill="EDEDED"/>
          </w:tcPr>
          <w:p>
            <w:pPr>
              <w:jc w:val="center"/>
              <w:ind w:left="342"/>
              <w:spacing w:after="0"/>
              <w:rPr>
                <w:sz w:val="20"/>
                <w:szCs w:val="20"/>
                <w:color w:val="auto"/>
              </w:rPr>
            </w:pPr>
            <w:r>
              <w:rPr>
                <w:rFonts w:ascii="Arial" w:cs="Arial" w:eastAsia="Arial" w:hAnsi="Arial"/>
                <w:sz w:val="16"/>
                <w:szCs w:val="16"/>
                <w:color w:val="auto"/>
              </w:rPr>
              <w:t>(61.3%) CC</w:t>
            </w:r>
            <w:r>
              <w:rPr>
                <w:rFonts w:ascii="Arial" w:cs="Arial" w:eastAsia="Arial" w:hAnsi="Arial"/>
                <w:sz w:val="24"/>
                <w:szCs w:val="24"/>
                <w:color w:val="auto"/>
                <w:vertAlign w:val="superscript"/>
              </w:rPr>
              <w:t>(1)</w:t>
            </w:r>
          </w:p>
        </w:tc>
        <w:tc>
          <w:tcPr>
            <w:tcW w:w="1740" w:type="dxa"/>
            <w:vAlign w:val="bottom"/>
            <w:vMerge w:val="restart"/>
            <w:shd w:val="clear" w:color="auto" w:fill="EDEDED"/>
          </w:tcPr>
          <w:p>
            <w:pPr>
              <w:jc w:val="center"/>
              <w:ind w:left="180"/>
              <w:spacing w:after="0"/>
              <w:rPr>
                <w:sz w:val="20"/>
                <w:szCs w:val="20"/>
                <w:color w:val="auto"/>
              </w:rPr>
            </w:pPr>
            <w:r>
              <w:rPr>
                <w:rFonts w:ascii="Arial" w:cs="Arial" w:eastAsia="Arial" w:hAnsi="Arial"/>
                <w:sz w:val="16"/>
                <w:szCs w:val="16"/>
                <w:color w:val="auto"/>
                <w:w w:val="99"/>
              </w:rPr>
              <w:t>37.7% CC</w:t>
            </w:r>
            <w:r>
              <w:rPr>
                <w:rFonts w:ascii="Arial" w:cs="Arial" w:eastAsia="Arial" w:hAnsi="Arial"/>
                <w:sz w:val="24"/>
                <w:szCs w:val="24"/>
                <w:color w:val="auto"/>
                <w:w w:val="99"/>
                <w:vertAlign w:val="superscript"/>
              </w:rPr>
              <w:t>(1)</w:t>
            </w:r>
          </w:p>
        </w:tc>
        <w:tc>
          <w:tcPr>
            <w:tcW w:w="0" w:type="dxa"/>
            <w:vAlign w:val="bottom"/>
          </w:tcPr>
          <w:p>
            <w:pPr>
              <w:spacing w:after="0"/>
              <w:rPr>
                <w:sz w:val="1"/>
                <w:szCs w:val="1"/>
                <w:color w:val="auto"/>
              </w:rPr>
            </w:pPr>
          </w:p>
        </w:tc>
      </w:tr>
      <w:tr>
        <w:trPr>
          <w:trHeight w:val="183"/>
        </w:trPr>
        <w:tc>
          <w:tcPr>
            <w:tcW w:w="5440" w:type="dxa"/>
            <w:vAlign w:val="bottom"/>
            <w:shd w:val="clear" w:color="auto" w:fill="EDEDED"/>
          </w:tcPr>
          <w:p>
            <w:pPr>
              <w:spacing w:after="0"/>
              <w:rPr>
                <w:sz w:val="15"/>
                <w:szCs w:val="15"/>
                <w:color w:val="auto"/>
              </w:rPr>
            </w:pPr>
          </w:p>
        </w:tc>
        <w:tc>
          <w:tcPr>
            <w:tcW w:w="1300" w:type="dxa"/>
            <w:vAlign w:val="bottom"/>
            <w:shd w:val="clear" w:color="auto" w:fill="EDEDED"/>
          </w:tcPr>
          <w:p>
            <w:pPr>
              <w:spacing w:after="0"/>
              <w:rPr>
                <w:sz w:val="15"/>
                <w:szCs w:val="15"/>
                <w:color w:val="auto"/>
              </w:rPr>
            </w:pPr>
          </w:p>
        </w:tc>
        <w:tc>
          <w:tcPr>
            <w:tcW w:w="2540" w:type="dxa"/>
            <w:vAlign w:val="bottom"/>
            <w:vMerge w:val="continue"/>
            <w:shd w:val="clear" w:color="auto" w:fill="EDEDED"/>
          </w:tcPr>
          <w:p>
            <w:pPr>
              <w:spacing w:after="0"/>
              <w:rPr>
                <w:sz w:val="15"/>
                <w:szCs w:val="15"/>
                <w:color w:val="auto"/>
              </w:rPr>
            </w:pPr>
          </w:p>
        </w:tc>
        <w:tc>
          <w:tcPr>
            <w:tcW w:w="1740" w:type="dxa"/>
            <w:vAlign w:val="bottom"/>
            <w:vMerge w:val="continue"/>
            <w:shd w:val="clear" w:color="auto" w:fill="EDEDED"/>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5440" w:type="dxa"/>
            <w:vAlign w:val="bottom"/>
          </w:tcPr>
          <w:p>
            <w:pPr>
              <w:ind w:left="60"/>
              <w:spacing w:after="0"/>
              <w:rPr>
                <w:sz w:val="20"/>
                <w:szCs w:val="20"/>
                <w:color w:val="auto"/>
              </w:rPr>
            </w:pPr>
            <w:r>
              <w:rPr>
                <w:rFonts w:ascii="Arial" w:cs="Arial" w:eastAsia="Arial" w:hAnsi="Arial"/>
                <w:sz w:val="16"/>
                <w:szCs w:val="16"/>
                <w:b w:val="1"/>
                <w:bCs w:val="1"/>
                <w:color w:val="auto"/>
              </w:rPr>
              <w:t>Adjusted EBITDA</w:t>
            </w:r>
          </w:p>
        </w:tc>
        <w:tc>
          <w:tcPr>
            <w:tcW w:w="1300" w:type="dxa"/>
            <w:vAlign w:val="bottom"/>
          </w:tcPr>
          <w:p>
            <w:pPr>
              <w:jc w:val="center"/>
              <w:ind w:left="141"/>
              <w:spacing w:after="0"/>
              <w:rPr>
                <w:sz w:val="20"/>
                <w:szCs w:val="20"/>
                <w:color w:val="auto"/>
              </w:rPr>
            </w:pPr>
            <w:r>
              <w:rPr>
                <w:rFonts w:ascii="Arial" w:cs="Arial" w:eastAsia="Arial" w:hAnsi="Arial"/>
                <w:sz w:val="16"/>
                <w:szCs w:val="16"/>
                <w:color w:val="auto"/>
              </w:rPr>
              <w:t>$105.6M</w:t>
            </w:r>
          </w:p>
        </w:tc>
        <w:tc>
          <w:tcPr>
            <w:tcW w:w="2540" w:type="dxa"/>
            <w:vAlign w:val="bottom"/>
          </w:tcPr>
          <w:p>
            <w:pPr>
              <w:spacing w:after="0"/>
              <w:rPr>
                <w:sz w:val="24"/>
                <w:szCs w:val="24"/>
                <w:color w:val="auto"/>
              </w:rPr>
            </w:pPr>
          </w:p>
        </w:tc>
        <w:tc>
          <w:tcPr>
            <w:tcW w:w="1740" w:type="dxa"/>
            <w:vAlign w:val="bottom"/>
          </w:tcPr>
          <w:p>
            <w:pPr>
              <w:jc w:val="right"/>
              <w:ind w:right="420"/>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156"/>
        </w:trPr>
        <w:tc>
          <w:tcPr>
            <w:tcW w:w="54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4"/>
        </w:trPr>
        <w:tc>
          <w:tcPr>
            <w:tcW w:w="5440" w:type="dxa"/>
            <w:vAlign w:val="bottom"/>
            <w:shd w:val="clear" w:color="auto" w:fill="EDEDED"/>
          </w:tcPr>
          <w:p>
            <w:pPr>
              <w:ind w:left="60"/>
              <w:spacing w:after="0"/>
              <w:rPr>
                <w:sz w:val="20"/>
                <w:szCs w:val="20"/>
                <w:color w:val="auto"/>
              </w:rPr>
            </w:pPr>
            <w:r>
              <w:rPr>
                <w:rFonts w:ascii="Arial" w:cs="Arial" w:eastAsia="Arial" w:hAnsi="Arial"/>
                <w:sz w:val="16"/>
                <w:szCs w:val="16"/>
                <w:b w:val="1"/>
                <w:bCs w:val="1"/>
                <w:color w:val="auto"/>
              </w:rPr>
              <w:t>Adjusted EBITDA Margin</w:t>
            </w:r>
          </w:p>
        </w:tc>
        <w:tc>
          <w:tcPr>
            <w:tcW w:w="1300" w:type="dxa"/>
            <w:vAlign w:val="bottom"/>
            <w:shd w:val="clear" w:color="auto" w:fill="EDEDED"/>
          </w:tcPr>
          <w:p>
            <w:pPr>
              <w:jc w:val="center"/>
              <w:ind w:left="141"/>
              <w:spacing w:after="0"/>
              <w:rPr>
                <w:sz w:val="20"/>
                <w:szCs w:val="20"/>
                <w:color w:val="auto"/>
              </w:rPr>
            </w:pPr>
            <w:r>
              <w:rPr>
                <w:rFonts w:ascii="Arial" w:cs="Arial" w:eastAsia="Arial" w:hAnsi="Arial"/>
                <w:sz w:val="16"/>
                <w:szCs w:val="16"/>
                <w:color w:val="auto"/>
                <w:w w:val="98"/>
              </w:rPr>
              <w:t>2.1%</w:t>
            </w:r>
          </w:p>
        </w:tc>
        <w:tc>
          <w:tcPr>
            <w:tcW w:w="2540" w:type="dxa"/>
            <w:vAlign w:val="bottom"/>
            <w:shd w:val="clear" w:color="auto" w:fill="EDEDED"/>
          </w:tcPr>
          <w:p>
            <w:pPr>
              <w:spacing w:after="0"/>
              <w:rPr>
                <w:sz w:val="24"/>
                <w:szCs w:val="24"/>
                <w:color w:val="auto"/>
              </w:rPr>
            </w:pPr>
          </w:p>
        </w:tc>
        <w:tc>
          <w:tcPr>
            <w:tcW w:w="1740" w:type="dxa"/>
            <w:vAlign w:val="bottom"/>
            <w:shd w:val="clear" w:color="auto" w:fill="EDEDED"/>
          </w:tcPr>
          <w:p>
            <w:pPr>
              <w:jc w:val="center"/>
              <w:ind w:left="180"/>
              <w:spacing w:after="0"/>
              <w:rPr>
                <w:sz w:val="20"/>
                <w:szCs w:val="20"/>
                <w:color w:val="auto"/>
              </w:rPr>
            </w:pPr>
            <w:r>
              <w:rPr>
                <w:rFonts w:ascii="Arial" w:cs="Arial" w:eastAsia="Arial" w:hAnsi="Arial"/>
                <w:sz w:val="16"/>
                <w:szCs w:val="16"/>
                <w:color w:val="auto"/>
              </w:rPr>
              <w:t>40 bps</w:t>
            </w:r>
          </w:p>
        </w:tc>
        <w:tc>
          <w:tcPr>
            <w:tcW w:w="0" w:type="dxa"/>
            <w:vAlign w:val="bottom"/>
          </w:tcPr>
          <w:p>
            <w:pPr>
              <w:spacing w:after="0"/>
              <w:rPr>
                <w:sz w:val="1"/>
                <w:szCs w:val="1"/>
                <w:color w:val="auto"/>
              </w:rPr>
            </w:pPr>
          </w:p>
        </w:tc>
      </w:tr>
      <w:tr>
        <w:trPr>
          <w:trHeight w:val="156"/>
        </w:trPr>
        <w:tc>
          <w:tcPr>
            <w:tcW w:w="5440" w:type="dxa"/>
            <w:vAlign w:val="bottom"/>
            <w:tcBorders>
              <w:bottom w:val="single" w:sz="8" w:color="auto"/>
            </w:tcBorders>
            <w:shd w:val="clear" w:color="auto" w:fill="EDEDED"/>
          </w:tcPr>
          <w:p>
            <w:pPr>
              <w:spacing w:after="0"/>
              <w:rPr>
                <w:sz w:val="13"/>
                <w:szCs w:val="13"/>
                <w:color w:val="auto"/>
              </w:rPr>
            </w:pPr>
          </w:p>
        </w:tc>
        <w:tc>
          <w:tcPr>
            <w:tcW w:w="1300" w:type="dxa"/>
            <w:vAlign w:val="bottom"/>
            <w:tcBorders>
              <w:bottom w:val="single" w:sz="8" w:color="auto"/>
            </w:tcBorders>
            <w:shd w:val="clear" w:color="auto" w:fill="EDEDED"/>
          </w:tcPr>
          <w:p>
            <w:pPr>
              <w:spacing w:after="0"/>
              <w:rPr>
                <w:sz w:val="13"/>
                <w:szCs w:val="13"/>
                <w:color w:val="auto"/>
              </w:rPr>
            </w:pPr>
          </w:p>
        </w:tc>
        <w:tc>
          <w:tcPr>
            <w:tcW w:w="2540" w:type="dxa"/>
            <w:vAlign w:val="bottom"/>
            <w:tcBorders>
              <w:bottom w:val="single" w:sz="8" w:color="auto"/>
            </w:tcBorders>
            <w:shd w:val="clear" w:color="auto" w:fill="EDEDED"/>
          </w:tcPr>
          <w:p>
            <w:pPr>
              <w:spacing w:after="0"/>
              <w:rPr>
                <w:sz w:val="13"/>
                <w:szCs w:val="13"/>
                <w:color w:val="auto"/>
              </w:rPr>
            </w:pPr>
          </w:p>
        </w:tc>
        <w:tc>
          <w:tcPr>
            <w:tcW w:w="1740" w:type="dxa"/>
            <w:vAlign w:val="bottom"/>
            <w:tcBorders>
              <w:bottom w:val="single" w:sz="8" w:color="auto"/>
            </w:tcBorders>
            <w:shd w:val="clear" w:color="auto" w:fill="EDEDED"/>
          </w:tcPr>
          <w:p>
            <w:pPr>
              <w:spacing w:after="0"/>
              <w:rPr>
                <w:sz w:val="13"/>
                <w:szCs w:val="13"/>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440" w:hanging="324"/>
        <w:spacing w:after="0"/>
        <w:tabs>
          <w:tab w:leader="none" w:pos="440" w:val="left"/>
        </w:tabs>
        <w:numPr>
          <w:ilvl w:val="0"/>
          <w:numId w:val="8"/>
        </w:numPr>
        <w:rPr>
          <w:rFonts w:ascii="Arial" w:cs="Arial" w:eastAsia="Arial" w:hAnsi="Arial"/>
          <w:sz w:val="19"/>
          <w:szCs w:val="19"/>
          <w:color w:val="auto"/>
          <w:vertAlign w:val="superscript"/>
        </w:rPr>
      </w:pPr>
      <w:r>
        <w:rPr>
          <w:rFonts w:ascii="Arial" w:cs="Arial" w:eastAsia="Arial" w:hAnsi="Arial"/>
          <w:sz w:val="13"/>
          <w:szCs w:val="13"/>
          <w:color w:val="auto"/>
        </w:rPr>
        <w:t>Constant Currency (“CC”) represents year-over-year changes resulting from translating 2022 financial data into USD using 2021 exchange rates</w:t>
      </w:r>
    </w:p>
    <w:p>
      <w:pPr>
        <w:spacing w:after="0" w:line="62" w:lineRule="exact"/>
        <w:rPr>
          <w:rFonts w:ascii="Arial" w:cs="Arial" w:eastAsia="Arial" w:hAnsi="Arial"/>
          <w:sz w:val="19"/>
          <w:szCs w:val="19"/>
          <w:color w:val="auto"/>
          <w:vertAlign w:val="superscript"/>
        </w:rPr>
      </w:pPr>
    </w:p>
    <w:p>
      <w:pPr>
        <w:ind w:left="440" w:hanging="324"/>
        <w:spacing w:after="0" w:line="189" w:lineRule="auto"/>
        <w:tabs>
          <w:tab w:leader="none" w:pos="440" w:val="left"/>
        </w:tabs>
        <w:numPr>
          <w:ilvl w:val="0"/>
          <w:numId w:val="8"/>
        </w:numPr>
        <w:rPr>
          <w:rFonts w:ascii="Arial" w:cs="Arial" w:eastAsia="Arial" w:hAnsi="Arial"/>
          <w:sz w:val="17"/>
          <w:szCs w:val="17"/>
          <w:color w:val="auto"/>
          <w:vertAlign w:val="superscript"/>
        </w:rPr>
      </w:pPr>
      <w:r>
        <w:rPr>
          <w:rFonts w:ascii="Arial" w:cs="Arial" w:eastAsia="Arial" w:hAnsi="Arial"/>
          <w:sz w:val="11"/>
          <w:szCs w:val="11"/>
          <w:color w:val="auto"/>
        </w:rPr>
        <w:t>See reconciliation of Non-GAAP Measures included in Form 8-K dated February 16, 2023</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Portfolio Progress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M&amp;A activities are shifting our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166370</wp:posOffset>
            </wp:positionV>
            <wp:extent cx="5760720" cy="3308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60720"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1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-142875</wp:posOffset>
            </wp:positionV>
            <wp:extent cx="411480" cy="1968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Proxy Summary</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Our Operating Model Aligns to these Specialties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(As Reported, by Business Unit)</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priorities for each segment are clear.</w:t>
      </w:r>
    </w:p>
    <w:p>
      <w:pPr>
        <w:spacing w:after="0" w:line="111" w:lineRule="exact"/>
        <w:rPr>
          <w:sz w:val="20"/>
          <w:szCs w:val="20"/>
          <w:color w:val="auto"/>
        </w:rPr>
      </w:pPr>
    </w:p>
    <w:tbl>
      <w:tblPr>
        <w:tblLayout w:type="fixed"/>
        <w:tblInd w:w="120" w:type="dxa"/>
        <w:tblCellMar>
          <w:top w:w="0" w:type="dxa"/>
          <w:left w:w="0" w:type="dxa"/>
          <w:bottom w:w="0" w:type="dxa"/>
          <w:right w:w="0" w:type="dxa"/>
        </w:tblCellMar>
      </w:tblPr>
      <w:tr>
        <w:trPr>
          <w:trHeight w:val="326"/>
        </w:trPr>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gridSpan w:val="2"/>
          </w:tcPr>
          <w:p>
            <w:pPr>
              <w:ind w:left="780"/>
              <w:spacing w:after="0"/>
              <w:rPr>
                <w:sz w:val="20"/>
                <w:szCs w:val="20"/>
                <w:color w:val="auto"/>
              </w:rPr>
            </w:pPr>
            <w:r>
              <w:rPr>
                <w:rFonts w:ascii="Arial" w:cs="Arial" w:eastAsia="Arial" w:hAnsi="Arial"/>
                <w:sz w:val="16"/>
                <w:szCs w:val="16"/>
                <w:b w:val="1"/>
                <w:bCs w:val="1"/>
                <w:color w:val="00AF41"/>
              </w:rPr>
              <w:t>Optimize Operations</w:t>
            </w:r>
          </w:p>
        </w:tc>
        <w:tc>
          <w:tcPr>
            <w:tcW w:w="1760" w:type="dxa"/>
            <w:vAlign w:val="bottom"/>
            <w:gridSpan w:val="2"/>
            <w:vMerge w:val="restart"/>
          </w:tcPr>
          <w:p>
            <w:pPr>
              <w:ind w:left="720"/>
              <w:spacing w:after="0"/>
              <w:rPr>
                <w:sz w:val="20"/>
                <w:szCs w:val="20"/>
                <w:color w:val="auto"/>
              </w:rPr>
            </w:pPr>
            <w:r>
              <w:rPr>
                <w:rFonts w:ascii="Times New Roman" w:cs="Times New Roman" w:eastAsia="Times New Roman" w:hAnsi="Times New Roman"/>
                <w:sz w:val="49"/>
                <w:szCs w:val="49"/>
                <w:color w:val="auto"/>
              </w:rPr>
              <w:t>®</w:t>
            </w:r>
          </w:p>
        </w:tc>
        <w:tc>
          <w:tcPr>
            <w:tcW w:w="39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00AF41"/>
              </w:rPr>
              <w:t>Accelerate Organic and Inorganic Growth</w:t>
            </w:r>
          </w:p>
        </w:tc>
        <w:tc>
          <w:tcPr>
            <w:tcW w:w="0" w:type="dxa"/>
            <w:vAlign w:val="bottom"/>
          </w:tcPr>
          <w:p>
            <w:pPr>
              <w:spacing w:after="0"/>
              <w:rPr>
                <w:sz w:val="1"/>
                <w:szCs w:val="1"/>
                <w:color w:val="auto"/>
              </w:rPr>
            </w:pPr>
          </w:p>
        </w:tc>
      </w:tr>
      <w:tr>
        <w:trPr>
          <w:trHeight w:val="128"/>
        </w:trPr>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380" w:type="dxa"/>
            <w:vAlign w:val="bottom"/>
            <w:gridSpan w:val="2"/>
            <w:vMerge w:val="restart"/>
          </w:tcPr>
          <w:p>
            <w:pPr>
              <w:ind w:left="720"/>
              <w:spacing w:after="0"/>
              <w:rPr>
                <w:sz w:val="20"/>
                <w:szCs w:val="20"/>
                <w:color w:val="auto"/>
              </w:rPr>
            </w:pPr>
            <w:r>
              <w:rPr>
                <w:rFonts w:ascii="Arial" w:cs="Arial" w:eastAsia="Arial" w:hAnsi="Arial"/>
                <w:sz w:val="16"/>
                <w:szCs w:val="16"/>
                <w:b w:val="1"/>
                <w:bCs w:val="1"/>
                <w:color w:val="00AF41"/>
              </w:rPr>
              <w:t>and Drive Efficiencies</w:t>
            </w:r>
          </w:p>
        </w:tc>
        <w:tc>
          <w:tcPr>
            <w:tcW w:w="1760" w:type="dxa"/>
            <w:vAlign w:val="bottom"/>
            <w:gridSpan w:val="2"/>
            <w:vMerge w:val="continue"/>
          </w:tcPr>
          <w:p>
            <w:pPr>
              <w:spacing w:after="0"/>
              <w:rPr>
                <w:sz w:val="11"/>
                <w:szCs w:val="11"/>
                <w:color w:val="auto"/>
              </w:rPr>
            </w:pPr>
          </w:p>
        </w:tc>
        <w:tc>
          <w:tcPr>
            <w:tcW w:w="3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100" w:type="dxa"/>
            <w:vAlign w:val="bottom"/>
            <w:tcBorders>
              <w:bottom w:val="single" w:sz="8" w:color="77BC1F"/>
            </w:tcBorders>
          </w:tcPr>
          <w:p>
            <w:pPr>
              <w:spacing w:after="0"/>
              <w:rPr>
                <w:sz w:val="14"/>
                <w:szCs w:val="14"/>
                <w:color w:val="auto"/>
              </w:rPr>
            </w:pPr>
          </w:p>
        </w:tc>
        <w:tc>
          <w:tcPr>
            <w:tcW w:w="3380" w:type="dxa"/>
            <w:vAlign w:val="bottom"/>
            <w:tcBorders>
              <w:bottom w:val="single" w:sz="8" w:color="77BC1F"/>
            </w:tcBorders>
            <w:gridSpan w:val="2"/>
            <w:vMerge w:val="continue"/>
          </w:tcPr>
          <w:p>
            <w:pPr>
              <w:spacing w:after="0"/>
              <w:rPr>
                <w:sz w:val="14"/>
                <w:szCs w:val="14"/>
                <w:color w:val="auto"/>
              </w:rPr>
            </w:pPr>
          </w:p>
        </w:tc>
        <w:tc>
          <w:tcPr>
            <w:tcW w:w="1760" w:type="dxa"/>
            <w:vAlign w:val="bottom"/>
            <w:tcBorders>
              <w:bottom w:val="single" w:sz="8" w:color="00AF41"/>
            </w:tcBorders>
            <w:gridSpan w:val="2"/>
            <w:vMerge w:val="continue"/>
          </w:tcPr>
          <w:p>
            <w:pPr>
              <w:spacing w:after="0"/>
              <w:rPr>
                <w:sz w:val="14"/>
                <w:szCs w:val="14"/>
                <w:color w:val="auto"/>
              </w:rPr>
            </w:pPr>
          </w:p>
        </w:tc>
        <w:tc>
          <w:tcPr>
            <w:tcW w:w="2000" w:type="dxa"/>
            <w:vAlign w:val="bottom"/>
            <w:tcBorders>
              <w:bottom w:val="single" w:sz="8" w:color="00AF41"/>
            </w:tcBorders>
          </w:tcPr>
          <w:p>
            <w:pPr>
              <w:spacing w:after="0"/>
              <w:rPr>
                <w:sz w:val="14"/>
                <w:szCs w:val="14"/>
                <w:color w:val="auto"/>
              </w:rPr>
            </w:pPr>
          </w:p>
        </w:tc>
        <w:tc>
          <w:tcPr>
            <w:tcW w:w="1920" w:type="dxa"/>
            <w:vAlign w:val="bottom"/>
            <w:tcBorders>
              <w:bottom w:val="single" w:sz="8" w:color="00AF41"/>
            </w:tcBorders>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1760" w:type="dxa"/>
            <w:vAlign w:val="bottom"/>
            <w:tcBorders>
              <w:right w:val="single" w:sz="8" w:color="77BC1F"/>
            </w:tcBorders>
          </w:tcPr>
          <w:p>
            <w:pPr>
              <w:spacing w:after="0"/>
              <w:rPr>
                <w:sz w:val="20"/>
                <w:szCs w:val="20"/>
                <w:color w:val="auto"/>
              </w:rPr>
            </w:pPr>
          </w:p>
        </w:tc>
        <w:tc>
          <w:tcPr>
            <w:tcW w:w="100" w:type="dxa"/>
            <w:vAlign w:val="bottom"/>
            <w:shd w:val="clear" w:color="auto" w:fill="E3F1D2"/>
          </w:tcPr>
          <w:p>
            <w:pPr>
              <w:spacing w:after="0"/>
              <w:rPr>
                <w:sz w:val="20"/>
                <w:szCs w:val="20"/>
                <w:color w:val="auto"/>
              </w:rPr>
            </w:pPr>
          </w:p>
        </w:tc>
        <w:tc>
          <w:tcPr>
            <w:tcW w:w="1560" w:type="dxa"/>
            <w:vAlign w:val="bottom"/>
            <w:shd w:val="clear" w:color="auto" w:fill="E3F1D2"/>
          </w:tcPr>
          <w:p>
            <w:pPr>
              <w:spacing w:after="0"/>
              <w:rPr>
                <w:sz w:val="20"/>
                <w:szCs w:val="20"/>
                <w:color w:val="auto"/>
              </w:rPr>
            </w:pPr>
            <w:r>
              <w:rPr>
                <w:rFonts w:ascii="Arial" w:cs="Arial" w:eastAsia="Arial" w:hAnsi="Arial"/>
                <w:sz w:val="14"/>
                <w:szCs w:val="14"/>
                <w:b w:val="1"/>
                <w:bCs w:val="1"/>
                <w:color w:val="00AF41"/>
              </w:rPr>
              <w:t xml:space="preserve">Kelly </w:t>
            </w:r>
            <w:r>
              <w:rPr>
                <w:rFonts w:ascii="Arial" w:cs="Arial" w:eastAsia="Arial" w:hAnsi="Arial"/>
                <w:sz w:val="14"/>
                <w:szCs w:val="14"/>
                <w:b w:val="1"/>
                <w:bCs w:val="1"/>
                <w:color w:val="000000"/>
              </w:rPr>
              <w:t>Professional &amp;</w:t>
            </w:r>
          </w:p>
        </w:tc>
        <w:tc>
          <w:tcPr>
            <w:tcW w:w="1820" w:type="dxa"/>
            <w:vAlign w:val="bottom"/>
            <w:tcBorders>
              <w:right w:val="single" w:sz="8" w:color="00AF41"/>
            </w:tcBorders>
            <w:shd w:val="clear" w:color="auto" w:fill="E3F1D2"/>
          </w:tcPr>
          <w:p>
            <w:pPr>
              <w:spacing w:after="0"/>
              <w:rPr>
                <w:sz w:val="20"/>
                <w:szCs w:val="20"/>
                <w:color w:val="auto"/>
              </w:rPr>
            </w:pPr>
          </w:p>
        </w:tc>
        <w:tc>
          <w:tcPr>
            <w:tcW w:w="3760" w:type="dxa"/>
            <w:vAlign w:val="bottom"/>
            <w:gridSpan w:val="3"/>
            <w:shd w:val="clear" w:color="auto" w:fill="F2F2F2"/>
          </w:tcPr>
          <w:p>
            <w:pPr>
              <w:ind w:left="120"/>
              <w:spacing w:after="0"/>
              <w:rPr>
                <w:sz w:val="20"/>
                <w:szCs w:val="20"/>
                <w:color w:val="auto"/>
              </w:rPr>
            </w:pPr>
            <w:r>
              <w:rPr>
                <w:rFonts w:ascii="Arial" w:cs="Arial" w:eastAsia="Arial" w:hAnsi="Arial"/>
                <w:sz w:val="14"/>
                <w:szCs w:val="14"/>
                <w:b w:val="1"/>
                <w:bCs w:val="1"/>
                <w:color w:val="00AF41"/>
              </w:rPr>
              <w:t xml:space="preserve">Kelly </w:t>
            </w:r>
            <w:r>
              <w:rPr>
                <w:rFonts w:ascii="Arial" w:cs="Arial" w:eastAsia="Arial" w:hAnsi="Arial"/>
                <w:sz w:val="14"/>
                <w:szCs w:val="14"/>
                <w:b w:val="1"/>
                <w:bCs w:val="1"/>
                <w:color w:val="000000"/>
              </w:rPr>
              <w:t>Science, Engineering,</w:t>
            </w:r>
          </w:p>
        </w:tc>
        <w:tc>
          <w:tcPr>
            <w:tcW w:w="1920" w:type="dxa"/>
            <w:vAlign w:val="bottom"/>
            <w:tcBorders>
              <w:right w:val="single" w:sz="8" w:color="00AF41"/>
            </w:tcBorders>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60" w:type="dxa"/>
            <w:vAlign w:val="bottom"/>
            <w:tcBorders>
              <w:right w:val="single" w:sz="8" w:color="77BC1F"/>
            </w:tcBorders>
          </w:tcPr>
          <w:p>
            <w:pPr>
              <w:spacing w:after="0"/>
              <w:rPr>
                <w:sz w:val="20"/>
                <w:szCs w:val="20"/>
                <w:color w:val="auto"/>
              </w:rPr>
            </w:pPr>
          </w:p>
        </w:tc>
        <w:tc>
          <w:tcPr>
            <w:tcW w:w="100" w:type="dxa"/>
            <w:vAlign w:val="bottom"/>
            <w:tcBorders>
              <w:bottom w:val="single" w:sz="8" w:color="E3F1D2"/>
            </w:tcBorders>
            <w:shd w:val="clear" w:color="auto" w:fill="E3F1D2"/>
          </w:tcPr>
          <w:p>
            <w:pPr>
              <w:spacing w:after="0"/>
              <w:rPr>
                <w:sz w:val="20"/>
                <w:szCs w:val="20"/>
                <w:color w:val="auto"/>
              </w:rPr>
            </w:pPr>
          </w:p>
        </w:tc>
        <w:tc>
          <w:tcPr>
            <w:tcW w:w="1560" w:type="dxa"/>
            <w:vAlign w:val="bottom"/>
            <w:tcBorders>
              <w:bottom w:val="single" w:sz="8" w:color="E3F1D2"/>
            </w:tcBorders>
            <w:shd w:val="clear" w:color="auto" w:fill="E3F1D2"/>
          </w:tcPr>
          <w:p>
            <w:pPr>
              <w:spacing w:after="0"/>
              <w:rPr>
                <w:sz w:val="20"/>
                <w:szCs w:val="20"/>
                <w:color w:val="auto"/>
              </w:rPr>
            </w:pPr>
            <w:r>
              <w:rPr>
                <w:rFonts w:ascii="Arial" w:cs="Arial" w:eastAsia="Arial" w:hAnsi="Arial"/>
                <w:sz w:val="14"/>
                <w:szCs w:val="14"/>
                <w:b w:val="1"/>
                <w:bCs w:val="1"/>
                <w:color w:val="auto"/>
              </w:rPr>
              <w:t>Industrial</w:t>
            </w:r>
          </w:p>
        </w:tc>
        <w:tc>
          <w:tcPr>
            <w:tcW w:w="1820" w:type="dxa"/>
            <w:vAlign w:val="bottom"/>
            <w:tcBorders>
              <w:bottom w:val="single" w:sz="8" w:color="E3F1D2"/>
              <w:right w:val="single" w:sz="8" w:color="00AF41"/>
            </w:tcBorders>
            <w:shd w:val="clear" w:color="auto" w:fill="E3F1D2"/>
          </w:tcPr>
          <w:p>
            <w:pPr>
              <w:ind w:left="160"/>
              <w:spacing w:after="0"/>
              <w:rPr>
                <w:sz w:val="20"/>
                <w:szCs w:val="20"/>
                <w:color w:val="auto"/>
              </w:rPr>
            </w:pPr>
            <w:r>
              <w:rPr>
                <w:rFonts w:ascii="Arial" w:cs="Arial" w:eastAsia="Arial" w:hAnsi="Arial"/>
                <w:sz w:val="14"/>
                <w:szCs w:val="14"/>
                <w:b w:val="1"/>
                <w:bCs w:val="1"/>
                <w:color w:val="00AF41"/>
              </w:rPr>
              <w:t xml:space="preserve">Kelly </w:t>
            </w:r>
            <w:r>
              <w:rPr>
                <w:rFonts w:ascii="Arial" w:cs="Arial" w:eastAsia="Arial" w:hAnsi="Arial"/>
                <w:sz w:val="14"/>
                <w:szCs w:val="14"/>
                <w:b w:val="1"/>
                <w:bCs w:val="1"/>
                <w:color w:val="000000"/>
              </w:rPr>
              <w:t>International</w:t>
            </w:r>
          </w:p>
        </w:tc>
        <w:tc>
          <w:tcPr>
            <w:tcW w:w="1760" w:type="dxa"/>
            <w:vAlign w:val="bottom"/>
            <w:tcBorders>
              <w:bottom w:val="single" w:sz="8" w:color="F2F2F2"/>
            </w:tcBorders>
            <w:gridSpan w:val="2"/>
            <w:shd w:val="clear" w:color="auto" w:fill="F2F2F2"/>
          </w:tcPr>
          <w:p>
            <w:pPr>
              <w:ind w:left="120"/>
              <w:spacing w:after="0"/>
              <w:rPr>
                <w:sz w:val="20"/>
                <w:szCs w:val="20"/>
                <w:color w:val="auto"/>
              </w:rPr>
            </w:pPr>
            <w:r>
              <w:rPr>
                <w:rFonts w:ascii="Arial" w:cs="Arial" w:eastAsia="Arial" w:hAnsi="Arial"/>
                <w:sz w:val="14"/>
                <w:szCs w:val="14"/>
                <w:b w:val="1"/>
                <w:bCs w:val="1"/>
                <w:color w:val="auto"/>
              </w:rPr>
              <w:t>Technology &amp; Telecom</w:t>
            </w:r>
          </w:p>
        </w:tc>
        <w:tc>
          <w:tcPr>
            <w:tcW w:w="2000" w:type="dxa"/>
            <w:vAlign w:val="bottom"/>
            <w:tcBorders>
              <w:bottom w:val="single" w:sz="8" w:color="F2F2F2"/>
            </w:tcBorders>
            <w:shd w:val="clear" w:color="auto" w:fill="F2F2F2"/>
          </w:tcPr>
          <w:p>
            <w:pPr>
              <w:ind w:left="640"/>
              <w:spacing w:after="0"/>
              <w:rPr>
                <w:sz w:val="20"/>
                <w:szCs w:val="20"/>
                <w:color w:val="auto"/>
              </w:rPr>
            </w:pPr>
            <w:r>
              <w:rPr>
                <w:rFonts w:ascii="Arial" w:cs="Arial" w:eastAsia="Arial" w:hAnsi="Arial"/>
                <w:sz w:val="14"/>
                <w:szCs w:val="14"/>
                <w:b w:val="1"/>
                <w:bCs w:val="1"/>
                <w:color w:val="00AF41"/>
              </w:rPr>
              <w:t xml:space="preserve">Kelly </w:t>
            </w:r>
            <w:r>
              <w:rPr>
                <w:rFonts w:ascii="Arial" w:cs="Arial" w:eastAsia="Arial" w:hAnsi="Arial"/>
                <w:sz w:val="14"/>
                <w:szCs w:val="14"/>
                <w:b w:val="1"/>
                <w:bCs w:val="1"/>
                <w:color w:val="000000"/>
              </w:rPr>
              <w:t>Education</w:t>
            </w:r>
          </w:p>
        </w:tc>
        <w:tc>
          <w:tcPr>
            <w:tcW w:w="1920" w:type="dxa"/>
            <w:vAlign w:val="bottom"/>
            <w:tcBorders>
              <w:bottom w:val="single" w:sz="8" w:color="F2F2F2"/>
              <w:right w:val="single" w:sz="8" w:color="00AF41"/>
            </w:tcBorders>
            <w:shd w:val="clear" w:color="auto" w:fill="F2F2F2"/>
          </w:tcPr>
          <w:p>
            <w:pPr>
              <w:ind w:left="140"/>
              <w:spacing w:after="0"/>
              <w:rPr>
                <w:sz w:val="20"/>
                <w:szCs w:val="20"/>
                <w:color w:val="auto"/>
              </w:rPr>
            </w:pPr>
            <w:r>
              <w:rPr>
                <w:rFonts w:ascii="Arial" w:cs="Arial" w:eastAsia="Arial" w:hAnsi="Arial"/>
                <w:sz w:val="14"/>
                <w:szCs w:val="14"/>
                <w:b w:val="1"/>
                <w:bCs w:val="1"/>
                <w:color w:val="00AF41"/>
              </w:rPr>
              <w:t xml:space="preserve">Kelly </w:t>
            </w:r>
            <w:r>
              <w:rPr>
                <w:rFonts w:ascii="Arial" w:cs="Arial" w:eastAsia="Arial" w:hAnsi="Arial"/>
                <w:sz w:val="14"/>
                <w:szCs w:val="14"/>
                <w:b w:val="1"/>
                <w:bCs w:val="1"/>
                <w:color w:val="000000"/>
              </w:rPr>
              <w:t>OCG</w:t>
            </w:r>
          </w:p>
        </w:tc>
        <w:tc>
          <w:tcPr>
            <w:tcW w:w="0" w:type="dxa"/>
            <w:vAlign w:val="bottom"/>
          </w:tcPr>
          <w:p>
            <w:pPr>
              <w:spacing w:after="0"/>
              <w:rPr>
                <w:sz w:val="1"/>
                <w:szCs w:val="1"/>
                <w:color w:val="auto"/>
              </w:rPr>
            </w:pPr>
          </w:p>
        </w:tc>
      </w:tr>
      <w:tr>
        <w:trPr>
          <w:trHeight w:val="277"/>
        </w:trPr>
        <w:tc>
          <w:tcPr>
            <w:tcW w:w="1760" w:type="dxa"/>
            <w:vAlign w:val="bottom"/>
            <w:tcBorders>
              <w:top w:val="single" w:sz="8" w:color="auto"/>
              <w:right w:val="single" w:sz="8" w:color="77BC1F"/>
            </w:tcBorders>
            <w:shd w:val="clear" w:color="auto" w:fill="E5E5E5"/>
          </w:tcPr>
          <w:p>
            <w:pPr>
              <w:ind w:left="60"/>
              <w:spacing w:after="0"/>
              <w:rPr>
                <w:sz w:val="20"/>
                <w:szCs w:val="20"/>
                <w:color w:val="auto"/>
              </w:rPr>
            </w:pPr>
            <w:r>
              <w:rPr>
                <w:rFonts w:ascii="Arial" w:cs="Arial" w:eastAsia="Arial" w:hAnsi="Arial"/>
                <w:sz w:val="14"/>
                <w:szCs w:val="14"/>
                <w:b w:val="1"/>
                <w:bCs w:val="1"/>
                <w:color w:val="auto"/>
              </w:rPr>
              <w:t>Revenue</w:t>
            </w:r>
            <w:r>
              <w:rPr>
                <w:rFonts w:ascii="Arial" w:cs="Arial" w:eastAsia="Arial" w:hAnsi="Arial"/>
                <w:sz w:val="21"/>
                <w:szCs w:val="21"/>
                <w:b w:val="1"/>
                <w:bCs w:val="1"/>
                <w:color w:val="auto"/>
                <w:vertAlign w:val="superscript"/>
              </w:rPr>
              <w:t>(1)</w:t>
            </w:r>
          </w:p>
        </w:tc>
        <w:tc>
          <w:tcPr>
            <w:tcW w:w="100" w:type="dxa"/>
            <w:vAlign w:val="bottom"/>
            <w:tcBorders>
              <w:top w:val="single" w:sz="8" w:color="auto"/>
            </w:tcBorders>
            <w:shd w:val="clear" w:color="auto" w:fill="E5E5E5"/>
          </w:tcPr>
          <w:p>
            <w:pPr>
              <w:spacing w:after="0"/>
              <w:rPr>
                <w:sz w:val="24"/>
                <w:szCs w:val="24"/>
                <w:color w:val="auto"/>
              </w:rPr>
            </w:pPr>
          </w:p>
        </w:tc>
        <w:tc>
          <w:tcPr>
            <w:tcW w:w="15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4"/>
                <w:szCs w:val="14"/>
                <w:color w:val="auto"/>
              </w:rPr>
              <w:t>$1.7B</w:t>
            </w:r>
          </w:p>
        </w:tc>
        <w:tc>
          <w:tcPr>
            <w:tcW w:w="1820" w:type="dxa"/>
            <w:vAlign w:val="bottom"/>
            <w:tcBorders>
              <w:top w:val="single" w:sz="8" w:color="auto"/>
              <w:right w:val="single" w:sz="8" w:color="00AF41"/>
            </w:tcBorders>
            <w:shd w:val="clear" w:color="auto" w:fill="E5E5E5"/>
          </w:tcPr>
          <w:p>
            <w:pPr>
              <w:ind w:left="160"/>
              <w:spacing w:after="0"/>
              <w:rPr>
                <w:sz w:val="20"/>
                <w:szCs w:val="20"/>
                <w:color w:val="auto"/>
              </w:rPr>
            </w:pPr>
            <w:r>
              <w:rPr>
                <w:rFonts w:ascii="Arial" w:cs="Arial" w:eastAsia="Arial" w:hAnsi="Arial"/>
                <w:sz w:val="14"/>
                <w:szCs w:val="14"/>
                <w:color w:val="auto"/>
              </w:rPr>
              <w:t>$0.9B</w:t>
            </w:r>
          </w:p>
        </w:tc>
        <w:tc>
          <w:tcPr>
            <w:tcW w:w="1760" w:type="dxa"/>
            <w:vAlign w:val="bottom"/>
            <w:tcBorders>
              <w:top w:val="single" w:sz="8" w:color="auto"/>
            </w:tcBorders>
            <w:gridSpan w:val="2"/>
            <w:shd w:val="clear" w:color="auto" w:fill="E5E5E5"/>
          </w:tcPr>
          <w:p>
            <w:pPr>
              <w:ind w:left="120"/>
              <w:spacing w:after="0"/>
              <w:rPr>
                <w:sz w:val="20"/>
                <w:szCs w:val="20"/>
                <w:color w:val="auto"/>
              </w:rPr>
            </w:pPr>
            <w:r>
              <w:rPr>
                <w:rFonts w:ascii="Arial" w:cs="Arial" w:eastAsia="Arial" w:hAnsi="Arial"/>
                <w:sz w:val="14"/>
                <w:szCs w:val="14"/>
                <w:color w:val="auto"/>
              </w:rPr>
              <w:t>$1.3B</w:t>
            </w:r>
          </w:p>
        </w:tc>
        <w:tc>
          <w:tcPr>
            <w:tcW w:w="2000" w:type="dxa"/>
            <w:vAlign w:val="bottom"/>
            <w:tcBorders>
              <w:top w:val="single" w:sz="8" w:color="auto"/>
            </w:tcBorders>
            <w:shd w:val="clear" w:color="auto" w:fill="E5E5E5"/>
          </w:tcPr>
          <w:p>
            <w:pPr>
              <w:ind w:left="640"/>
              <w:spacing w:after="0"/>
              <w:rPr>
                <w:sz w:val="20"/>
                <w:szCs w:val="20"/>
                <w:color w:val="auto"/>
              </w:rPr>
            </w:pPr>
            <w:r>
              <w:rPr>
                <w:rFonts w:ascii="Arial" w:cs="Arial" w:eastAsia="Arial" w:hAnsi="Arial"/>
                <w:sz w:val="14"/>
                <w:szCs w:val="14"/>
                <w:color w:val="auto"/>
              </w:rPr>
              <w:t>$0.6B</w:t>
            </w:r>
            <w:r>
              <w:rPr>
                <w:rFonts w:ascii="Arial" w:cs="Arial" w:eastAsia="Arial" w:hAnsi="Arial"/>
                <w:sz w:val="21"/>
                <w:szCs w:val="21"/>
                <w:color w:val="auto"/>
                <w:vertAlign w:val="superscript"/>
              </w:rPr>
              <w:t>(2)</w:t>
            </w:r>
          </w:p>
        </w:tc>
        <w:tc>
          <w:tcPr>
            <w:tcW w:w="1920" w:type="dxa"/>
            <w:vAlign w:val="bottom"/>
            <w:tcBorders>
              <w:top w:val="single" w:sz="8" w:color="auto"/>
              <w:right w:val="single" w:sz="8" w:color="00AF41"/>
            </w:tcBorders>
            <w:shd w:val="clear" w:color="auto" w:fill="E5E5E5"/>
          </w:tcPr>
          <w:p>
            <w:pPr>
              <w:ind w:left="140"/>
              <w:spacing w:after="0"/>
              <w:rPr>
                <w:sz w:val="20"/>
                <w:szCs w:val="20"/>
                <w:color w:val="auto"/>
              </w:rPr>
            </w:pPr>
            <w:r>
              <w:rPr>
                <w:rFonts w:ascii="Arial" w:cs="Arial" w:eastAsia="Arial" w:hAnsi="Arial"/>
                <w:sz w:val="14"/>
                <w:szCs w:val="14"/>
                <w:color w:val="auto"/>
              </w:rPr>
              <w:t>$0.5B</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297"/>
        </w:trPr>
        <w:tc>
          <w:tcPr>
            <w:tcW w:w="1760" w:type="dxa"/>
            <w:vAlign w:val="bottom"/>
            <w:tcBorders>
              <w:right w:val="single" w:sz="8" w:color="77BC1F"/>
            </w:tcBorders>
          </w:tcPr>
          <w:p>
            <w:pPr>
              <w:ind w:left="60"/>
              <w:spacing w:after="0"/>
              <w:rPr>
                <w:sz w:val="20"/>
                <w:szCs w:val="20"/>
                <w:color w:val="auto"/>
              </w:rPr>
            </w:pPr>
            <w:r>
              <w:rPr>
                <w:rFonts w:ascii="Arial" w:cs="Arial" w:eastAsia="Arial" w:hAnsi="Arial"/>
                <w:sz w:val="14"/>
                <w:szCs w:val="14"/>
                <w:b w:val="1"/>
                <w:bCs w:val="1"/>
                <w:color w:val="auto"/>
              </w:rPr>
              <w:t>GP Rate</w:t>
            </w:r>
            <w:r>
              <w:rPr>
                <w:rFonts w:ascii="Arial" w:cs="Arial" w:eastAsia="Arial" w:hAnsi="Arial"/>
                <w:sz w:val="21"/>
                <w:szCs w:val="21"/>
                <w:b w:val="1"/>
                <w:bCs w:val="1"/>
                <w:color w:val="auto"/>
                <w:vertAlign w:val="superscript"/>
              </w:rPr>
              <w:t>(1)</w:t>
            </w:r>
          </w:p>
        </w:tc>
        <w:tc>
          <w:tcPr>
            <w:tcW w:w="1660" w:type="dxa"/>
            <w:vAlign w:val="bottom"/>
            <w:gridSpan w:val="2"/>
            <w:shd w:val="clear" w:color="auto" w:fill="E3F1D2"/>
          </w:tcPr>
          <w:p>
            <w:pPr>
              <w:ind w:left="100"/>
              <w:spacing w:after="0"/>
              <w:rPr>
                <w:sz w:val="20"/>
                <w:szCs w:val="20"/>
                <w:color w:val="auto"/>
              </w:rPr>
            </w:pPr>
            <w:r>
              <w:rPr>
                <w:rFonts w:ascii="Arial" w:cs="Arial" w:eastAsia="Arial" w:hAnsi="Arial"/>
                <w:sz w:val="14"/>
                <w:szCs w:val="14"/>
                <w:color w:val="auto"/>
              </w:rPr>
              <w:t>18.2%</w:t>
            </w:r>
          </w:p>
        </w:tc>
        <w:tc>
          <w:tcPr>
            <w:tcW w:w="1820" w:type="dxa"/>
            <w:vAlign w:val="bottom"/>
            <w:tcBorders>
              <w:right w:val="single" w:sz="8" w:color="00AF41"/>
            </w:tcBorders>
            <w:shd w:val="clear" w:color="auto" w:fill="E3F1D2"/>
          </w:tcPr>
          <w:p>
            <w:pPr>
              <w:ind w:left="160"/>
              <w:spacing w:after="0"/>
              <w:rPr>
                <w:sz w:val="20"/>
                <w:szCs w:val="20"/>
                <w:color w:val="auto"/>
              </w:rPr>
            </w:pPr>
            <w:r>
              <w:rPr>
                <w:rFonts w:ascii="Arial" w:cs="Arial" w:eastAsia="Arial" w:hAnsi="Arial"/>
                <w:sz w:val="14"/>
                <w:szCs w:val="14"/>
                <w:color w:val="auto"/>
              </w:rPr>
              <w:t>15.3%</w:t>
            </w:r>
          </w:p>
        </w:tc>
        <w:tc>
          <w:tcPr>
            <w:tcW w:w="1760" w:type="dxa"/>
            <w:vAlign w:val="bottom"/>
            <w:gridSpan w:val="2"/>
            <w:shd w:val="clear" w:color="auto" w:fill="F2F2F2"/>
          </w:tcPr>
          <w:p>
            <w:pPr>
              <w:ind w:left="120"/>
              <w:spacing w:after="0"/>
              <w:rPr>
                <w:sz w:val="20"/>
                <w:szCs w:val="20"/>
                <w:color w:val="auto"/>
              </w:rPr>
            </w:pPr>
            <w:r>
              <w:rPr>
                <w:rFonts w:ascii="Arial" w:cs="Arial" w:eastAsia="Arial" w:hAnsi="Arial"/>
                <w:sz w:val="14"/>
                <w:szCs w:val="14"/>
                <w:color w:val="auto"/>
              </w:rPr>
              <w:t>23.5%</w:t>
            </w:r>
          </w:p>
        </w:tc>
        <w:tc>
          <w:tcPr>
            <w:tcW w:w="2000" w:type="dxa"/>
            <w:vAlign w:val="bottom"/>
            <w:shd w:val="clear" w:color="auto" w:fill="F2F2F2"/>
          </w:tcPr>
          <w:p>
            <w:pPr>
              <w:ind w:left="640"/>
              <w:spacing w:after="0"/>
              <w:rPr>
                <w:sz w:val="20"/>
                <w:szCs w:val="20"/>
                <w:color w:val="auto"/>
              </w:rPr>
            </w:pPr>
            <w:r>
              <w:rPr>
                <w:rFonts w:ascii="Arial" w:cs="Arial" w:eastAsia="Arial" w:hAnsi="Arial"/>
                <w:sz w:val="14"/>
                <w:szCs w:val="14"/>
                <w:color w:val="auto"/>
              </w:rPr>
              <w:t>15.8%</w:t>
            </w:r>
            <w:r>
              <w:rPr>
                <w:rFonts w:ascii="Arial" w:cs="Arial" w:eastAsia="Arial" w:hAnsi="Arial"/>
                <w:sz w:val="21"/>
                <w:szCs w:val="21"/>
                <w:color w:val="auto"/>
                <w:vertAlign w:val="superscript"/>
              </w:rPr>
              <w:t>(2)</w:t>
            </w:r>
          </w:p>
        </w:tc>
        <w:tc>
          <w:tcPr>
            <w:tcW w:w="1920" w:type="dxa"/>
            <w:vAlign w:val="bottom"/>
            <w:tcBorders>
              <w:right w:val="single" w:sz="8" w:color="00AF41"/>
            </w:tcBorders>
            <w:shd w:val="clear" w:color="auto" w:fill="F2F2F2"/>
          </w:tcPr>
          <w:p>
            <w:pPr>
              <w:ind w:left="140"/>
              <w:spacing w:after="0"/>
              <w:rPr>
                <w:sz w:val="20"/>
                <w:szCs w:val="20"/>
                <w:color w:val="auto"/>
              </w:rPr>
            </w:pPr>
            <w:r>
              <w:rPr>
                <w:rFonts w:ascii="Arial" w:cs="Arial" w:eastAsia="Arial" w:hAnsi="Arial"/>
                <w:sz w:val="14"/>
                <w:szCs w:val="14"/>
                <w:color w:val="auto"/>
              </w:rPr>
              <w:t>36.3%</w:t>
            </w:r>
            <w:r>
              <w:rPr>
                <w:rFonts w:ascii="Arial" w:cs="Arial" w:eastAsia="Arial" w:hAnsi="Arial"/>
                <w:sz w:val="21"/>
                <w:szCs w:val="21"/>
                <w:color w:val="auto"/>
                <w:vertAlign w:val="superscript"/>
              </w:rPr>
              <w:t>(3)</w:t>
            </w:r>
          </w:p>
        </w:tc>
        <w:tc>
          <w:tcPr>
            <w:tcW w:w="0" w:type="dxa"/>
            <w:vAlign w:val="bottom"/>
          </w:tcPr>
          <w:p>
            <w:pPr>
              <w:spacing w:after="0"/>
              <w:rPr>
                <w:sz w:val="1"/>
                <w:szCs w:val="1"/>
                <w:color w:val="auto"/>
              </w:rPr>
            </w:pPr>
          </w:p>
        </w:tc>
      </w:tr>
      <w:tr>
        <w:trPr>
          <w:trHeight w:val="277"/>
        </w:trPr>
        <w:tc>
          <w:tcPr>
            <w:tcW w:w="1760" w:type="dxa"/>
            <w:vAlign w:val="bottom"/>
            <w:tcBorders>
              <w:bottom w:val="single" w:sz="8" w:color="E5E5E5"/>
              <w:right w:val="single" w:sz="8" w:color="77BC1F"/>
            </w:tcBorders>
            <w:shd w:val="clear" w:color="auto" w:fill="E5E5E5"/>
          </w:tcPr>
          <w:p>
            <w:pPr>
              <w:ind w:left="60"/>
              <w:spacing w:after="0"/>
              <w:rPr>
                <w:sz w:val="20"/>
                <w:szCs w:val="20"/>
                <w:color w:val="auto"/>
              </w:rPr>
            </w:pPr>
            <w:r>
              <w:rPr>
                <w:rFonts w:ascii="Arial" w:cs="Arial" w:eastAsia="Arial" w:hAnsi="Arial"/>
                <w:sz w:val="14"/>
                <w:szCs w:val="14"/>
                <w:b w:val="1"/>
                <w:bCs w:val="1"/>
                <w:color w:val="auto"/>
              </w:rPr>
              <w:t>Geography</w:t>
            </w:r>
          </w:p>
        </w:tc>
        <w:tc>
          <w:tcPr>
            <w:tcW w:w="100" w:type="dxa"/>
            <w:vAlign w:val="bottom"/>
            <w:tcBorders>
              <w:bottom w:val="single" w:sz="8" w:color="E5E5E5"/>
            </w:tcBorders>
            <w:shd w:val="clear" w:color="auto" w:fill="E5E5E5"/>
          </w:tcPr>
          <w:p>
            <w:pPr>
              <w:spacing w:after="0"/>
              <w:rPr>
                <w:sz w:val="24"/>
                <w:szCs w:val="24"/>
                <w:color w:val="auto"/>
              </w:rPr>
            </w:pPr>
          </w:p>
        </w:tc>
        <w:tc>
          <w:tcPr>
            <w:tcW w:w="156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4"/>
                <w:szCs w:val="14"/>
                <w:color w:val="auto"/>
              </w:rPr>
              <w:t>North America</w:t>
            </w:r>
          </w:p>
        </w:tc>
        <w:tc>
          <w:tcPr>
            <w:tcW w:w="1820" w:type="dxa"/>
            <w:vAlign w:val="bottom"/>
            <w:tcBorders>
              <w:bottom w:val="single" w:sz="8" w:color="E5E5E5"/>
              <w:right w:val="single" w:sz="8" w:color="00AF41"/>
            </w:tcBorders>
            <w:shd w:val="clear" w:color="auto" w:fill="E5E5E5"/>
          </w:tcPr>
          <w:p>
            <w:pPr>
              <w:ind w:left="160"/>
              <w:spacing w:after="0"/>
              <w:rPr>
                <w:sz w:val="20"/>
                <w:szCs w:val="20"/>
                <w:color w:val="auto"/>
              </w:rPr>
            </w:pPr>
            <w:r>
              <w:rPr>
                <w:rFonts w:ascii="Arial" w:cs="Arial" w:eastAsia="Arial" w:hAnsi="Arial"/>
                <w:sz w:val="14"/>
                <w:szCs w:val="14"/>
                <w:color w:val="auto"/>
              </w:rPr>
              <w:t>EM EA &amp; Mexico</w:t>
            </w:r>
          </w:p>
        </w:tc>
        <w:tc>
          <w:tcPr>
            <w:tcW w:w="1760" w:type="dxa"/>
            <w:vAlign w:val="bottom"/>
            <w:tcBorders>
              <w:bottom w:val="single" w:sz="8" w:color="E5E5E5"/>
            </w:tcBorders>
            <w:gridSpan w:val="2"/>
            <w:shd w:val="clear" w:color="auto" w:fill="E5E5E5"/>
          </w:tcPr>
          <w:p>
            <w:pPr>
              <w:ind w:left="120"/>
              <w:spacing w:after="0"/>
              <w:rPr>
                <w:sz w:val="20"/>
                <w:szCs w:val="20"/>
                <w:color w:val="auto"/>
              </w:rPr>
            </w:pPr>
            <w:r>
              <w:rPr>
                <w:rFonts w:ascii="Arial" w:cs="Arial" w:eastAsia="Arial" w:hAnsi="Arial"/>
                <w:sz w:val="14"/>
                <w:szCs w:val="14"/>
                <w:color w:val="auto"/>
              </w:rPr>
              <w:t>North America</w:t>
            </w:r>
          </w:p>
        </w:tc>
        <w:tc>
          <w:tcPr>
            <w:tcW w:w="2000" w:type="dxa"/>
            <w:vAlign w:val="bottom"/>
            <w:tcBorders>
              <w:bottom w:val="single" w:sz="8" w:color="E5E5E5"/>
            </w:tcBorders>
            <w:shd w:val="clear" w:color="auto" w:fill="E5E5E5"/>
          </w:tcPr>
          <w:p>
            <w:pPr>
              <w:ind w:left="640"/>
              <w:spacing w:after="0"/>
              <w:rPr>
                <w:sz w:val="20"/>
                <w:szCs w:val="20"/>
                <w:color w:val="auto"/>
              </w:rPr>
            </w:pPr>
            <w:r>
              <w:rPr>
                <w:rFonts w:ascii="Arial" w:cs="Arial" w:eastAsia="Arial" w:hAnsi="Arial"/>
                <w:sz w:val="14"/>
                <w:szCs w:val="14"/>
                <w:color w:val="auto"/>
              </w:rPr>
              <w:t>U.S.</w:t>
            </w:r>
          </w:p>
        </w:tc>
        <w:tc>
          <w:tcPr>
            <w:tcW w:w="1920" w:type="dxa"/>
            <w:vAlign w:val="bottom"/>
            <w:tcBorders>
              <w:bottom w:val="single" w:sz="8" w:color="E5E5E5"/>
              <w:right w:val="single" w:sz="8" w:color="00AF41"/>
            </w:tcBorders>
            <w:shd w:val="clear" w:color="auto" w:fill="E5E5E5"/>
          </w:tcPr>
          <w:p>
            <w:pPr>
              <w:ind w:left="140"/>
              <w:spacing w:after="0"/>
              <w:rPr>
                <w:sz w:val="20"/>
                <w:szCs w:val="20"/>
                <w:color w:val="auto"/>
              </w:rPr>
            </w:pPr>
            <w:r>
              <w:rPr>
                <w:rFonts w:ascii="Arial" w:cs="Arial" w:eastAsia="Arial" w:hAnsi="Arial"/>
                <w:sz w:val="14"/>
                <w:szCs w:val="14"/>
                <w:color w:val="auto"/>
              </w:rPr>
              <w:t>Global</w:t>
            </w:r>
          </w:p>
        </w:tc>
        <w:tc>
          <w:tcPr>
            <w:tcW w:w="0" w:type="dxa"/>
            <w:vAlign w:val="bottom"/>
          </w:tcPr>
          <w:p>
            <w:pPr>
              <w:spacing w:after="0"/>
              <w:rPr>
                <w:sz w:val="1"/>
                <w:szCs w:val="1"/>
                <w:color w:val="auto"/>
              </w:rPr>
            </w:pPr>
          </w:p>
        </w:tc>
      </w:tr>
      <w:tr>
        <w:trPr>
          <w:trHeight w:val="220"/>
        </w:trPr>
        <w:tc>
          <w:tcPr>
            <w:tcW w:w="1760" w:type="dxa"/>
            <w:vAlign w:val="bottom"/>
            <w:tcBorders>
              <w:right w:val="single" w:sz="8" w:color="77BC1F"/>
            </w:tcBorders>
          </w:tcPr>
          <w:p>
            <w:pPr>
              <w:spacing w:after="0"/>
              <w:rPr>
                <w:sz w:val="19"/>
                <w:szCs w:val="19"/>
                <w:color w:val="auto"/>
              </w:rPr>
            </w:pPr>
          </w:p>
        </w:tc>
        <w:tc>
          <w:tcPr>
            <w:tcW w:w="100" w:type="dxa"/>
            <w:vAlign w:val="bottom"/>
            <w:shd w:val="clear" w:color="auto" w:fill="E3F1D2"/>
          </w:tcPr>
          <w:p>
            <w:pPr>
              <w:spacing w:after="0"/>
              <w:rPr>
                <w:sz w:val="19"/>
                <w:szCs w:val="19"/>
                <w:color w:val="auto"/>
              </w:rPr>
            </w:pPr>
          </w:p>
        </w:tc>
        <w:tc>
          <w:tcPr>
            <w:tcW w:w="1560" w:type="dxa"/>
            <w:vAlign w:val="bottom"/>
            <w:shd w:val="clear" w:color="auto" w:fill="E3F1D2"/>
          </w:tcPr>
          <w:p>
            <w:pPr>
              <w:spacing w:after="0"/>
              <w:rPr>
                <w:sz w:val="19"/>
                <w:szCs w:val="19"/>
                <w:color w:val="auto"/>
              </w:rPr>
            </w:pPr>
          </w:p>
        </w:tc>
        <w:tc>
          <w:tcPr>
            <w:tcW w:w="1820" w:type="dxa"/>
            <w:vAlign w:val="bottom"/>
            <w:tcBorders>
              <w:right w:val="single" w:sz="8" w:color="00AF41"/>
            </w:tcBorders>
            <w:shd w:val="clear" w:color="auto" w:fill="E3F1D2"/>
          </w:tcPr>
          <w:p>
            <w:pPr>
              <w:spacing w:after="0"/>
              <w:rPr>
                <w:sz w:val="19"/>
                <w:szCs w:val="19"/>
                <w:color w:val="auto"/>
              </w:rPr>
            </w:pPr>
          </w:p>
        </w:tc>
        <w:tc>
          <w:tcPr>
            <w:tcW w:w="120" w:type="dxa"/>
            <w:vAlign w:val="bottom"/>
            <w:shd w:val="clear" w:color="auto" w:fill="F2F2F2"/>
          </w:tcPr>
          <w:p>
            <w:pPr>
              <w:spacing w:after="0"/>
              <w:rPr>
                <w:sz w:val="19"/>
                <w:szCs w:val="19"/>
                <w:color w:val="auto"/>
              </w:rPr>
            </w:pPr>
          </w:p>
        </w:tc>
        <w:tc>
          <w:tcPr>
            <w:tcW w:w="1640" w:type="dxa"/>
            <w:vAlign w:val="bottom"/>
            <w:shd w:val="clear" w:color="auto" w:fill="F2F2F2"/>
          </w:tcPr>
          <w:p>
            <w:pPr>
              <w:spacing w:after="0"/>
              <w:rPr>
                <w:sz w:val="19"/>
                <w:szCs w:val="19"/>
                <w:color w:val="auto"/>
              </w:rPr>
            </w:pPr>
          </w:p>
        </w:tc>
        <w:tc>
          <w:tcPr>
            <w:tcW w:w="2000" w:type="dxa"/>
            <w:vAlign w:val="bottom"/>
            <w:shd w:val="clear" w:color="auto" w:fill="F2F2F2"/>
          </w:tcPr>
          <w:p>
            <w:pPr>
              <w:ind w:left="640"/>
              <w:spacing w:after="0"/>
              <w:rPr>
                <w:sz w:val="20"/>
                <w:szCs w:val="20"/>
                <w:color w:val="auto"/>
              </w:rPr>
            </w:pPr>
            <w:r>
              <w:rPr>
                <w:rFonts w:ascii="Times New Roman" w:cs="Times New Roman" w:eastAsia="Times New Roman" w:hAnsi="Times New Roman"/>
                <w:sz w:val="14"/>
                <w:szCs w:val="14"/>
                <w:color w:val="00AF41"/>
              </w:rPr>
              <w:t xml:space="preserve">• </w:t>
            </w:r>
            <w:r>
              <w:rPr>
                <w:rFonts w:ascii="Arial" w:cs="Arial" w:eastAsia="Arial" w:hAnsi="Arial"/>
                <w:sz w:val="14"/>
                <w:szCs w:val="14"/>
                <w:color w:val="000000"/>
              </w:rPr>
              <w:t>Early Childhood</w:t>
            </w:r>
          </w:p>
        </w:tc>
        <w:tc>
          <w:tcPr>
            <w:tcW w:w="1920" w:type="dxa"/>
            <w:vAlign w:val="bottom"/>
            <w:tcBorders>
              <w:right w:val="single" w:sz="8" w:color="00AF41"/>
            </w:tcBorders>
            <w:shd w:val="clear" w:color="auto" w:fill="F2F2F2"/>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760" w:type="dxa"/>
            <w:vAlign w:val="bottom"/>
            <w:tcBorders>
              <w:right w:val="single" w:sz="8" w:color="77BC1F"/>
            </w:tcBorders>
          </w:tcPr>
          <w:p>
            <w:pPr>
              <w:spacing w:after="0"/>
              <w:rPr>
                <w:sz w:val="14"/>
                <w:szCs w:val="14"/>
                <w:color w:val="auto"/>
              </w:rPr>
            </w:pPr>
          </w:p>
        </w:tc>
        <w:tc>
          <w:tcPr>
            <w:tcW w:w="100" w:type="dxa"/>
            <w:vAlign w:val="bottom"/>
            <w:shd w:val="clear" w:color="auto" w:fill="E3F1D2"/>
          </w:tcPr>
          <w:p>
            <w:pPr>
              <w:spacing w:after="0"/>
              <w:rPr>
                <w:sz w:val="14"/>
                <w:szCs w:val="14"/>
                <w:color w:val="auto"/>
              </w:rPr>
            </w:pPr>
          </w:p>
        </w:tc>
        <w:tc>
          <w:tcPr>
            <w:tcW w:w="1560" w:type="dxa"/>
            <w:vAlign w:val="bottom"/>
            <w:shd w:val="clear" w:color="auto" w:fill="E3F1D2"/>
          </w:tcPr>
          <w:p>
            <w:pPr>
              <w:spacing w:after="0"/>
              <w:rPr>
                <w:sz w:val="14"/>
                <w:szCs w:val="14"/>
                <w:color w:val="auto"/>
              </w:rPr>
            </w:pPr>
          </w:p>
        </w:tc>
        <w:tc>
          <w:tcPr>
            <w:tcW w:w="1820" w:type="dxa"/>
            <w:vAlign w:val="bottom"/>
            <w:tcBorders>
              <w:right w:val="single" w:sz="8" w:color="00AF41"/>
            </w:tcBorders>
            <w:shd w:val="clear" w:color="auto" w:fill="E3F1D2"/>
          </w:tcPr>
          <w:p>
            <w:pPr>
              <w:ind w:left="160"/>
              <w:spacing w:after="0"/>
              <w:rPr>
                <w:sz w:val="20"/>
                <w:szCs w:val="20"/>
                <w:color w:val="auto"/>
              </w:rPr>
            </w:pPr>
            <w:r>
              <w:rPr>
                <w:rFonts w:ascii="Times New Roman" w:cs="Times New Roman" w:eastAsia="Times New Roman" w:hAnsi="Times New Roman"/>
                <w:sz w:val="14"/>
                <w:szCs w:val="14"/>
                <w:color w:val="00AF41"/>
              </w:rPr>
              <w:t xml:space="preserve">• </w:t>
            </w:r>
            <w:r>
              <w:rPr>
                <w:rFonts w:ascii="Arial" w:cs="Arial" w:eastAsia="Arial" w:hAnsi="Arial"/>
                <w:sz w:val="14"/>
                <w:szCs w:val="14"/>
                <w:color w:val="000000"/>
              </w:rPr>
              <w:t>Life Sciences</w:t>
            </w:r>
          </w:p>
        </w:tc>
        <w:tc>
          <w:tcPr>
            <w:tcW w:w="120" w:type="dxa"/>
            <w:vAlign w:val="bottom"/>
            <w:shd w:val="clear" w:color="auto" w:fill="F2F2F2"/>
          </w:tcPr>
          <w:p>
            <w:pPr>
              <w:spacing w:after="0"/>
              <w:rPr>
                <w:sz w:val="14"/>
                <w:szCs w:val="14"/>
                <w:color w:val="auto"/>
              </w:rPr>
            </w:pPr>
          </w:p>
        </w:tc>
        <w:tc>
          <w:tcPr>
            <w:tcW w:w="1640" w:type="dxa"/>
            <w:vAlign w:val="bottom"/>
            <w:vMerge w:val="restart"/>
            <w:shd w:val="clear" w:color="auto" w:fill="F2F2F2"/>
          </w:tcPr>
          <w:p>
            <w:pPr>
              <w:spacing w:after="0"/>
              <w:rPr>
                <w:sz w:val="20"/>
                <w:szCs w:val="20"/>
                <w:color w:val="auto"/>
              </w:rPr>
            </w:pPr>
            <w:r>
              <w:rPr>
                <w:rFonts w:ascii="Times New Roman" w:cs="Times New Roman" w:eastAsia="Times New Roman" w:hAnsi="Times New Roman"/>
                <w:sz w:val="14"/>
                <w:szCs w:val="14"/>
                <w:color w:val="00AF41"/>
              </w:rPr>
              <w:t xml:space="preserve">• </w:t>
            </w:r>
            <w:r>
              <w:rPr>
                <w:rFonts w:ascii="Arial" w:cs="Arial" w:eastAsia="Arial" w:hAnsi="Arial"/>
                <w:sz w:val="14"/>
                <w:szCs w:val="14"/>
                <w:color w:val="000000"/>
              </w:rPr>
              <w:t>Engineering</w:t>
            </w:r>
          </w:p>
        </w:tc>
        <w:tc>
          <w:tcPr>
            <w:tcW w:w="2000" w:type="dxa"/>
            <w:vAlign w:val="bottom"/>
            <w:shd w:val="clear" w:color="auto" w:fill="F2F2F2"/>
          </w:tcPr>
          <w:p>
            <w:pPr>
              <w:ind w:left="640"/>
              <w:spacing w:after="0"/>
              <w:rPr>
                <w:sz w:val="20"/>
                <w:szCs w:val="20"/>
                <w:color w:val="auto"/>
              </w:rPr>
            </w:pPr>
            <w:r>
              <w:rPr>
                <w:rFonts w:ascii="Times New Roman" w:cs="Times New Roman" w:eastAsia="Times New Roman" w:hAnsi="Times New Roman"/>
                <w:sz w:val="14"/>
                <w:szCs w:val="14"/>
                <w:color w:val="00AF41"/>
              </w:rPr>
              <w:t xml:space="preserve">• </w:t>
            </w:r>
            <w:r>
              <w:rPr>
                <w:rFonts w:ascii="Arial" w:cs="Arial" w:eastAsia="Arial" w:hAnsi="Arial"/>
                <w:sz w:val="14"/>
                <w:szCs w:val="14"/>
                <w:color w:val="000000"/>
              </w:rPr>
              <w:t>K-12</w:t>
            </w:r>
          </w:p>
        </w:tc>
        <w:tc>
          <w:tcPr>
            <w:tcW w:w="1920" w:type="dxa"/>
            <w:vAlign w:val="bottom"/>
            <w:tcBorders>
              <w:right w:val="single" w:sz="8" w:color="00AF41"/>
            </w:tcBorders>
            <w:vMerge w:val="restart"/>
            <w:shd w:val="clear" w:color="auto" w:fill="F2F2F2"/>
          </w:tcPr>
          <w:p>
            <w:pPr>
              <w:ind w:left="140"/>
              <w:spacing w:after="0" w:line="239" w:lineRule="exact"/>
              <w:rPr>
                <w:sz w:val="20"/>
                <w:szCs w:val="20"/>
                <w:color w:val="auto"/>
              </w:rPr>
            </w:pPr>
            <w:r>
              <w:rPr>
                <w:rFonts w:ascii="Times New Roman" w:cs="Times New Roman" w:eastAsia="Times New Roman" w:hAnsi="Times New Roman"/>
                <w:sz w:val="14"/>
                <w:szCs w:val="14"/>
                <w:color w:val="00AF41"/>
              </w:rPr>
              <w:t xml:space="preserve">• </w:t>
            </w:r>
            <w:r>
              <w:rPr>
                <w:rFonts w:ascii="Arial" w:cs="Arial" w:eastAsia="Arial" w:hAnsi="Arial"/>
                <w:sz w:val="14"/>
                <w:szCs w:val="14"/>
                <w:color w:val="000000"/>
              </w:rPr>
              <w:t>MSP</w:t>
            </w:r>
            <w:r>
              <w:rPr>
                <w:rFonts w:ascii="Arial" w:cs="Arial" w:eastAsia="Arial" w:hAnsi="Arial"/>
                <w:sz w:val="21"/>
                <w:szCs w:val="21"/>
                <w:color w:val="000000"/>
                <w:vertAlign w:val="superscript"/>
              </w:rPr>
              <w:t>(4)</w:t>
            </w:r>
          </w:p>
        </w:tc>
        <w:tc>
          <w:tcPr>
            <w:tcW w:w="0" w:type="dxa"/>
            <w:vAlign w:val="bottom"/>
          </w:tcPr>
          <w:p>
            <w:pPr>
              <w:spacing w:after="0"/>
              <w:rPr>
                <w:sz w:val="1"/>
                <w:szCs w:val="1"/>
                <w:color w:val="auto"/>
              </w:rPr>
            </w:pPr>
          </w:p>
        </w:tc>
      </w:tr>
      <w:tr>
        <w:trPr>
          <w:trHeight w:val="77"/>
        </w:trPr>
        <w:tc>
          <w:tcPr>
            <w:tcW w:w="1760" w:type="dxa"/>
            <w:vAlign w:val="bottom"/>
            <w:tcBorders>
              <w:right w:val="single" w:sz="8" w:color="77BC1F"/>
            </w:tcBorders>
          </w:tcPr>
          <w:p>
            <w:pPr>
              <w:spacing w:after="0"/>
              <w:rPr>
                <w:sz w:val="6"/>
                <w:szCs w:val="6"/>
                <w:color w:val="auto"/>
              </w:rPr>
            </w:pPr>
          </w:p>
        </w:tc>
        <w:tc>
          <w:tcPr>
            <w:tcW w:w="100" w:type="dxa"/>
            <w:vAlign w:val="bottom"/>
            <w:shd w:val="clear" w:color="auto" w:fill="E3F1D2"/>
          </w:tcPr>
          <w:p>
            <w:pPr>
              <w:spacing w:after="0"/>
              <w:rPr>
                <w:sz w:val="6"/>
                <w:szCs w:val="6"/>
                <w:color w:val="auto"/>
              </w:rPr>
            </w:pPr>
          </w:p>
        </w:tc>
        <w:tc>
          <w:tcPr>
            <w:tcW w:w="1560" w:type="dxa"/>
            <w:vAlign w:val="bottom"/>
            <w:vMerge w:val="restart"/>
            <w:shd w:val="clear" w:color="auto" w:fill="E3F1D2"/>
          </w:tcPr>
          <w:p>
            <w:pPr>
              <w:spacing w:after="0"/>
              <w:rPr>
                <w:sz w:val="20"/>
                <w:szCs w:val="20"/>
                <w:color w:val="auto"/>
              </w:rPr>
            </w:pPr>
            <w:r>
              <w:rPr>
                <w:rFonts w:ascii="Times New Roman" w:cs="Times New Roman" w:eastAsia="Times New Roman" w:hAnsi="Times New Roman"/>
                <w:sz w:val="14"/>
                <w:szCs w:val="14"/>
                <w:color w:val="00AF41"/>
              </w:rPr>
              <w:t xml:space="preserve">• </w:t>
            </w:r>
            <w:r>
              <w:rPr>
                <w:rFonts w:ascii="Arial" w:cs="Arial" w:eastAsia="Arial" w:hAnsi="Arial"/>
                <w:sz w:val="14"/>
                <w:szCs w:val="14"/>
                <w:color w:val="000000"/>
              </w:rPr>
              <w:t>Industrial</w:t>
            </w:r>
          </w:p>
        </w:tc>
        <w:tc>
          <w:tcPr>
            <w:tcW w:w="1820" w:type="dxa"/>
            <w:vAlign w:val="bottom"/>
            <w:tcBorders>
              <w:right w:val="single" w:sz="8" w:color="00AF41"/>
            </w:tcBorders>
            <w:vMerge w:val="restart"/>
            <w:shd w:val="clear" w:color="auto" w:fill="E3F1D2"/>
          </w:tcPr>
          <w:p>
            <w:pPr>
              <w:ind w:left="160"/>
              <w:spacing w:after="0"/>
              <w:rPr>
                <w:sz w:val="20"/>
                <w:szCs w:val="20"/>
                <w:color w:val="auto"/>
              </w:rPr>
            </w:pPr>
            <w:r>
              <w:rPr>
                <w:rFonts w:ascii="Times New Roman" w:cs="Times New Roman" w:eastAsia="Times New Roman" w:hAnsi="Times New Roman"/>
                <w:sz w:val="14"/>
                <w:szCs w:val="14"/>
                <w:color w:val="00AF41"/>
              </w:rPr>
              <w:t xml:space="preserve">• </w:t>
            </w:r>
            <w:r>
              <w:rPr>
                <w:rFonts w:ascii="Arial" w:cs="Arial" w:eastAsia="Arial" w:hAnsi="Arial"/>
                <w:sz w:val="14"/>
                <w:szCs w:val="14"/>
                <w:color w:val="000000"/>
              </w:rPr>
              <w:t>IT</w:t>
            </w:r>
          </w:p>
        </w:tc>
        <w:tc>
          <w:tcPr>
            <w:tcW w:w="120" w:type="dxa"/>
            <w:vAlign w:val="bottom"/>
            <w:shd w:val="clear" w:color="auto" w:fill="F2F2F2"/>
          </w:tcPr>
          <w:p>
            <w:pPr>
              <w:spacing w:after="0"/>
              <w:rPr>
                <w:sz w:val="6"/>
                <w:szCs w:val="6"/>
                <w:color w:val="auto"/>
              </w:rPr>
            </w:pPr>
          </w:p>
        </w:tc>
        <w:tc>
          <w:tcPr>
            <w:tcW w:w="1640" w:type="dxa"/>
            <w:vAlign w:val="bottom"/>
            <w:vMerge w:val="continue"/>
            <w:shd w:val="clear" w:color="auto" w:fill="F2F2F2"/>
          </w:tcPr>
          <w:p>
            <w:pPr>
              <w:spacing w:after="0"/>
              <w:rPr>
                <w:sz w:val="6"/>
                <w:szCs w:val="6"/>
                <w:color w:val="auto"/>
              </w:rPr>
            </w:pPr>
          </w:p>
        </w:tc>
        <w:tc>
          <w:tcPr>
            <w:tcW w:w="2000" w:type="dxa"/>
            <w:vAlign w:val="bottom"/>
            <w:vMerge w:val="restart"/>
            <w:shd w:val="clear" w:color="auto" w:fill="F2F2F2"/>
          </w:tcPr>
          <w:p>
            <w:pPr>
              <w:ind w:left="640"/>
              <w:spacing w:after="0"/>
              <w:rPr>
                <w:sz w:val="20"/>
                <w:szCs w:val="20"/>
                <w:color w:val="auto"/>
              </w:rPr>
            </w:pPr>
            <w:r>
              <w:rPr>
                <w:rFonts w:ascii="Times New Roman" w:cs="Times New Roman" w:eastAsia="Times New Roman" w:hAnsi="Times New Roman"/>
                <w:sz w:val="14"/>
                <w:szCs w:val="14"/>
                <w:color w:val="00AF41"/>
              </w:rPr>
              <w:t xml:space="preserve">• </w:t>
            </w:r>
            <w:r>
              <w:rPr>
                <w:rFonts w:ascii="Arial" w:cs="Arial" w:eastAsia="Arial" w:hAnsi="Arial"/>
                <w:sz w:val="14"/>
                <w:szCs w:val="14"/>
                <w:color w:val="000000"/>
              </w:rPr>
              <w:t>Special Ed/Needs</w:t>
            </w:r>
          </w:p>
        </w:tc>
        <w:tc>
          <w:tcPr>
            <w:tcW w:w="1920" w:type="dxa"/>
            <w:vAlign w:val="bottom"/>
            <w:tcBorders>
              <w:right w:val="single" w:sz="8" w:color="00AF41"/>
            </w:tcBorders>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760" w:type="dxa"/>
            <w:vAlign w:val="bottom"/>
            <w:tcBorders>
              <w:right w:val="single" w:sz="8" w:color="77BC1F"/>
            </w:tcBorders>
          </w:tcPr>
          <w:p>
            <w:pPr>
              <w:spacing w:after="0"/>
              <w:rPr>
                <w:sz w:val="7"/>
                <w:szCs w:val="7"/>
                <w:color w:val="auto"/>
              </w:rPr>
            </w:pPr>
          </w:p>
        </w:tc>
        <w:tc>
          <w:tcPr>
            <w:tcW w:w="100" w:type="dxa"/>
            <w:vAlign w:val="bottom"/>
            <w:shd w:val="clear" w:color="auto" w:fill="E3F1D2"/>
          </w:tcPr>
          <w:p>
            <w:pPr>
              <w:spacing w:after="0"/>
              <w:rPr>
                <w:sz w:val="7"/>
                <w:szCs w:val="7"/>
                <w:color w:val="auto"/>
              </w:rPr>
            </w:pPr>
          </w:p>
        </w:tc>
        <w:tc>
          <w:tcPr>
            <w:tcW w:w="1560" w:type="dxa"/>
            <w:vAlign w:val="bottom"/>
            <w:vMerge w:val="continue"/>
            <w:shd w:val="clear" w:color="auto" w:fill="E3F1D2"/>
          </w:tcPr>
          <w:p>
            <w:pPr>
              <w:spacing w:after="0"/>
              <w:rPr>
                <w:sz w:val="7"/>
                <w:szCs w:val="7"/>
                <w:color w:val="auto"/>
              </w:rPr>
            </w:pPr>
          </w:p>
        </w:tc>
        <w:tc>
          <w:tcPr>
            <w:tcW w:w="1820" w:type="dxa"/>
            <w:vAlign w:val="bottom"/>
            <w:tcBorders>
              <w:right w:val="single" w:sz="8" w:color="00AF41"/>
            </w:tcBorders>
            <w:vMerge w:val="continue"/>
            <w:shd w:val="clear" w:color="auto" w:fill="E3F1D2"/>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1640" w:type="dxa"/>
            <w:vAlign w:val="bottom"/>
            <w:vMerge w:val="restart"/>
            <w:shd w:val="clear" w:color="auto" w:fill="F2F2F2"/>
          </w:tcPr>
          <w:p>
            <w:pPr>
              <w:spacing w:after="0"/>
              <w:rPr>
                <w:sz w:val="20"/>
                <w:szCs w:val="20"/>
                <w:color w:val="auto"/>
              </w:rPr>
            </w:pPr>
            <w:r>
              <w:rPr>
                <w:rFonts w:ascii="Times New Roman" w:cs="Times New Roman" w:eastAsia="Times New Roman" w:hAnsi="Times New Roman"/>
                <w:sz w:val="14"/>
                <w:szCs w:val="14"/>
                <w:color w:val="00AF41"/>
              </w:rPr>
              <w:t xml:space="preserve">• </w:t>
            </w:r>
            <w:r>
              <w:rPr>
                <w:rFonts w:ascii="Arial" w:cs="Arial" w:eastAsia="Arial" w:hAnsi="Arial"/>
                <w:sz w:val="14"/>
                <w:szCs w:val="14"/>
                <w:color w:val="000000"/>
              </w:rPr>
              <w:t>Science &amp; Clinical</w:t>
            </w:r>
          </w:p>
        </w:tc>
        <w:tc>
          <w:tcPr>
            <w:tcW w:w="2000" w:type="dxa"/>
            <w:vAlign w:val="bottom"/>
            <w:vMerge w:val="continue"/>
            <w:shd w:val="clear" w:color="auto" w:fill="F2F2F2"/>
          </w:tcPr>
          <w:p>
            <w:pPr>
              <w:spacing w:after="0"/>
              <w:rPr>
                <w:sz w:val="7"/>
                <w:szCs w:val="7"/>
                <w:color w:val="auto"/>
              </w:rPr>
            </w:pPr>
          </w:p>
        </w:tc>
        <w:tc>
          <w:tcPr>
            <w:tcW w:w="1920" w:type="dxa"/>
            <w:vAlign w:val="bottom"/>
            <w:tcBorders>
              <w:right w:val="single" w:sz="8" w:color="00AF41"/>
            </w:tcBorders>
            <w:vMerge w:val="restart"/>
            <w:shd w:val="clear" w:color="auto" w:fill="F2F2F2"/>
          </w:tcPr>
          <w:p>
            <w:pPr>
              <w:ind w:left="140"/>
              <w:spacing w:after="0" w:line="162" w:lineRule="exact"/>
              <w:rPr>
                <w:sz w:val="20"/>
                <w:szCs w:val="20"/>
                <w:color w:val="auto"/>
              </w:rPr>
            </w:pPr>
            <w:r>
              <w:rPr>
                <w:rFonts w:ascii="Times New Roman" w:cs="Times New Roman" w:eastAsia="Times New Roman" w:hAnsi="Times New Roman"/>
                <w:sz w:val="13"/>
                <w:szCs w:val="13"/>
                <w:color w:val="00AF41"/>
              </w:rPr>
              <w:t xml:space="preserve">• </w:t>
            </w:r>
            <w:r>
              <w:rPr>
                <w:rFonts w:ascii="Arial" w:cs="Arial" w:eastAsia="Arial" w:hAnsi="Arial"/>
                <w:sz w:val="13"/>
                <w:szCs w:val="13"/>
                <w:color w:val="000000"/>
              </w:rPr>
              <w:t>RPO</w:t>
            </w:r>
            <w:r>
              <w:rPr>
                <w:rFonts w:ascii="Arial" w:cs="Arial" w:eastAsia="Arial" w:hAnsi="Arial"/>
                <w:sz w:val="18"/>
                <w:szCs w:val="18"/>
                <w:color w:val="000000"/>
                <w:vertAlign w:val="superscript"/>
              </w:rPr>
              <w:t>(4)</w:t>
            </w:r>
          </w:p>
        </w:tc>
        <w:tc>
          <w:tcPr>
            <w:tcW w:w="0" w:type="dxa"/>
            <w:vAlign w:val="bottom"/>
          </w:tcPr>
          <w:p>
            <w:pPr>
              <w:spacing w:after="0"/>
              <w:rPr>
                <w:sz w:val="1"/>
                <w:szCs w:val="1"/>
                <w:color w:val="auto"/>
              </w:rPr>
            </w:pPr>
          </w:p>
        </w:tc>
      </w:tr>
      <w:tr>
        <w:trPr>
          <w:trHeight w:val="77"/>
        </w:trPr>
        <w:tc>
          <w:tcPr>
            <w:tcW w:w="1760" w:type="dxa"/>
            <w:vAlign w:val="bottom"/>
            <w:tcBorders>
              <w:right w:val="single" w:sz="8" w:color="77BC1F"/>
            </w:tcBorders>
            <w:vMerge w:val="restart"/>
          </w:tcPr>
          <w:p>
            <w:pPr>
              <w:ind w:left="60"/>
              <w:spacing w:after="0"/>
              <w:rPr>
                <w:sz w:val="20"/>
                <w:szCs w:val="20"/>
                <w:color w:val="auto"/>
              </w:rPr>
            </w:pPr>
            <w:r>
              <w:rPr>
                <w:rFonts w:ascii="Arial" w:cs="Arial" w:eastAsia="Arial" w:hAnsi="Arial"/>
                <w:sz w:val="14"/>
                <w:szCs w:val="14"/>
                <w:b w:val="1"/>
                <w:bCs w:val="1"/>
                <w:color w:val="auto"/>
              </w:rPr>
              <w:t>Specialties</w:t>
            </w:r>
          </w:p>
        </w:tc>
        <w:tc>
          <w:tcPr>
            <w:tcW w:w="100" w:type="dxa"/>
            <w:vAlign w:val="bottom"/>
            <w:shd w:val="clear" w:color="auto" w:fill="E3F1D2"/>
          </w:tcPr>
          <w:p>
            <w:pPr>
              <w:spacing w:after="0"/>
              <w:rPr>
                <w:sz w:val="6"/>
                <w:szCs w:val="6"/>
                <w:color w:val="auto"/>
              </w:rPr>
            </w:pPr>
          </w:p>
        </w:tc>
        <w:tc>
          <w:tcPr>
            <w:tcW w:w="1560" w:type="dxa"/>
            <w:vAlign w:val="bottom"/>
            <w:vMerge w:val="restart"/>
            <w:shd w:val="clear" w:color="auto" w:fill="E3F1D2"/>
          </w:tcPr>
          <w:p>
            <w:pPr>
              <w:spacing w:after="0"/>
              <w:rPr>
                <w:sz w:val="20"/>
                <w:szCs w:val="20"/>
                <w:color w:val="auto"/>
              </w:rPr>
            </w:pPr>
            <w:r>
              <w:rPr>
                <w:rFonts w:ascii="Times New Roman" w:cs="Times New Roman" w:eastAsia="Times New Roman" w:hAnsi="Times New Roman"/>
                <w:sz w:val="14"/>
                <w:szCs w:val="14"/>
                <w:color w:val="00AF41"/>
              </w:rPr>
              <w:t xml:space="preserve">• </w:t>
            </w:r>
            <w:r>
              <w:rPr>
                <w:rFonts w:ascii="Arial" w:cs="Arial" w:eastAsia="Arial" w:hAnsi="Arial"/>
                <w:sz w:val="14"/>
                <w:szCs w:val="14"/>
                <w:color w:val="000000"/>
              </w:rPr>
              <w:t>Contact Center</w:t>
            </w:r>
          </w:p>
        </w:tc>
        <w:tc>
          <w:tcPr>
            <w:tcW w:w="1820" w:type="dxa"/>
            <w:vAlign w:val="bottom"/>
            <w:tcBorders>
              <w:right w:val="single" w:sz="8" w:color="00AF41"/>
            </w:tcBorders>
            <w:vMerge w:val="restart"/>
            <w:shd w:val="clear" w:color="auto" w:fill="E3F1D2"/>
          </w:tcPr>
          <w:p>
            <w:pPr>
              <w:ind w:left="160"/>
              <w:spacing w:after="0"/>
              <w:rPr>
                <w:sz w:val="20"/>
                <w:szCs w:val="20"/>
                <w:color w:val="auto"/>
              </w:rPr>
            </w:pPr>
            <w:r>
              <w:rPr>
                <w:rFonts w:ascii="Times New Roman" w:cs="Times New Roman" w:eastAsia="Times New Roman" w:hAnsi="Times New Roman"/>
                <w:sz w:val="14"/>
                <w:szCs w:val="14"/>
                <w:color w:val="00AF41"/>
              </w:rPr>
              <w:t xml:space="preserve">• </w:t>
            </w:r>
            <w:r>
              <w:rPr>
                <w:rFonts w:ascii="Arial" w:cs="Arial" w:eastAsia="Arial" w:hAnsi="Arial"/>
                <w:sz w:val="14"/>
                <w:szCs w:val="14"/>
                <w:color w:val="000000"/>
              </w:rPr>
              <w:t>Finance</w:t>
            </w:r>
          </w:p>
        </w:tc>
        <w:tc>
          <w:tcPr>
            <w:tcW w:w="120" w:type="dxa"/>
            <w:vAlign w:val="bottom"/>
            <w:shd w:val="clear" w:color="auto" w:fill="F2F2F2"/>
          </w:tcPr>
          <w:p>
            <w:pPr>
              <w:spacing w:after="0"/>
              <w:rPr>
                <w:sz w:val="6"/>
                <w:szCs w:val="6"/>
                <w:color w:val="auto"/>
              </w:rPr>
            </w:pPr>
          </w:p>
        </w:tc>
        <w:tc>
          <w:tcPr>
            <w:tcW w:w="1640" w:type="dxa"/>
            <w:vAlign w:val="bottom"/>
            <w:vMerge w:val="continue"/>
            <w:shd w:val="clear" w:color="auto" w:fill="F2F2F2"/>
          </w:tcPr>
          <w:p>
            <w:pPr>
              <w:spacing w:after="0"/>
              <w:rPr>
                <w:sz w:val="6"/>
                <w:szCs w:val="6"/>
                <w:color w:val="auto"/>
              </w:rPr>
            </w:pPr>
          </w:p>
        </w:tc>
        <w:tc>
          <w:tcPr>
            <w:tcW w:w="2000" w:type="dxa"/>
            <w:vAlign w:val="bottom"/>
            <w:vMerge w:val="restart"/>
            <w:shd w:val="clear" w:color="auto" w:fill="F2F2F2"/>
          </w:tcPr>
          <w:p>
            <w:pPr>
              <w:ind w:left="640"/>
              <w:spacing w:after="0"/>
              <w:rPr>
                <w:sz w:val="20"/>
                <w:szCs w:val="20"/>
                <w:color w:val="auto"/>
              </w:rPr>
            </w:pPr>
            <w:r>
              <w:rPr>
                <w:rFonts w:ascii="Times New Roman" w:cs="Times New Roman" w:eastAsia="Times New Roman" w:hAnsi="Times New Roman"/>
                <w:sz w:val="14"/>
                <w:szCs w:val="14"/>
                <w:color w:val="00AF41"/>
              </w:rPr>
              <w:t xml:space="preserve">• </w:t>
            </w:r>
            <w:r>
              <w:rPr>
                <w:rFonts w:ascii="Arial" w:cs="Arial" w:eastAsia="Arial" w:hAnsi="Arial"/>
                <w:sz w:val="14"/>
                <w:szCs w:val="14"/>
                <w:color w:val="000000"/>
              </w:rPr>
              <w:t>Tutoring</w:t>
            </w:r>
          </w:p>
        </w:tc>
        <w:tc>
          <w:tcPr>
            <w:tcW w:w="1920" w:type="dxa"/>
            <w:vAlign w:val="bottom"/>
            <w:tcBorders>
              <w:right w:val="single" w:sz="8" w:color="00AF41"/>
            </w:tcBorders>
            <w:vMerge w:val="continue"/>
            <w:shd w:val="clear" w:color="auto" w:fill="F2F2F2"/>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760" w:type="dxa"/>
            <w:vAlign w:val="bottom"/>
            <w:tcBorders>
              <w:right w:val="single" w:sz="8" w:color="77BC1F"/>
            </w:tcBorders>
            <w:vMerge w:val="continue"/>
          </w:tcPr>
          <w:p>
            <w:pPr>
              <w:spacing w:after="0"/>
              <w:rPr>
                <w:sz w:val="7"/>
                <w:szCs w:val="7"/>
                <w:color w:val="auto"/>
              </w:rPr>
            </w:pPr>
          </w:p>
        </w:tc>
        <w:tc>
          <w:tcPr>
            <w:tcW w:w="100" w:type="dxa"/>
            <w:vAlign w:val="bottom"/>
            <w:shd w:val="clear" w:color="auto" w:fill="E3F1D2"/>
          </w:tcPr>
          <w:p>
            <w:pPr>
              <w:spacing w:after="0"/>
              <w:rPr>
                <w:sz w:val="7"/>
                <w:szCs w:val="7"/>
                <w:color w:val="auto"/>
              </w:rPr>
            </w:pPr>
          </w:p>
        </w:tc>
        <w:tc>
          <w:tcPr>
            <w:tcW w:w="1560" w:type="dxa"/>
            <w:vAlign w:val="bottom"/>
            <w:vMerge w:val="continue"/>
            <w:shd w:val="clear" w:color="auto" w:fill="E3F1D2"/>
          </w:tcPr>
          <w:p>
            <w:pPr>
              <w:spacing w:after="0"/>
              <w:rPr>
                <w:sz w:val="7"/>
                <w:szCs w:val="7"/>
                <w:color w:val="auto"/>
              </w:rPr>
            </w:pPr>
          </w:p>
        </w:tc>
        <w:tc>
          <w:tcPr>
            <w:tcW w:w="1820" w:type="dxa"/>
            <w:vAlign w:val="bottom"/>
            <w:tcBorders>
              <w:right w:val="single" w:sz="8" w:color="00AF41"/>
            </w:tcBorders>
            <w:vMerge w:val="continue"/>
            <w:shd w:val="clear" w:color="auto" w:fill="E3F1D2"/>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1640" w:type="dxa"/>
            <w:vAlign w:val="bottom"/>
            <w:vMerge w:val="restart"/>
            <w:shd w:val="clear" w:color="auto" w:fill="F2F2F2"/>
          </w:tcPr>
          <w:p>
            <w:pPr>
              <w:spacing w:after="0"/>
              <w:rPr>
                <w:sz w:val="20"/>
                <w:szCs w:val="20"/>
                <w:color w:val="auto"/>
              </w:rPr>
            </w:pPr>
            <w:r>
              <w:rPr>
                <w:rFonts w:ascii="Times New Roman" w:cs="Times New Roman" w:eastAsia="Times New Roman" w:hAnsi="Times New Roman"/>
                <w:sz w:val="14"/>
                <w:szCs w:val="14"/>
                <w:color w:val="00AF41"/>
              </w:rPr>
              <w:t xml:space="preserve">• </w:t>
            </w:r>
            <w:r>
              <w:rPr>
                <w:rFonts w:ascii="Arial" w:cs="Arial" w:eastAsia="Arial" w:hAnsi="Arial"/>
                <w:sz w:val="14"/>
                <w:szCs w:val="14"/>
                <w:color w:val="000000"/>
              </w:rPr>
              <w:t>Technology</w:t>
            </w:r>
          </w:p>
        </w:tc>
        <w:tc>
          <w:tcPr>
            <w:tcW w:w="2000" w:type="dxa"/>
            <w:vAlign w:val="bottom"/>
            <w:vMerge w:val="continue"/>
            <w:shd w:val="clear" w:color="auto" w:fill="F2F2F2"/>
          </w:tcPr>
          <w:p>
            <w:pPr>
              <w:spacing w:after="0"/>
              <w:rPr>
                <w:sz w:val="7"/>
                <w:szCs w:val="7"/>
                <w:color w:val="auto"/>
              </w:rPr>
            </w:pPr>
          </w:p>
        </w:tc>
        <w:tc>
          <w:tcPr>
            <w:tcW w:w="1920" w:type="dxa"/>
            <w:vAlign w:val="bottom"/>
            <w:tcBorders>
              <w:right w:val="single" w:sz="8" w:color="00AF41"/>
            </w:tcBorders>
            <w:vMerge w:val="restart"/>
            <w:shd w:val="clear" w:color="auto" w:fill="F2F2F2"/>
          </w:tcPr>
          <w:p>
            <w:pPr>
              <w:ind w:left="140"/>
              <w:spacing w:after="0" w:line="166" w:lineRule="exact"/>
              <w:rPr>
                <w:sz w:val="20"/>
                <w:szCs w:val="20"/>
                <w:color w:val="auto"/>
              </w:rPr>
            </w:pPr>
            <w:r>
              <w:rPr>
                <w:rFonts w:ascii="Times New Roman" w:cs="Times New Roman" w:eastAsia="Times New Roman" w:hAnsi="Times New Roman"/>
                <w:sz w:val="13"/>
                <w:szCs w:val="13"/>
                <w:color w:val="00AF41"/>
              </w:rPr>
              <w:t xml:space="preserve">• </w:t>
            </w:r>
            <w:r>
              <w:rPr>
                <w:rFonts w:ascii="Arial" w:cs="Arial" w:eastAsia="Arial" w:hAnsi="Arial"/>
                <w:sz w:val="13"/>
                <w:szCs w:val="13"/>
                <w:color w:val="000000"/>
              </w:rPr>
              <w:t>PPO</w:t>
            </w:r>
            <w:r>
              <w:rPr>
                <w:rFonts w:ascii="Arial" w:cs="Arial" w:eastAsia="Arial" w:hAnsi="Arial"/>
                <w:sz w:val="19"/>
                <w:szCs w:val="19"/>
                <w:color w:val="000000"/>
                <w:vertAlign w:val="superscript"/>
              </w:rPr>
              <w:t>(4)</w:t>
            </w:r>
          </w:p>
        </w:tc>
        <w:tc>
          <w:tcPr>
            <w:tcW w:w="0" w:type="dxa"/>
            <w:vAlign w:val="bottom"/>
          </w:tcPr>
          <w:p>
            <w:pPr>
              <w:spacing w:after="0"/>
              <w:rPr>
                <w:sz w:val="1"/>
                <w:szCs w:val="1"/>
                <w:color w:val="auto"/>
              </w:rPr>
            </w:pPr>
          </w:p>
        </w:tc>
      </w:tr>
      <w:tr>
        <w:trPr>
          <w:trHeight w:val="81"/>
        </w:trPr>
        <w:tc>
          <w:tcPr>
            <w:tcW w:w="1760" w:type="dxa"/>
            <w:vAlign w:val="bottom"/>
            <w:tcBorders>
              <w:right w:val="single" w:sz="8" w:color="77BC1F"/>
            </w:tcBorders>
          </w:tcPr>
          <w:p>
            <w:pPr>
              <w:spacing w:after="0"/>
              <w:rPr>
                <w:sz w:val="7"/>
                <w:szCs w:val="7"/>
                <w:color w:val="auto"/>
              </w:rPr>
            </w:pPr>
          </w:p>
        </w:tc>
        <w:tc>
          <w:tcPr>
            <w:tcW w:w="100" w:type="dxa"/>
            <w:vAlign w:val="bottom"/>
            <w:shd w:val="clear" w:color="auto" w:fill="E3F1D2"/>
          </w:tcPr>
          <w:p>
            <w:pPr>
              <w:spacing w:after="0"/>
              <w:rPr>
                <w:sz w:val="7"/>
                <w:szCs w:val="7"/>
                <w:color w:val="auto"/>
              </w:rPr>
            </w:pPr>
          </w:p>
        </w:tc>
        <w:tc>
          <w:tcPr>
            <w:tcW w:w="1560" w:type="dxa"/>
            <w:vAlign w:val="bottom"/>
            <w:vMerge w:val="restart"/>
            <w:shd w:val="clear" w:color="auto" w:fill="E3F1D2"/>
          </w:tcPr>
          <w:p>
            <w:pPr>
              <w:spacing w:after="0"/>
              <w:rPr>
                <w:sz w:val="20"/>
                <w:szCs w:val="20"/>
                <w:color w:val="auto"/>
              </w:rPr>
            </w:pPr>
            <w:r>
              <w:rPr>
                <w:rFonts w:ascii="Times New Roman" w:cs="Times New Roman" w:eastAsia="Times New Roman" w:hAnsi="Times New Roman"/>
                <w:sz w:val="14"/>
                <w:szCs w:val="14"/>
                <w:color w:val="00AF41"/>
              </w:rPr>
              <w:t xml:space="preserve">• </w:t>
            </w:r>
            <w:r>
              <w:rPr>
                <w:rFonts w:ascii="Arial" w:cs="Arial" w:eastAsia="Arial" w:hAnsi="Arial"/>
                <w:sz w:val="14"/>
                <w:szCs w:val="14"/>
                <w:color w:val="000000"/>
              </w:rPr>
              <w:t>Office Clerical</w:t>
            </w:r>
          </w:p>
        </w:tc>
        <w:tc>
          <w:tcPr>
            <w:tcW w:w="1820" w:type="dxa"/>
            <w:vAlign w:val="bottom"/>
            <w:tcBorders>
              <w:right w:val="single" w:sz="8" w:color="00AF41"/>
            </w:tcBorders>
            <w:vMerge w:val="restart"/>
            <w:shd w:val="clear" w:color="auto" w:fill="E3F1D2"/>
          </w:tcPr>
          <w:p>
            <w:pPr>
              <w:ind w:left="160"/>
              <w:spacing w:after="0"/>
              <w:rPr>
                <w:sz w:val="20"/>
                <w:szCs w:val="20"/>
                <w:color w:val="auto"/>
              </w:rPr>
            </w:pPr>
            <w:r>
              <w:rPr>
                <w:rFonts w:ascii="Times New Roman" w:cs="Times New Roman" w:eastAsia="Times New Roman" w:hAnsi="Times New Roman"/>
                <w:sz w:val="14"/>
                <w:szCs w:val="14"/>
                <w:color w:val="00AF41"/>
              </w:rPr>
              <w:t xml:space="preserve">• </w:t>
            </w:r>
            <w:r>
              <w:rPr>
                <w:rFonts w:ascii="Arial" w:cs="Arial" w:eastAsia="Arial" w:hAnsi="Arial"/>
                <w:sz w:val="14"/>
                <w:szCs w:val="14"/>
                <w:color w:val="000000"/>
              </w:rPr>
              <w:t>Other Local</w:t>
            </w:r>
          </w:p>
        </w:tc>
        <w:tc>
          <w:tcPr>
            <w:tcW w:w="120" w:type="dxa"/>
            <w:vAlign w:val="bottom"/>
            <w:shd w:val="clear" w:color="auto" w:fill="F2F2F2"/>
          </w:tcPr>
          <w:p>
            <w:pPr>
              <w:spacing w:after="0"/>
              <w:rPr>
                <w:sz w:val="7"/>
                <w:szCs w:val="7"/>
                <w:color w:val="auto"/>
              </w:rPr>
            </w:pPr>
          </w:p>
        </w:tc>
        <w:tc>
          <w:tcPr>
            <w:tcW w:w="1640" w:type="dxa"/>
            <w:vAlign w:val="bottom"/>
            <w:vMerge w:val="continue"/>
            <w:shd w:val="clear" w:color="auto" w:fill="F2F2F2"/>
          </w:tcPr>
          <w:p>
            <w:pPr>
              <w:spacing w:after="0"/>
              <w:rPr>
                <w:sz w:val="7"/>
                <w:szCs w:val="7"/>
                <w:color w:val="auto"/>
              </w:rPr>
            </w:pPr>
          </w:p>
        </w:tc>
        <w:tc>
          <w:tcPr>
            <w:tcW w:w="2000" w:type="dxa"/>
            <w:vAlign w:val="bottom"/>
            <w:vMerge w:val="restart"/>
            <w:shd w:val="clear" w:color="auto" w:fill="F2F2F2"/>
          </w:tcPr>
          <w:p>
            <w:pPr>
              <w:ind w:left="640"/>
              <w:spacing w:after="0"/>
              <w:rPr>
                <w:sz w:val="20"/>
                <w:szCs w:val="20"/>
                <w:color w:val="auto"/>
              </w:rPr>
            </w:pPr>
            <w:r>
              <w:rPr>
                <w:rFonts w:ascii="Times New Roman" w:cs="Times New Roman" w:eastAsia="Times New Roman" w:hAnsi="Times New Roman"/>
                <w:sz w:val="14"/>
                <w:szCs w:val="14"/>
                <w:color w:val="00AF41"/>
              </w:rPr>
              <w:t xml:space="preserve">• </w:t>
            </w:r>
            <w:r>
              <w:rPr>
                <w:rFonts w:ascii="Arial" w:cs="Arial" w:eastAsia="Arial" w:hAnsi="Arial"/>
                <w:sz w:val="14"/>
                <w:szCs w:val="14"/>
                <w:color w:val="000000"/>
              </w:rPr>
              <w:t>Therapy Services</w:t>
            </w:r>
          </w:p>
        </w:tc>
        <w:tc>
          <w:tcPr>
            <w:tcW w:w="1920" w:type="dxa"/>
            <w:vAlign w:val="bottom"/>
            <w:tcBorders>
              <w:right w:val="single" w:sz="8" w:color="00AF41"/>
            </w:tcBorders>
            <w:vMerge w:val="continue"/>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760" w:type="dxa"/>
            <w:vAlign w:val="bottom"/>
            <w:tcBorders>
              <w:right w:val="single" w:sz="8" w:color="77BC1F"/>
            </w:tcBorders>
          </w:tcPr>
          <w:p>
            <w:pPr>
              <w:spacing w:after="0"/>
              <w:rPr>
                <w:sz w:val="7"/>
                <w:szCs w:val="7"/>
                <w:color w:val="auto"/>
              </w:rPr>
            </w:pPr>
          </w:p>
        </w:tc>
        <w:tc>
          <w:tcPr>
            <w:tcW w:w="100" w:type="dxa"/>
            <w:vAlign w:val="bottom"/>
            <w:shd w:val="clear" w:color="auto" w:fill="E3F1D2"/>
          </w:tcPr>
          <w:p>
            <w:pPr>
              <w:spacing w:after="0"/>
              <w:rPr>
                <w:sz w:val="7"/>
                <w:szCs w:val="7"/>
                <w:color w:val="auto"/>
              </w:rPr>
            </w:pPr>
          </w:p>
        </w:tc>
        <w:tc>
          <w:tcPr>
            <w:tcW w:w="1560" w:type="dxa"/>
            <w:vAlign w:val="bottom"/>
            <w:vMerge w:val="continue"/>
            <w:shd w:val="clear" w:color="auto" w:fill="E3F1D2"/>
          </w:tcPr>
          <w:p>
            <w:pPr>
              <w:spacing w:after="0"/>
              <w:rPr>
                <w:sz w:val="7"/>
                <w:szCs w:val="7"/>
                <w:color w:val="auto"/>
              </w:rPr>
            </w:pPr>
          </w:p>
        </w:tc>
        <w:tc>
          <w:tcPr>
            <w:tcW w:w="1820" w:type="dxa"/>
            <w:vAlign w:val="bottom"/>
            <w:tcBorders>
              <w:right w:val="single" w:sz="8" w:color="00AF41"/>
            </w:tcBorders>
            <w:vMerge w:val="continue"/>
            <w:shd w:val="clear" w:color="auto" w:fill="E3F1D2"/>
          </w:tcPr>
          <w:p>
            <w:pPr>
              <w:spacing w:after="0"/>
              <w:rPr>
                <w:sz w:val="7"/>
                <w:szCs w:val="7"/>
                <w:color w:val="auto"/>
              </w:rPr>
            </w:pPr>
          </w:p>
        </w:tc>
        <w:tc>
          <w:tcPr>
            <w:tcW w:w="120" w:type="dxa"/>
            <w:vAlign w:val="bottom"/>
            <w:shd w:val="clear" w:color="auto" w:fill="F2F2F2"/>
          </w:tcPr>
          <w:p>
            <w:pPr>
              <w:spacing w:after="0"/>
              <w:rPr>
                <w:sz w:val="7"/>
                <w:szCs w:val="7"/>
                <w:color w:val="auto"/>
              </w:rPr>
            </w:pPr>
          </w:p>
        </w:tc>
        <w:tc>
          <w:tcPr>
            <w:tcW w:w="1640" w:type="dxa"/>
            <w:vAlign w:val="bottom"/>
            <w:vMerge w:val="restart"/>
            <w:shd w:val="clear" w:color="auto" w:fill="F2F2F2"/>
          </w:tcPr>
          <w:p>
            <w:pPr>
              <w:spacing w:after="0"/>
              <w:rPr>
                <w:sz w:val="20"/>
                <w:szCs w:val="20"/>
                <w:color w:val="auto"/>
              </w:rPr>
            </w:pPr>
            <w:r>
              <w:rPr>
                <w:rFonts w:ascii="Times New Roman" w:cs="Times New Roman" w:eastAsia="Times New Roman" w:hAnsi="Times New Roman"/>
                <w:sz w:val="14"/>
                <w:szCs w:val="14"/>
                <w:color w:val="00AF41"/>
              </w:rPr>
              <w:t xml:space="preserve">• </w:t>
            </w:r>
            <w:r>
              <w:rPr>
                <w:rFonts w:ascii="Arial" w:cs="Arial" w:eastAsia="Arial" w:hAnsi="Arial"/>
                <w:sz w:val="14"/>
                <w:szCs w:val="14"/>
                <w:color w:val="000000"/>
              </w:rPr>
              <w:t>Telecom</w:t>
            </w:r>
          </w:p>
        </w:tc>
        <w:tc>
          <w:tcPr>
            <w:tcW w:w="2000" w:type="dxa"/>
            <w:vAlign w:val="bottom"/>
            <w:vMerge w:val="continue"/>
            <w:shd w:val="clear" w:color="auto" w:fill="F2F2F2"/>
          </w:tcPr>
          <w:p>
            <w:pPr>
              <w:spacing w:after="0"/>
              <w:rPr>
                <w:sz w:val="7"/>
                <w:szCs w:val="7"/>
                <w:color w:val="auto"/>
              </w:rPr>
            </w:pPr>
          </w:p>
        </w:tc>
        <w:tc>
          <w:tcPr>
            <w:tcW w:w="1920" w:type="dxa"/>
            <w:vAlign w:val="bottom"/>
            <w:tcBorders>
              <w:right w:val="single" w:sz="8" w:color="00AF41"/>
            </w:tcBorders>
            <w:vMerge w:val="restart"/>
            <w:shd w:val="clear" w:color="auto" w:fill="F2F2F2"/>
          </w:tcPr>
          <w:p>
            <w:pPr>
              <w:ind w:left="140"/>
              <w:spacing w:after="0"/>
              <w:rPr>
                <w:sz w:val="20"/>
                <w:szCs w:val="20"/>
                <w:color w:val="auto"/>
              </w:rPr>
            </w:pPr>
            <w:r>
              <w:rPr>
                <w:rFonts w:ascii="Times New Roman" w:cs="Times New Roman" w:eastAsia="Times New Roman" w:hAnsi="Times New Roman"/>
                <w:sz w:val="14"/>
                <w:szCs w:val="14"/>
                <w:color w:val="00AF41"/>
              </w:rPr>
              <w:t xml:space="preserve">• </w:t>
            </w:r>
            <w:r>
              <w:rPr>
                <w:rFonts w:ascii="Arial" w:cs="Arial" w:eastAsia="Arial" w:hAnsi="Arial"/>
                <w:sz w:val="14"/>
                <w:szCs w:val="14"/>
                <w:color w:val="000000"/>
              </w:rPr>
              <w:t>Consulting</w:t>
            </w:r>
          </w:p>
        </w:tc>
        <w:tc>
          <w:tcPr>
            <w:tcW w:w="0" w:type="dxa"/>
            <w:vAlign w:val="bottom"/>
          </w:tcPr>
          <w:p>
            <w:pPr>
              <w:spacing w:after="0"/>
              <w:rPr>
                <w:sz w:val="1"/>
                <w:szCs w:val="1"/>
                <w:color w:val="auto"/>
              </w:rPr>
            </w:pPr>
          </w:p>
        </w:tc>
      </w:tr>
      <w:tr>
        <w:trPr>
          <w:trHeight w:val="109"/>
        </w:trPr>
        <w:tc>
          <w:tcPr>
            <w:tcW w:w="1760" w:type="dxa"/>
            <w:vAlign w:val="bottom"/>
            <w:tcBorders>
              <w:right w:val="single" w:sz="8" w:color="77BC1F"/>
            </w:tcBorders>
          </w:tcPr>
          <w:p>
            <w:pPr>
              <w:spacing w:after="0"/>
              <w:rPr>
                <w:sz w:val="9"/>
                <w:szCs w:val="9"/>
                <w:color w:val="auto"/>
              </w:rPr>
            </w:pPr>
          </w:p>
        </w:tc>
        <w:tc>
          <w:tcPr>
            <w:tcW w:w="100" w:type="dxa"/>
            <w:vAlign w:val="bottom"/>
            <w:shd w:val="clear" w:color="auto" w:fill="E3F1D2"/>
          </w:tcPr>
          <w:p>
            <w:pPr>
              <w:spacing w:after="0"/>
              <w:rPr>
                <w:sz w:val="9"/>
                <w:szCs w:val="9"/>
                <w:color w:val="auto"/>
              </w:rPr>
            </w:pPr>
          </w:p>
        </w:tc>
        <w:tc>
          <w:tcPr>
            <w:tcW w:w="1560" w:type="dxa"/>
            <w:vAlign w:val="bottom"/>
            <w:shd w:val="clear" w:color="auto" w:fill="E3F1D2"/>
          </w:tcPr>
          <w:p>
            <w:pPr>
              <w:spacing w:after="0"/>
              <w:rPr>
                <w:sz w:val="9"/>
                <w:szCs w:val="9"/>
                <w:color w:val="auto"/>
              </w:rPr>
            </w:pPr>
          </w:p>
        </w:tc>
        <w:tc>
          <w:tcPr>
            <w:tcW w:w="1820" w:type="dxa"/>
            <w:vAlign w:val="bottom"/>
            <w:tcBorders>
              <w:right w:val="single" w:sz="8" w:color="00AF41"/>
            </w:tcBorders>
            <w:vMerge w:val="restart"/>
            <w:shd w:val="clear" w:color="auto" w:fill="E3F1D2"/>
          </w:tcPr>
          <w:p>
            <w:pPr>
              <w:ind w:left="240"/>
              <w:spacing w:after="0"/>
              <w:rPr>
                <w:sz w:val="20"/>
                <w:szCs w:val="20"/>
                <w:color w:val="auto"/>
              </w:rPr>
            </w:pPr>
            <w:r>
              <w:rPr>
                <w:rFonts w:ascii="Arial" w:cs="Arial" w:eastAsia="Arial" w:hAnsi="Arial"/>
                <w:sz w:val="14"/>
                <w:szCs w:val="14"/>
                <w:color w:val="auto"/>
              </w:rPr>
              <w:t>Professional Niches</w:t>
            </w:r>
          </w:p>
        </w:tc>
        <w:tc>
          <w:tcPr>
            <w:tcW w:w="120" w:type="dxa"/>
            <w:vAlign w:val="bottom"/>
            <w:shd w:val="clear" w:color="auto" w:fill="F2F2F2"/>
          </w:tcPr>
          <w:p>
            <w:pPr>
              <w:spacing w:after="0"/>
              <w:rPr>
                <w:sz w:val="9"/>
                <w:szCs w:val="9"/>
                <w:color w:val="auto"/>
              </w:rPr>
            </w:pPr>
          </w:p>
        </w:tc>
        <w:tc>
          <w:tcPr>
            <w:tcW w:w="1640" w:type="dxa"/>
            <w:vAlign w:val="bottom"/>
            <w:vMerge w:val="continue"/>
            <w:shd w:val="clear" w:color="auto" w:fill="F2F2F2"/>
          </w:tcPr>
          <w:p>
            <w:pPr>
              <w:spacing w:after="0"/>
              <w:rPr>
                <w:sz w:val="9"/>
                <w:szCs w:val="9"/>
                <w:color w:val="auto"/>
              </w:rPr>
            </w:pPr>
          </w:p>
        </w:tc>
        <w:tc>
          <w:tcPr>
            <w:tcW w:w="2000" w:type="dxa"/>
            <w:vAlign w:val="bottom"/>
            <w:vMerge w:val="restart"/>
            <w:shd w:val="clear" w:color="auto" w:fill="F2F2F2"/>
          </w:tcPr>
          <w:p>
            <w:pPr>
              <w:ind w:left="640"/>
              <w:spacing w:after="0"/>
              <w:rPr>
                <w:sz w:val="20"/>
                <w:szCs w:val="20"/>
                <w:color w:val="auto"/>
              </w:rPr>
            </w:pPr>
            <w:r>
              <w:rPr>
                <w:rFonts w:ascii="Times New Roman" w:cs="Times New Roman" w:eastAsia="Times New Roman" w:hAnsi="Times New Roman"/>
                <w:sz w:val="14"/>
                <w:szCs w:val="14"/>
                <w:color w:val="00AF41"/>
              </w:rPr>
              <w:t xml:space="preserve">• </w:t>
            </w:r>
            <w:r>
              <w:rPr>
                <w:rFonts w:ascii="Arial" w:cs="Arial" w:eastAsia="Arial" w:hAnsi="Arial"/>
                <w:sz w:val="14"/>
                <w:szCs w:val="14"/>
                <w:color w:val="000000"/>
              </w:rPr>
              <w:t>Higher Education</w:t>
            </w:r>
          </w:p>
        </w:tc>
        <w:tc>
          <w:tcPr>
            <w:tcW w:w="1920" w:type="dxa"/>
            <w:vAlign w:val="bottom"/>
            <w:tcBorders>
              <w:right w:val="single" w:sz="8" w:color="00AF41"/>
            </w:tcBorders>
            <w:vMerge w:val="continue"/>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760" w:type="dxa"/>
            <w:vAlign w:val="bottom"/>
            <w:tcBorders>
              <w:right w:val="single" w:sz="8" w:color="77BC1F"/>
            </w:tcBorders>
          </w:tcPr>
          <w:p>
            <w:pPr>
              <w:spacing w:after="0"/>
              <w:rPr>
                <w:sz w:val="4"/>
                <w:szCs w:val="4"/>
                <w:color w:val="auto"/>
              </w:rPr>
            </w:pPr>
          </w:p>
        </w:tc>
        <w:tc>
          <w:tcPr>
            <w:tcW w:w="100" w:type="dxa"/>
            <w:vAlign w:val="bottom"/>
            <w:shd w:val="clear" w:color="auto" w:fill="E3F1D2"/>
          </w:tcPr>
          <w:p>
            <w:pPr>
              <w:spacing w:after="0"/>
              <w:rPr>
                <w:sz w:val="4"/>
                <w:szCs w:val="4"/>
                <w:color w:val="auto"/>
              </w:rPr>
            </w:pPr>
          </w:p>
        </w:tc>
        <w:tc>
          <w:tcPr>
            <w:tcW w:w="1560" w:type="dxa"/>
            <w:vAlign w:val="bottom"/>
            <w:shd w:val="clear" w:color="auto" w:fill="E3F1D2"/>
          </w:tcPr>
          <w:p>
            <w:pPr>
              <w:spacing w:after="0"/>
              <w:rPr>
                <w:sz w:val="4"/>
                <w:szCs w:val="4"/>
                <w:color w:val="auto"/>
              </w:rPr>
            </w:pPr>
          </w:p>
        </w:tc>
        <w:tc>
          <w:tcPr>
            <w:tcW w:w="1820" w:type="dxa"/>
            <w:vAlign w:val="bottom"/>
            <w:tcBorders>
              <w:right w:val="single" w:sz="8" w:color="00AF41"/>
            </w:tcBorders>
            <w:vMerge w:val="continue"/>
            <w:shd w:val="clear" w:color="auto" w:fill="E3F1D2"/>
          </w:tcPr>
          <w:p>
            <w:pPr>
              <w:spacing w:after="0"/>
              <w:rPr>
                <w:sz w:val="4"/>
                <w:szCs w:val="4"/>
                <w:color w:val="auto"/>
              </w:rPr>
            </w:pPr>
          </w:p>
        </w:tc>
        <w:tc>
          <w:tcPr>
            <w:tcW w:w="120" w:type="dxa"/>
            <w:vAlign w:val="bottom"/>
            <w:shd w:val="clear" w:color="auto" w:fill="F2F2F2"/>
          </w:tcPr>
          <w:p>
            <w:pPr>
              <w:spacing w:after="0"/>
              <w:rPr>
                <w:sz w:val="4"/>
                <w:szCs w:val="4"/>
                <w:color w:val="auto"/>
              </w:rPr>
            </w:pPr>
          </w:p>
        </w:tc>
        <w:tc>
          <w:tcPr>
            <w:tcW w:w="1640" w:type="dxa"/>
            <w:vAlign w:val="bottom"/>
            <w:shd w:val="clear" w:color="auto" w:fill="F2F2F2"/>
          </w:tcPr>
          <w:p>
            <w:pPr>
              <w:spacing w:after="0"/>
              <w:rPr>
                <w:sz w:val="4"/>
                <w:szCs w:val="4"/>
                <w:color w:val="auto"/>
              </w:rPr>
            </w:pPr>
          </w:p>
        </w:tc>
        <w:tc>
          <w:tcPr>
            <w:tcW w:w="2000" w:type="dxa"/>
            <w:vAlign w:val="bottom"/>
            <w:vMerge w:val="continue"/>
            <w:shd w:val="clear" w:color="auto" w:fill="F2F2F2"/>
          </w:tcPr>
          <w:p>
            <w:pPr>
              <w:spacing w:after="0"/>
              <w:rPr>
                <w:sz w:val="4"/>
                <w:szCs w:val="4"/>
                <w:color w:val="auto"/>
              </w:rPr>
            </w:pPr>
          </w:p>
        </w:tc>
        <w:tc>
          <w:tcPr>
            <w:tcW w:w="1920" w:type="dxa"/>
            <w:vAlign w:val="bottom"/>
            <w:tcBorders>
              <w:right w:val="single" w:sz="8" w:color="00AF41"/>
            </w:tcBorders>
            <w:shd w:val="clear" w:color="auto" w:fill="F2F2F2"/>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1760" w:type="dxa"/>
            <w:vAlign w:val="bottom"/>
            <w:tcBorders>
              <w:right w:val="single" w:sz="8" w:color="77BC1F"/>
            </w:tcBorders>
          </w:tcPr>
          <w:p>
            <w:pPr>
              <w:spacing w:after="0"/>
              <w:rPr>
                <w:sz w:val="16"/>
                <w:szCs w:val="16"/>
                <w:color w:val="auto"/>
              </w:rPr>
            </w:pPr>
          </w:p>
        </w:tc>
        <w:tc>
          <w:tcPr>
            <w:tcW w:w="100" w:type="dxa"/>
            <w:vAlign w:val="bottom"/>
            <w:shd w:val="clear" w:color="auto" w:fill="E3F1D2"/>
          </w:tcPr>
          <w:p>
            <w:pPr>
              <w:spacing w:after="0"/>
              <w:rPr>
                <w:sz w:val="16"/>
                <w:szCs w:val="16"/>
                <w:color w:val="auto"/>
              </w:rPr>
            </w:pPr>
          </w:p>
        </w:tc>
        <w:tc>
          <w:tcPr>
            <w:tcW w:w="1560" w:type="dxa"/>
            <w:vAlign w:val="bottom"/>
            <w:shd w:val="clear" w:color="auto" w:fill="E3F1D2"/>
          </w:tcPr>
          <w:p>
            <w:pPr>
              <w:spacing w:after="0"/>
              <w:rPr>
                <w:sz w:val="16"/>
                <w:szCs w:val="16"/>
                <w:color w:val="auto"/>
              </w:rPr>
            </w:pPr>
          </w:p>
        </w:tc>
        <w:tc>
          <w:tcPr>
            <w:tcW w:w="1820" w:type="dxa"/>
            <w:vAlign w:val="bottom"/>
            <w:tcBorders>
              <w:right w:val="single" w:sz="8" w:color="00AF41"/>
            </w:tcBorders>
            <w:shd w:val="clear" w:color="auto" w:fill="E3F1D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1640" w:type="dxa"/>
            <w:vAlign w:val="bottom"/>
            <w:shd w:val="clear" w:color="auto" w:fill="F2F2F2"/>
          </w:tcPr>
          <w:p>
            <w:pPr>
              <w:spacing w:after="0"/>
              <w:rPr>
                <w:sz w:val="16"/>
                <w:szCs w:val="16"/>
                <w:color w:val="auto"/>
              </w:rPr>
            </w:pPr>
          </w:p>
        </w:tc>
        <w:tc>
          <w:tcPr>
            <w:tcW w:w="2000" w:type="dxa"/>
            <w:vAlign w:val="bottom"/>
            <w:shd w:val="clear" w:color="auto" w:fill="F2F2F2"/>
          </w:tcPr>
          <w:p>
            <w:pPr>
              <w:ind w:left="640"/>
              <w:spacing w:after="0"/>
              <w:rPr>
                <w:sz w:val="20"/>
                <w:szCs w:val="20"/>
                <w:color w:val="auto"/>
              </w:rPr>
            </w:pPr>
            <w:r>
              <w:rPr>
                <w:rFonts w:ascii="Times New Roman" w:cs="Times New Roman" w:eastAsia="Times New Roman" w:hAnsi="Times New Roman"/>
                <w:sz w:val="14"/>
                <w:szCs w:val="14"/>
                <w:color w:val="00AF41"/>
              </w:rPr>
              <w:t xml:space="preserve">• </w:t>
            </w:r>
            <w:r>
              <w:rPr>
                <w:rFonts w:ascii="Arial" w:cs="Arial" w:eastAsia="Arial" w:hAnsi="Arial"/>
                <w:sz w:val="14"/>
                <w:szCs w:val="14"/>
                <w:color w:val="000000"/>
              </w:rPr>
              <w:t>Executive Search</w:t>
            </w:r>
          </w:p>
        </w:tc>
        <w:tc>
          <w:tcPr>
            <w:tcW w:w="1920" w:type="dxa"/>
            <w:vAlign w:val="bottom"/>
            <w:tcBorders>
              <w:right w:val="single" w:sz="8" w:color="00AF41"/>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760" w:type="dxa"/>
            <w:vAlign w:val="bottom"/>
            <w:tcBorders>
              <w:bottom w:val="single" w:sz="8" w:color="auto"/>
              <w:right w:val="single" w:sz="8" w:color="77BC1F"/>
            </w:tcBorders>
          </w:tcPr>
          <w:p>
            <w:pPr>
              <w:spacing w:after="0"/>
              <w:rPr>
                <w:sz w:val="5"/>
                <w:szCs w:val="5"/>
                <w:color w:val="auto"/>
              </w:rPr>
            </w:pPr>
          </w:p>
        </w:tc>
        <w:tc>
          <w:tcPr>
            <w:tcW w:w="100" w:type="dxa"/>
            <w:vAlign w:val="bottom"/>
            <w:tcBorders>
              <w:bottom w:val="single" w:sz="8" w:color="auto"/>
            </w:tcBorders>
            <w:shd w:val="clear" w:color="auto" w:fill="E3F1D2"/>
          </w:tcPr>
          <w:p>
            <w:pPr>
              <w:spacing w:after="0"/>
              <w:rPr>
                <w:sz w:val="5"/>
                <w:szCs w:val="5"/>
                <w:color w:val="auto"/>
              </w:rPr>
            </w:pPr>
          </w:p>
        </w:tc>
        <w:tc>
          <w:tcPr>
            <w:tcW w:w="1560" w:type="dxa"/>
            <w:vAlign w:val="bottom"/>
            <w:tcBorders>
              <w:bottom w:val="single" w:sz="8" w:color="auto"/>
            </w:tcBorders>
            <w:shd w:val="clear" w:color="auto" w:fill="E3F1D2"/>
          </w:tcPr>
          <w:p>
            <w:pPr>
              <w:spacing w:after="0"/>
              <w:rPr>
                <w:sz w:val="5"/>
                <w:szCs w:val="5"/>
                <w:color w:val="auto"/>
              </w:rPr>
            </w:pPr>
          </w:p>
        </w:tc>
        <w:tc>
          <w:tcPr>
            <w:tcW w:w="1820" w:type="dxa"/>
            <w:vAlign w:val="bottom"/>
            <w:tcBorders>
              <w:bottom w:val="single" w:sz="8" w:color="auto"/>
              <w:right w:val="single" w:sz="8" w:color="00AF41"/>
            </w:tcBorders>
            <w:shd w:val="clear" w:color="auto" w:fill="E3F1D2"/>
          </w:tcPr>
          <w:p>
            <w:pPr>
              <w:spacing w:after="0"/>
              <w:rPr>
                <w:sz w:val="5"/>
                <w:szCs w:val="5"/>
                <w:color w:val="auto"/>
              </w:rPr>
            </w:pPr>
          </w:p>
        </w:tc>
        <w:tc>
          <w:tcPr>
            <w:tcW w:w="120" w:type="dxa"/>
            <w:vAlign w:val="bottom"/>
            <w:tcBorders>
              <w:bottom w:val="single" w:sz="8" w:color="auto"/>
            </w:tcBorders>
            <w:shd w:val="clear" w:color="auto" w:fill="F2F2F2"/>
          </w:tcPr>
          <w:p>
            <w:pPr>
              <w:spacing w:after="0"/>
              <w:rPr>
                <w:sz w:val="5"/>
                <w:szCs w:val="5"/>
                <w:color w:val="auto"/>
              </w:rPr>
            </w:pPr>
          </w:p>
        </w:tc>
        <w:tc>
          <w:tcPr>
            <w:tcW w:w="1640" w:type="dxa"/>
            <w:vAlign w:val="bottom"/>
            <w:tcBorders>
              <w:bottom w:val="single" w:sz="8" w:color="auto"/>
            </w:tcBorders>
            <w:shd w:val="clear" w:color="auto" w:fill="F2F2F2"/>
          </w:tcPr>
          <w:p>
            <w:pPr>
              <w:spacing w:after="0"/>
              <w:rPr>
                <w:sz w:val="5"/>
                <w:szCs w:val="5"/>
                <w:color w:val="auto"/>
              </w:rPr>
            </w:pPr>
          </w:p>
        </w:tc>
        <w:tc>
          <w:tcPr>
            <w:tcW w:w="2000" w:type="dxa"/>
            <w:vAlign w:val="bottom"/>
            <w:tcBorders>
              <w:bottom w:val="single" w:sz="8" w:color="auto"/>
            </w:tcBorders>
            <w:shd w:val="clear" w:color="auto" w:fill="F2F2F2"/>
          </w:tcPr>
          <w:p>
            <w:pPr>
              <w:spacing w:after="0"/>
              <w:rPr>
                <w:sz w:val="5"/>
                <w:szCs w:val="5"/>
                <w:color w:val="auto"/>
              </w:rPr>
            </w:pPr>
          </w:p>
        </w:tc>
        <w:tc>
          <w:tcPr>
            <w:tcW w:w="1920" w:type="dxa"/>
            <w:vAlign w:val="bottom"/>
            <w:tcBorders>
              <w:bottom w:val="single" w:sz="8" w:color="auto"/>
              <w:right w:val="single" w:sz="8" w:color="00AF41"/>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760" w:type="dxa"/>
            <w:vAlign w:val="bottom"/>
            <w:tcBorders>
              <w:right w:val="single" w:sz="8" w:color="77BC1F"/>
            </w:tcBorders>
          </w:tcPr>
          <w:p>
            <w:pPr>
              <w:spacing w:after="0"/>
              <w:rPr>
                <w:sz w:val="15"/>
                <w:szCs w:val="15"/>
                <w:color w:val="auto"/>
              </w:rPr>
            </w:pPr>
          </w:p>
        </w:tc>
        <w:tc>
          <w:tcPr>
            <w:tcW w:w="100" w:type="dxa"/>
            <w:vAlign w:val="bottom"/>
            <w:tcBorders>
              <w:bottom w:val="single" w:sz="8" w:color="77BC1F"/>
            </w:tcBorders>
            <w:shd w:val="clear" w:color="auto" w:fill="E3F1D2"/>
          </w:tcPr>
          <w:p>
            <w:pPr>
              <w:spacing w:after="0"/>
              <w:rPr>
                <w:sz w:val="15"/>
                <w:szCs w:val="15"/>
                <w:color w:val="auto"/>
              </w:rPr>
            </w:pPr>
          </w:p>
        </w:tc>
        <w:tc>
          <w:tcPr>
            <w:tcW w:w="1560" w:type="dxa"/>
            <w:vAlign w:val="bottom"/>
            <w:tcBorders>
              <w:bottom w:val="single" w:sz="8" w:color="77BC1F"/>
            </w:tcBorders>
            <w:shd w:val="clear" w:color="auto" w:fill="E3F1D2"/>
          </w:tcPr>
          <w:p>
            <w:pPr>
              <w:spacing w:after="0"/>
              <w:rPr>
                <w:sz w:val="15"/>
                <w:szCs w:val="15"/>
                <w:color w:val="auto"/>
              </w:rPr>
            </w:pPr>
          </w:p>
        </w:tc>
        <w:tc>
          <w:tcPr>
            <w:tcW w:w="1820" w:type="dxa"/>
            <w:vAlign w:val="bottom"/>
            <w:tcBorders>
              <w:bottom w:val="single" w:sz="8" w:color="77BC1F"/>
              <w:right w:val="single" w:sz="8" w:color="00AF41"/>
            </w:tcBorders>
            <w:shd w:val="clear" w:color="auto" w:fill="E3F1D2"/>
          </w:tcPr>
          <w:p>
            <w:pPr>
              <w:spacing w:after="0"/>
              <w:rPr>
                <w:sz w:val="15"/>
                <w:szCs w:val="15"/>
                <w:color w:val="auto"/>
              </w:rPr>
            </w:pPr>
          </w:p>
        </w:tc>
        <w:tc>
          <w:tcPr>
            <w:tcW w:w="120" w:type="dxa"/>
            <w:vAlign w:val="bottom"/>
            <w:tcBorders>
              <w:bottom w:val="single" w:sz="8" w:color="00AF41"/>
            </w:tcBorders>
            <w:shd w:val="clear" w:color="auto" w:fill="F2F2F2"/>
          </w:tcPr>
          <w:p>
            <w:pPr>
              <w:spacing w:after="0"/>
              <w:rPr>
                <w:sz w:val="15"/>
                <w:szCs w:val="15"/>
                <w:color w:val="auto"/>
              </w:rPr>
            </w:pPr>
          </w:p>
        </w:tc>
        <w:tc>
          <w:tcPr>
            <w:tcW w:w="1640" w:type="dxa"/>
            <w:vAlign w:val="bottom"/>
            <w:tcBorders>
              <w:bottom w:val="single" w:sz="8" w:color="00AF41"/>
            </w:tcBorders>
            <w:shd w:val="clear" w:color="auto" w:fill="F2F2F2"/>
          </w:tcPr>
          <w:p>
            <w:pPr>
              <w:spacing w:after="0"/>
              <w:rPr>
                <w:sz w:val="15"/>
                <w:szCs w:val="15"/>
                <w:color w:val="auto"/>
              </w:rPr>
            </w:pPr>
          </w:p>
        </w:tc>
        <w:tc>
          <w:tcPr>
            <w:tcW w:w="2000" w:type="dxa"/>
            <w:vAlign w:val="bottom"/>
            <w:tcBorders>
              <w:bottom w:val="single" w:sz="8" w:color="00AF41"/>
            </w:tcBorders>
            <w:shd w:val="clear" w:color="auto" w:fill="F2F2F2"/>
          </w:tcPr>
          <w:p>
            <w:pPr>
              <w:spacing w:after="0"/>
              <w:rPr>
                <w:sz w:val="15"/>
                <w:szCs w:val="15"/>
                <w:color w:val="auto"/>
              </w:rPr>
            </w:pPr>
          </w:p>
        </w:tc>
        <w:tc>
          <w:tcPr>
            <w:tcW w:w="1920" w:type="dxa"/>
            <w:vAlign w:val="bottom"/>
            <w:tcBorders>
              <w:bottom w:val="single" w:sz="8" w:color="00AF41"/>
              <w:right w:val="single" w:sz="8" w:color="00AF41"/>
            </w:tcBorders>
            <w:shd w:val="clear" w:color="auto" w:fill="F2F2F2"/>
          </w:tcPr>
          <w:p>
            <w:pPr>
              <w:spacing w:after="0"/>
              <w:rPr>
                <w:sz w:val="15"/>
                <w:szCs w:val="15"/>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440" w:hanging="324"/>
        <w:spacing w:after="0"/>
        <w:tabs>
          <w:tab w:leader="none" w:pos="440" w:val="left"/>
        </w:tabs>
        <w:numPr>
          <w:ilvl w:val="0"/>
          <w:numId w:val="9"/>
        </w:numPr>
        <w:rPr>
          <w:rFonts w:ascii="Arial" w:cs="Arial" w:eastAsia="Arial" w:hAnsi="Arial"/>
          <w:sz w:val="19"/>
          <w:szCs w:val="19"/>
          <w:color w:val="auto"/>
          <w:vertAlign w:val="superscript"/>
        </w:rPr>
      </w:pPr>
      <w:r>
        <w:rPr>
          <w:rFonts w:ascii="Arial" w:cs="Arial" w:eastAsia="Arial" w:hAnsi="Arial"/>
          <w:sz w:val="13"/>
          <w:szCs w:val="13"/>
          <w:color w:val="auto"/>
        </w:rPr>
        <w:t>Kelly size and margin profiles are based on 2022 full year results</w:t>
      </w:r>
    </w:p>
    <w:p>
      <w:pPr>
        <w:spacing w:after="0" w:line="62" w:lineRule="exact"/>
        <w:rPr>
          <w:rFonts w:ascii="Arial" w:cs="Arial" w:eastAsia="Arial" w:hAnsi="Arial"/>
          <w:sz w:val="19"/>
          <w:szCs w:val="19"/>
          <w:color w:val="auto"/>
          <w:vertAlign w:val="superscript"/>
        </w:rPr>
      </w:pPr>
    </w:p>
    <w:p>
      <w:pPr>
        <w:ind w:left="440" w:hanging="324"/>
        <w:spacing w:after="0" w:line="189" w:lineRule="auto"/>
        <w:tabs>
          <w:tab w:leader="none" w:pos="440" w:val="left"/>
        </w:tabs>
        <w:numPr>
          <w:ilvl w:val="0"/>
          <w:numId w:val="9"/>
        </w:numPr>
        <w:rPr>
          <w:rFonts w:ascii="Arial" w:cs="Arial" w:eastAsia="Arial" w:hAnsi="Arial"/>
          <w:sz w:val="17"/>
          <w:szCs w:val="17"/>
          <w:color w:val="auto"/>
          <w:vertAlign w:val="superscript"/>
        </w:rPr>
      </w:pPr>
      <w:r>
        <w:rPr>
          <w:rFonts w:ascii="Arial" w:cs="Arial" w:eastAsia="Arial" w:hAnsi="Arial"/>
          <w:sz w:val="11"/>
          <w:szCs w:val="11"/>
          <w:color w:val="auto"/>
        </w:rPr>
        <w:t>Kelly Education revenue and GP rate was $0.7B and 16.6%, respectively, including the results of PTS on a proforma basis</w:t>
      </w:r>
    </w:p>
    <w:p>
      <w:pPr>
        <w:spacing w:after="0" w:line="62" w:lineRule="exact"/>
        <w:rPr>
          <w:rFonts w:ascii="Arial" w:cs="Arial" w:eastAsia="Arial" w:hAnsi="Arial"/>
          <w:sz w:val="17"/>
          <w:szCs w:val="17"/>
          <w:color w:val="auto"/>
          <w:vertAlign w:val="superscript"/>
        </w:rPr>
      </w:pPr>
    </w:p>
    <w:p>
      <w:pPr>
        <w:ind w:left="440" w:hanging="324"/>
        <w:spacing w:after="0" w:line="189" w:lineRule="auto"/>
        <w:tabs>
          <w:tab w:leader="none" w:pos="440" w:val="left"/>
        </w:tabs>
        <w:numPr>
          <w:ilvl w:val="0"/>
          <w:numId w:val="9"/>
        </w:numPr>
        <w:rPr>
          <w:rFonts w:ascii="Arial" w:cs="Arial" w:eastAsia="Arial" w:hAnsi="Arial"/>
          <w:sz w:val="17"/>
          <w:szCs w:val="17"/>
          <w:color w:val="auto"/>
          <w:vertAlign w:val="superscript"/>
        </w:rPr>
      </w:pPr>
      <w:r>
        <w:rPr>
          <w:rFonts w:ascii="Arial" w:cs="Arial" w:eastAsia="Arial" w:hAnsi="Arial"/>
          <w:sz w:val="11"/>
          <w:szCs w:val="11"/>
          <w:color w:val="auto"/>
        </w:rPr>
        <w:t>Kelly OCG revenue and GP rate was $0.5B and 36.7%, respectively, including the results of RocketPower on a proforma basis</w:t>
      </w:r>
    </w:p>
    <w:p>
      <w:pPr>
        <w:spacing w:after="0" w:line="62" w:lineRule="exact"/>
        <w:rPr>
          <w:rFonts w:ascii="Arial" w:cs="Arial" w:eastAsia="Arial" w:hAnsi="Arial"/>
          <w:sz w:val="17"/>
          <w:szCs w:val="17"/>
          <w:color w:val="auto"/>
          <w:vertAlign w:val="superscript"/>
        </w:rPr>
      </w:pPr>
    </w:p>
    <w:p>
      <w:pPr>
        <w:ind w:left="440" w:hanging="324"/>
        <w:spacing w:after="0" w:line="189" w:lineRule="auto"/>
        <w:tabs>
          <w:tab w:leader="none" w:pos="440" w:val="left"/>
        </w:tabs>
        <w:numPr>
          <w:ilvl w:val="0"/>
          <w:numId w:val="9"/>
        </w:numPr>
        <w:rPr>
          <w:rFonts w:ascii="Arial" w:cs="Arial" w:eastAsia="Arial" w:hAnsi="Arial"/>
          <w:sz w:val="17"/>
          <w:szCs w:val="17"/>
          <w:color w:val="auto"/>
          <w:vertAlign w:val="superscript"/>
        </w:rPr>
      </w:pPr>
      <w:r>
        <w:rPr>
          <w:rFonts w:ascii="Arial" w:cs="Arial" w:eastAsia="Arial" w:hAnsi="Arial"/>
          <w:sz w:val="11"/>
          <w:szCs w:val="11"/>
          <w:color w:val="auto"/>
        </w:rPr>
        <w:t>Managed Service Provider (“MSP”); Recruitment Process Outsourcing (“RPO”); Payroll Process Outsourcing (“PPO”)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480810" cy="3471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80810"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8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6614160</wp:posOffset>
            </wp:positionH>
            <wp:positionV relativeFrom="paragraph">
              <wp:posOffset>-142875</wp:posOffset>
            </wp:positionV>
            <wp:extent cx="8255" cy="2317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-142875</wp:posOffset>
            </wp:positionV>
            <wp:extent cx="411480" cy="1968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99695</wp:posOffset>
            </wp:positionV>
            <wp:extent cx="6480810" cy="70980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80810" cy="7098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1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-142875</wp:posOffset>
            </wp:positionV>
            <wp:extent cx="411480" cy="1968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Proxy Summary</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Select Awards and Recognitions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We’re the best company for business and talent to work with. We’ve been recognized around the world and across the spectrum for what we do.</w:t>
      </w:r>
    </w:p>
    <w:p>
      <w:pPr>
        <w:spacing w:after="0" w:line="242" w:lineRule="exact"/>
        <w:rPr>
          <w:sz w:val="20"/>
          <w:szCs w:val="20"/>
          <w:color w:val="auto"/>
        </w:rPr>
      </w:pPr>
    </w:p>
    <w:tbl>
      <w:tblPr>
        <w:tblLayout w:type="fixed"/>
        <w:tblInd w:w="190" w:type="dxa"/>
        <w:tblCellMar>
          <w:top w:w="0" w:type="dxa"/>
          <w:left w:w="0" w:type="dxa"/>
          <w:bottom w:w="0" w:type="dxa"/>
          <w:right w:w="0" w:type="dxa"/>
        </w:tblCellMar>
      </w:tblPr>
      <w:tr>
        <w:trPr>
          <w:trHeight w:val="891"/>
        </w:trPr>
        <w:tc>
          <w:tcPr>
            <w:tcW w:w="5140" w:type="dxa"/>
            <w:vAlign w:val="bottom"/>
            <w:tcBorders>
              <w:top w:val="single" w:sz="8" w:color="00AF41"/>
              <w:left w:val="single" w:sz="8" w:color="00AF41"/>
            </w:tcBorders>
            <w:gridSpan w:val="2"/>
          </w:tcPr>
          <w:p>
            <w:pPr>
              <w:jc w:val="center"/>
              <w:ind w:left="289"/>
              <w:spacing w:after="0"/>
              <w:rPr>
                <w:sz w:val="20"/>
                <w:szCs w:val="20"/>
                <w:color w:val="auto"/>
              </w:rPr>
            </w:pPr>
            <w:r>
              <w:rPr>
                <w:rFonts w:ascii="Arial" w:cs="Arial" w:eastAsia="Arial" w:hAnsi="Arial"/>
                <w:sz w:val="14"/>
                <w:szCs w:val="14"/>
                <w:color w:val="auto"/>
              </w:rPr>
              <w:t>Kelly has been named a Leader on Everest Group’s U.S. Business &amp;</w:t>
            </w:r>
          </w:p>
        </w:tc>
        <w:tc>
          <w:tcPr>
            <w:tcW w:w="340" w:type="dxa"/>
            <w:vAlign w:val="bottom"/>
            <w:tcBorders>
              <w:top w:val="single" w:sz="8" w:color="00AF41"/>
              <w:right w:val="single" w:sz="8" w:color="00AF41"/>
            </w:tcBorders>
          </w:tcPr>
          <w:p>
            <w:pPr>
              <w:spacing w:after="0"/>
              <w:rPr>
                <w:sz w:val="24"/>
                <w:szCs w:val="24"/>
                <w:color w:val="auto"/>
              </w:rPr>
            </w:pPr>
          </w:p>
        </w:tc>
        <w:tc>
          <w:tcPr>
            <w:tcW w:w="5440" w:type="dxa"/>
            <w:vAlign w:val="bottom"/>
            <w:tcBorders>
              <w:top w:val="single" w:sz="8" w:color="00AF41"/>
              <w:right w:val="single" w:sz="8" w:color="00AF41"/>
            </w:tcBorders>
            <w:gridSpan w:val="2"/>
          </w:tcPr>
          <w:p>
            <w:pPr>
              <w:jc w:val="center"/>
              <w:ind w:right="8"/>
              <w:spacing w:after="0"/>
              <w:rPr>
                <w:sz w:val="20"/>
                <w:szCs w:val="20"/>
                <w:color w:val="auto"/>
              </w:rPr>
            </w:pPr>
            <w:r>
              <w:rPr>
                <w:rFonts w:ascii="Arial" w:cs="Arial" w:eastAsia="Arial" w:hAnsi="Arial"/>
                <w:sz w:val="14"/>
                <w:szCs w:val="14"/>
                <w:color w:val="auto"/>
              </w:rPr>
              <w:t>Kelly Named to Forbes List of America’s Best Employers for Diversity for second</w:t>
            </w:r>
          </w:p>
        </w:tc>
      </w:tr>
      <w:tr>
        <w:trPr>
          <w:trHeight w:val="166"/>
        </w:trPr>
        <w:tc>
          <w:tcPr>
            <w:tcW w:w="5140" w:type="dxa"/>
            <w:vAlign w:val="bottom"/>
            <w:tcBorders>
              <w:left w:val="single" w:sz="8" w:color="00AF41"/>
            </w:tcBorders>
            <w:gridSpan w:val="2"/>
          </w:tcPr>
          <w:p>
            <w:pPr>
              <w:jc w:val="center"/>
              <w:ind w:left="289"/>
              <w:spacing w:after="0" w:line="166" w:lineRule="exact"/>
              <w:rPr>
                <w:sz w:val="20"/>
                <w:szCs w:val="20"/>
                <w:color w:val="auto"/>
              </w:rPr>
            </w:pPr>
            <w:r>
              <w:rPr>
                <w:rFonts w:ascii="Arial" w:cs="Arial" w:eastAsia="Arial" w:hAnsi="Arial"/>
                <w:sz w:val="13"/>
                <w:szCs w:val="13"/>
                <w:color w:val="auto"/>
              </w:rPr>
              <w:t>Professional and Engineering Contingent Staffing Services PEAK Matrix</w:t>
            </w:r>
            <w:r>
              <w:rPr>
                <w:rFonts w:ascii="Arial" w:cs="Arial" w:eastAsia="Arial" w:hAnsi="Arial"/>
                <w:sz w:val="19"/>
                <w:szCs w:val="19"/>
                <w:color w:val="auto"/>
                <w:vertAlign w:val="superscript"/>
              </w:rPr>
              <w:t>®</w:t>
            </w:r>
          </w:p>
        </w:tc>
        <w:tc>
          <w:tcPr>
            <w:tcW w:w="340" w:type="dxa"/>
            <w:vAlign w:val="bottom"/>
            <w:tcBorders>
              <w:right w:val="single" w:sz="8" w:color="00AF41"/>
            </w:tcBorders>
          </w:tcPr>
          <w:p>
            <w:pPr>
              <w:spacing w:after="0"/>
              <w:rPr>
                <w:sz w:val="14"/>
                <w:szCs w:val="14"/>
                <w:color w:val="auto"/>
              </w:rPr>
            </w:pPr>
          </w:p>
        </w:tc>
        <w:tc>
          <w:tcPr>
            <w:tcW w:w="5440" w:type="dxa"/>
            <w:vAlign w:val="bottom"/>
            <w:tcBorders>
              <w:right w:val="single" w:sz="8" w:color="00AF41"/>
            </w:tcBorders>
            <w:gridSpan w:val="2"/>
          </w:tcPr>
          <w:p>
            <w:pPr>
              <w:jc w:val="center"/>
              <w:ind w:right="8"/>
              <w:spacing w:after="0"/>
              <w:rPr>
                <w:sz w:val="20"/>
                <w:szCs w:val="20"/>
                <w:color w:val="auto"/>
              </w:rPr>
            </w:pPr>
            <w:r>
              <w:rPr>
                <w:rFonts w:ascii="Arial" w:cs="Arial" w:eastAsia="Arial" w:hAnsi="Arial"/>
                <w:sz w:val="14"/>
                <w:szCs w:val="14"/>
                <w:color w:val="auto"/>
              </w:rPr>
              <w:t>consecutive year, one of the top Professional Recruiting and Temporary Staffing</w:t>
            </w:r>
          </w:p>
        </w:tc>
      </w:tr>
      <w:tr>
        <w:trPr>
          <w:trHeight w:val="158"/>
        </w:trPr>
        <w:tc>
          <w:tcPr>
            <w:tcW w:w="5140" w:type="dxa"/>
            <w:vAlign w:val="bottom"/>
            <w:tcBorders>
              <w:left w:val="single" w:sz="8" w:color="00AF41"/>
            </w:tcBorders>
            <w:gridSpan w:val="2"/>
          </w:tcPr>
          <w:p>
            <w:pPr>
              <w:jc w:val="center"/>
              <w:ind w:left="269"/>
              <w:spacing w:after="0" w:line="158" w:lineRule="exact"/>
              <w:rPr>
                <w:sz w:val="20"/>
                <w:szCs w:val="20"/>
                <w:color w:val="auto"/>
              </w:rPr>
            </w:pPr>
            <w:r>
              <w:rPr>
                <w:rFonts w:ascii="Arial" w:cs="Arial" w:eastAsia="Arial" w:hAnsi="Arial"/>
                <w:sz w:val="14"/>
                <w:szCs w:val="14"/>
                <w:color w:val="auto"/>
              </w:rPr>
              <w:t>Assessment, as well as a Major Contender on Everest Group’s U.S. IT</w:t>
            </w:r>
          </w:p>
        </w:tc>
        <w:tc>
          <w:tcPr>
            <w:tcW w:w="340" w:type="dxa"/>
            <w:vAlign w:val="bottom"/>
            <w:tcBorders>
              <w:right w:val="single" w:sz="8" w:color="00AF41"/>
            </w:tcBorders>
          </w:tcPr>
          <w:p>
            <w:pPr>
              <w:spacing w:after="0"/>
              <w:rPr>
                <w:sz w:val="13"/>
                <w:szCs w:val="13"/>
                <w:color w:val="auto"/>
              </w:rPr>
            </w:pPr>
          </w:p>
        </w:tc>
        <w:tc>
          <w:tcPr>
            <w:tcW w:w="1840" w:type="dxa"/>
            <w:vAlign w:val="bottom"/>
          </w:tcPr>
          <w:p>
            <w:pPr>
              <w:spacing w:after="0"/>
              <w:rPr>
                <w:sz w:val="13"/>
                <w:szCs w:val="13"/>
                <w:color w:val="auto"/>
              </w:rPr>
            </w:pPr>
          </w:p>
        </w:tc>
        <w:tc>
          <w:tcPr>
            <w:tcW w:w="3600" w:type="dxa"/>
            <w:vAlign w:val="bottom"/>
            <w:tcBorders>
              <w:right w:val="single" w:sz="8" w:color="00AF41"/>
            </w:tcBorders>
          </w:tcPr>
          <w:p>
            <w:pPr>
              <w:jc w:val="center"/>
              <w:ind w:right="1848"/>
              <w:spacing w:after="0" w:line="158" w:lineRule="exact"/>
              <w:rPr>
                <w:sz w:val="20"/>
                <w:szCs w:val="20"/>
                <w:color w:val="auto"/>
              </w:rPr>
            </w:pPr>
            <w:r>
              <w:rPr>
                <w:rFonts w:ascii="Arial" w:cs="Arial" w:eastAsia="Arial" w:hAnsi="Arial"/>
                <w:sz w:val="14"/>
                <w:szCs w:val="14"/>
                <w:color w:val="auto"/>
              </w:rPr>
              <w:t>Firms in America</w:t>
            </w:r>
          </w:p>
        </w:tc>
      </w:tr>
      <w:tr>
        <w:trPr>
          <w:trHeight w:val="288"/>
        </w:trPr>
        <w:tc>
          <w:tcPr>
            <w:tcW w:w="5140" w:type="dxa"/>
            <w:vAlign w:val="bottom"/>
            <w:tcBorders>
              <w:left w:val="single" w:sz="8" w:color="00AF41"/>
            </w:tcBorders>
            <w:gridSpan w:val="2"/>
          </w:tcPr>
          <w:p>
            <w:pPr>
              <w:jc w:val="center"/>
              <w:ind w:left="289"/>
              <w:spacing w:after="0"/>
              <w:rPr>
                <w:sz w:val="20"/>
                <w:szCs w:val="20"/>
                <w:color w:val="auto"/>
              </w:rPr>
            </w:pPr>
            <w:r>
              <w:rPr>
                <w:rFonts w:ascii="Arial" w:cs="Arial" w:eastAsia="Arial" w:hAnsi="Arial"/>
                <w:sz w:val="14"/>
                <w:szCs w:val="14"/>
                <w:color w:val="auto"/>
              </w:rPr>
              <w:t>Contingent Staffing Services PEAK Matrix</w:t>
            </w:r>
            <w:r>
              <w:rPr>
                <w:rFonts w:ascii="Arial" w:cs="Arial" w:eastAsia="Arial" w:hAnsi="Arial"/>
                <w:sz w:val="21"/>
                <w:szCs w:val="21"/>
                <w:color w:val="auto"/>
                <w:vertAlign w:val="superscript"/>
              </w:rPr>
              <w:t>®</w:t>
            </w:r>
          </w:p>
        </w:tc>
        <w:tc>
          <w:tcPr>
            <w:tcW w:w="340" w:type="dxa"/>
            <w:vAlign w:val="bottom"/>
            <w:tcBorders>
              <w:right w:val="single" w:sz="8" w:color="00AF41"/>
            </w:tcBorders>
          </w:tcPr>
          <w:p>
            <w:pPr>
              <w:spacing w:after="0"/>
              <w:rPr>
                <w:sz w:val="24"/>
                <w:szCs w:val="24"/>
                <w:color w:val="auto"/>
              </w:rPr>
            </w:pPr>
          </w:p>
        </w:tc>
        <w:tc>
          <w:tcPr>
            <w:tcW w:w="1840" w:type="dxa"/>
            <w:vAlign w:val="bottom"/>
          </w:tcPr>
          <w:p>
            <w:pPr>
              <w:spacing w:after="0"/>
              <w:rPr>
                <w:sz w:val="24"/>
                <w:szCs w:val="24"/>
                <w:color w:val="auto"/>
              </w:rPr>
            </w:pPr>
          </w:p>
        </w:tc>
        <w:tc>
          <w:tcPr>
            <w:tcW w:w="3600" w:type="dxa"/>
            <w:vAlign w:val="bottom"/>
            <w:tcBorders>
              <w:right w:val="single" w:sz="8" w:color="00AF41"/>
            </w:tcBorders>
          </w:tcPr>
          <w:p>
            <w:pPr>
              <w:spacing w:after="0"/>
              <w:rPr>
                <w:sz w:val="24"/>
                <w:szCs w:val="24"/>
                <w:color w:val="auto"/>
              </w:rPr>
            </w:pPr>
          </w:p>
        </w:tc>
      </w:tr>
      <w:tr>
        <w:trPr>
          <w:trHeight w:val="22"/>
        </w:trPr>
        <w:tc>
          <w:tcPr>
            <w:tcW w:w="3620" w:type="dxa"/>
            <w:vAlign w:val="bottom"/>
            <w:tcBorders>
              <w:left w:val="single" w:sz="8" w:color="00AF41"/>
              <w:bottom w:val="single" w:sz="8" w:color="00AF41"/>
            </w:tcBorders>
          </w:tcPr>
          <w:p>
            <w:pPr>
              <w:spacing w:after="0" w:line="20" w:lineRule="exact"/>
              <w:rPr>
                <w:sz w:val="1"/>
                <w:szCs w:val="1"/>
                <w:color w:val="auto"/>
              </w:rPr>
            </w:pPr>
          </w:p>
        </w:tc>
        <w:tc>
          <w:tcPr>
            <w:tcW w:w="1860" w:type="dxa"/>
            <w:vAlign w:val="bottom"/>
            <w:tcBorders>
              <w:bottom w:val="single" w:sz="8" w:color="00AF41"/>
              <w:right w:val="single" w:sz="8" w:color="00AF41"/>
            </w:tcBorders>
            <w:gridSpan w:val="2"/>
          </w:tcPr>
          <w:p>
            <w:pPr>
              <w:spacing w:after="0" w:line="20" w:lineRule="exact"/>
              <w:rPr>
                <w:sz w:val="1"/>
                <w:szCs w:val="1"/>
                <w:color w:val="auto"/>
              </w:rPr>
            </w:pPr>
          </w:p>
        </w:tc>
        <w:tc>
          <w:tcPr>
            <w:tcW w:w="1840" w:type="dxa"/>
            <w:vAlign w:val="bottom"/>
            <w:tcBorders>
              <w:bottom w:val="single" w:sz="8" w:color="00AF41"/>
            </w:tcBorders>
          </w:tcPr>
          <w:p>
            <w:pPr>
              <w:spacing w:after="0" w:line="20" w:lineRule="exact"/>
              <w:rPr>
                <w:sz w:val="1"/>
                <w:szCs w:val="1"/>
                <w:color w:val="auto"/>
              </w:rPr>
            </w:pPr>
          </w:p>
        </w:tc>
        <w:tc>
          <w:tcPr>
            <w:tcW w:w="3600" w:type="dxa"/>
            <w:vAlign w:val="bottom"/>
            <w:tcBorders>
              <w:bottom w:val="single" w:sz="8" w:color="00AF41"/>
              <w:right w:val="single" w:sz="8" w:color="00AF41"/>
            </w:tcBorders>
          </w:tcPr>
          <w:p>
            <w:pPr>
              <w:spacing w:after="0" w:line="20" w:lineRule="exact"/>
              <w:rPr>
                <w:sz w:val="1"/>
                <w:szCs w:val="1"/>
                <w:color w:val="auto"/>
              </w:rPr>
            </w:pPr>
          </w:p>
        </w:tc>
      </w:tr>
      <w:tr>
        <w:trPr>
          <w:trHeight w:val="1334"/>
        </w:trPr>
        <w:tc>
          <w:tcPr>
            <w:tcW w:w="3620" w:type="dxa"/>
            <w:vAlign w:val="bottom"/>
            <w:tcBorders>
              <w:left w:val="single" w:sz="8" w:color="00AF41"/>
              <w:right w:val="single" w:sz="8" w:color="00AF41"/>
            </w:tcBorders>
          </w:tcPr>
          <w:p>
            <w:pPr>
              <w:jc w:val="center"/>
              <w:spacing w:after="0"/>
              <w:rPr>
                <w:sz w:val="20"/>
                <w:szCs w:val="20"/>
                <w:color w:val="auto"/>
              </w:rPr>
            </w:pPr>
            <w:r>
              <w:rPr>
                <w:rFonts w:ascii="Arial" w:cs="Arial" w:eastAsia="Arial" w:hAnsi="Arial"/>
                <w:sz w:val="14"/>
                <w:szCs w:val="14"/>
                <w:color w:val="auto"/>
              </w:rPr>
              <w:t>KellyOCG named to HRO Today Enterprise RPO</w:t>
            </w:r>
          </w:p>
        </w:tc>
        <w:tc>
          <w:tcPr>
            <w:tcW w:w="3700" w:type="dxa"/>
            <w:vAlign w:val="bottom"/>
            <w:tcBorders>
              <w:right w:val="single" w:sz="8" w:color="00AF41"/>
            </w:tcBorders>
            <w:gridSpan w:val="3"/>
          </w:tcPr>
          <w:p>
            <w:pPr>
              <w:jc w:val="center"/>
              <w:spacing w:after="0"/>
              <w:rPr>
                <w:sz w:val="20"/>
                <w:szCs w:val="20"/>
                <w:color w:val="auto"/>
              </w:rPr>
            </w:pPr>
            <w:r>
              <w:rPr>
                <w:rFonts w:ascii="Arial" w:cs="Arial" w:eastAsia="Arial" w:hAnsi="Arial"/>
                <w:sz w:val="14"/>
                <w:szCs w:val="14"/>
                <w:color w:val="auto"/>
              </w:rPr>
              <w:t>For the 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consecutive year, Kelly received a top</w:t>
            </w:r>
          </w:p>
        </w:tc>
        <w:tc>
          <w:tcPr>
            <w:tcW w:w="3600" w:type="dxa"/>
            <w:vAlign w:val="bottom"/>
            <w:tcBorders>
              <w:right w:val="single" w:sz="8" w:color="00AF41"/>
            </w:tcBorders>
          </w:tcPr>
          <w:p>
            <w:pPr>
              <w:jc w:val="center"/>
              <w:ind w:right="28"/>
              <w:spacing w:after="0"/>
              <w:rPr>
                <w:sz w:val="20"/>
                <w:szCs w:val="20"/>
                <w:color w:val="auto"/>
              </w:rPr>
            </w:pPr>
            <w:r>
              <w:rPr>
                <w:rFonts w:ascii="Arial" w:cs="Arial" w:eastAsia="Arial" w:hAnsi="Arial"/>
                <w:sz w:val="14"/>
                <w:szCs w:val="14"/>
                <w:color w:val="auto"/>
              </w:rPr>
              <w:t>Kelly was named to FlexJobs</w:t>
            </w:r>
            <w:r>
              <w:rPr>
                <w:rFonts w:ascii="Arial" w:cs="Arial" w:eastAsia="Arial" w:hAnsi="Arial"/>
                <w:sz w:val="21"/>
                <w:szCs w:val="21"/>
                <w:color w:val="auto"/>
                <w:vertAlign w:val="superscript"/>
              </w:rPr>
              <w:t>®</w:t>
            </w:r>
            <w:r>
              <w:rPr>
                <w:rFonts w:ascii="Arial" w:cs="Arial" w:eastAsia="Arial" w:hAnsi="Arial"/>
                <w:sz w:val="14"/>
                <w:szCs w:val="14"/>
                <w:color w:val="auto"/>
              </w:rPr>
              <w:t xml:space="preserve"> Top 100 Companies</w:t>
            </w:r>
          </w:p>
        </w:tc>
      </w:tr>
      <w:tr>
        <w:trPr>
          <w:trHeight w:val="162"/>
        </w:trPr>
        <w:tc>
          <w:tcPr>
            <w:tcW w:w="3620" w:type="dxa"/>
            <w:vAlign w:val="bottom"/>
            <w:tcBorders>
              <w:left w:val="single" w:sz="8" w:color="00AF41"/>
              <w:right w:val="single" w:sz="8" w:color="00AF41"/>
            </w:tcBorders>
          </w:tcPr>
          <w:p>
            <w:pPr>
              <w:jc w:val="center"/>
              <w:spacing w:after="0"/>
              <w:rPr>
                <w:sz w:val="20"/>
                <w:szCs w:val="20"/>
                <w:color w:val="auto"/>
              </w:rPr>
            </w:pPr>
            <w:r>
              <w:rPr>
                <w:rFonts w:ascii="Arial" w:cs="Arial" w:eastAsia="Arial" w:hAnsi="Arial"/>
                <w:sz w:val="14"/>
                <w:szCs w:val="14"/>
                <w:color w:val="auto"/>
              </w:rPr>
              <w:t>Baker’s Dozen List 2022</w:t>
            </w:r>
          </w:p>
        </w:tc>
        <w:tc>
          <w:tcPr>
            <w:tcW w:w="3700" w:type="dxa"/>
            <w:vAlign w:val="bottom"/>
            <w:tcBorders>
              <w:right w:val="single" w:sz="8" w:color="00AF41"/>
            </w:tcBorders>
            <w:gridSpan w:val="3"/>
          </w:tcPr>
          <w:p>
            <w:pPr>
              <w:jc w:val="center"/>
              <w:spacing w:after="0"/>
              <w:rPr>
                <w:sz w:val="20"/>
                <w:szCs w:val="20"/>
                <w:color w:val="auto"/>
              </w:rPr>
            </w:pPr>
            <w:r>
              <w:rPr>
                <w:rFonts w:ascii="Arial" w:cs="Arial" w:eastAsia="Arial" w:hAnsi="Arial"/>
                <w:sz w:val="14"/>
                <w:szCs w:val="14"/>
                <w:color w:val="auto"/>
              </w:rPr>
              <w:t>score on the Human Rights Foundation’s Corporate</w:t>
            </w:r>
          </w:p>
        </w:tc>
        <w:tc>
          <w:tcPr>
            <w:tcW w:w="3600" w:type="dxa"/>
            <w:vAlign w:val="bottom"/>
            <w:tcBorders>
              <w:right w:val="single" w:sz="8" w:color="00AF41"/>
            </w:tcBorders>
          </w:tcPr>
          <w:p>
            <w:pPr>
              <w:jc w:val="center"/>
              <w:ind w:right="8"/>
              <w:spacing w:after="0"/>
              <w:rPr>
                <w:sz w:val="20"/>
                <w:szCs w:val="20"/>
                <w:color w:val="auto"/>
              </w:rPr>
            </w:pPr>
            <w:r>
              <w:rPr>
                <w:rFonts w:ascii="Arial" w:cs="Arial" w:eastAsia="Arial" w:hAnsi="Arial"/>
                <w:sz w:val="14"/>
                <w:szCs w:val="14"/>
                <w:color w:val="auto"/>
              </w:rPr>
              <w:t>for Remote Jobs in each of the nine years the award</w:t>
            </w:r>
          </w:p>
        </w:tc>
      </w:tr>
      <w:tr>
        <w:trPr>
          <w:trHeight w:val="162"/>
        </w:trPr>
        <w:tc>
          <w:tcPr>
            <w:tcW w:w="3620" w:type="dxa"/>
            <w:vAlign w:val="bottom"/>
            <w:tcBorders>
              <w:left w:val="single" w:sz="8" w:color="00AF41"/>
              <w:right w:val="single" w:sz="8" w:color="00AF41"/>
            </w:tcBorders>
          </w:tcPr>
          <w:p>
            <w:pPr>
              <w:spacing w:after="0"/>
              <w:rPr>
                <w:sz w:val="14"/>
                <w:szCs w:val="14"/>
                <w:color w:val="auto"/>
              </w:rPr>
            </w:pPr>
          </w:p>
        </w:tc>
        <w:tc>
          <w:tcPr>
            <w:tcW w:w="3700" w:type="dxa"/>
            <w:vAlign w:val="bottom"/>
            <w:tcBorders>
              <w:right w:val="single" w:sz="8" w:color="00AF41"/>
            </w:tcBorders>
            <w:gridSpan w:val="3"/>
          </w:tcPr>
          <w:p>
            <w:pPr>
              <w:jc w:val="center"/>
              <w:spacing w:after="0"/>
              <w:rPr>
                <w:sz w:val="20"/>
                <w:szCs w:val="20"/>
                <w:color w:val="auto"/>
              </w:rPr>
            </w:pPr>
            <w:r>
              <w:rPr>
                <w:rFonts w:ascii="Arial" w:cs="Arial" w:eastAsia="Arial" w:hAnsi="Arial"/>
                <w:sz w:val="14"/>
                <w:szCs w:val="14"/>
                <w:color w:val="auto"/>
              </w:rPr>
              <w:t>Equality Index for Best Places to Work for LGBTQ</w:t>
            </w:r>
          </w:p>
        </w:tc>
        <w:tc>
          <w:tcPr>
            <w:tcW w:w="3600" w:type="dxa"/>
            <w:vAlign w:val="bottom"/>
            <w:tcBorders>
              <w:right w:val="single" w:sz="8" w:color="00AF41"/>
            </w:tcBorders>
          </w:tcPr>
          <w:p>
            <w:pPr>
              <w:jc w:val="center"/>
              <w:ind w:right="8"/>
              <w:spacing w:after="0"/>
              <w:rPr>
                <w:sz w:val="20"/>
                <w:szCs w:val="20"/>
                <w:color w:val="auto"/>
              </w:rPr>
            </w:pPr>
            <w:r>
              <w:rPr>
                <w:rFonts w:ascii="Arial" w:cs="Arial" w:eastAsia="Arial" w:hAnsi="Arial"/>
                <w:sz w:val="14"/>
                <w:szCs w:val="14"/>
                <w:color w:val="auto"/>
              </w:rPr>
              <w:t>has been in existence, 2014-2022</w:t>
            </w:r>
          </w:p>
        </w:tc>
      </w:tr>
      <w:tr>
        <w:trPr>
          <w:trHeight w:val="171"/>
        </w:trPr>
        <w:tc>
          <w:tcPr>
            <w:tcW w:w="3620" w:type="dxa"/>
            <w:vAlign w:val="bottom"/>
            <w:tcBorders>
              <w:left w:val="single" w:sz="8" w:color="00AF41"/>
              <w:bottom w:val="single" w:sz="8" w:color="00AF41"/>
              <w:right w:val="single" w:sz="8" w:color="00AF41"/>
            </w:tcBorders>
          </w:tcPr>
          <w:p>
            <w:pPr>
              <w:spacing w:after="0"/>
              <w:rPr>
                <w:sz w:val="14"/>
                <w:szCs w:val="14"/>
                <w:color w:val="auto"/>
              </w:rPr>
            </w:pPr>
          </w:p>
        </w:tc>
        <w:tc>
          <w:tcPr>
            <w:tcW w:w="1520" w:type="dxa"/>
            <w:vAlign w:val="bottom"/>
            <w:tcBorders>
              <w:bottom w:val="single" w:sz="8" w:color="00AF41"/>
            </w:tcBorders>
          </w:tcPr>
          <w:p>
            <w:pPr>
              <w:spacing w:after="0"/>
              <w:rPr>
                <w:sz w:val="14"/>
                <w:szCs w:val="14"/>
                <w:color w:val="auto"/>
              </w:rPr>
            </w:pPr>
          </w:p>
        </w:tc>
        <w:tc>
          <w:tcPr>
            <w:tcW w:w="2180" w:type="dxa"/>
            <w:vAlign w:val="bottom"/>
            <w:tcBorders>
              <w:bottom w:val="single" w:sz="8" w:color="00AF41"/>
              <w:right w:val="single" w:sz="8" w:color="00AF41"/>
            </w:tcBorders>
            <w:gridSpan w:val="2"/>
          </w:tcPr>
          <w:p>
            <w:pPr>
              <w:jc w:val="center"/>
              <w:ind w:right="1488"/>
              <w:spacing w:after="0"/>
              <w:rPr>
                <w:sz w:val="20"/>
                <w:szCs w:val="20"/>
                <w:color w:val="auto"/>
              </w:rPr>
            </w:pPr>
            <w:r>
              <w:rPr>
                <w:rFonts w:ascii="Arial" w:cs="Arial" w:eastAsia="Arial" w:hAnsi="Arial"/>
                <w:sz w:val="14"/>
                <w:szCs w:val="14"/>
                <w:color w:val="auto"/>
              </w:rPr>
              <w:t>Equality</w:t>
            </w:r>
          </w:p>
        </w:tc>
        <w:tc>
          <w:tcPr>
            <w:tcW w:w="3600" w:type="dxa"/>
            <w:vAlign w:val="bottom"/>
            <w:tcBorders>
              <w:bottom w:val="single" w:sz="8" w:color="00AF41"/>
              <w:right w:val="single" w:sz="8" w:color="00AF41"/>
            </w:tcBorders>
          </w:tcPr>
          <w:p>
            <w:pPr>
              <w:spacing w:after="0"/>
              <w:rPr>
                <w:sz w:val="14"/>
                <w:szCs w:val="14"/>
                <w:color w:val="auto"/>
              </w:rPr>
            </w:pPr>
          </w:p>
        </w:tc>
      </w:tr>
      <w:tr>
        <w:trPr>
          <w:trHeight w:val="1307"/>
        </w:trPr>
        <w:tc>
          <w:tcPr>
            <w:tcW w:w="3620" w:type="dxa"/>
            <w:vAlign w:val="bottom"/>
            <w:tcBorders>
              <w:left w:val="single" w:sz="8" w:color="00AF41"/>
              <w:right w:val="single" w:sz="8" w:color="00AF41"/>
            </w:tcBorders>
          </w:tcPr>
          <w:p>
            <w:pPr>
              <w:jc w:val="center"/>
              <w:spacing w:after="0"/>
              <w:rPr>
                <w:sz w:val="20"/>
                <w:szCs w:val="20"/>
                <w:color w:val="auto"/>
              </w:rPr>
            </w:pPr>
            <w:r>
              <w:rPr>
                <w:rFonts w:ascii="Arial" w:cs="Arial" w:eastAsia="Arial" w:hAnsi="Arial"/>
                <w:sz w:val="14"/>
                <w:szCs w:val="14"/>
                <w:color w:val="auto"/>
              </w:rPr>
              <w:t>Kelly was awarded the 2022 Military Friendly</w:t>
            </w:r>
          </w:p>
        </w:tc>
        <w:tc>
          <w:tcPr>
            <w:tcW w:w="3700" w:type="dxa"/>
            <w:vAlign w:val="bottom"/>
            <w:tcBorders>
              <w:right w:val="single" w:sz="8" w:color="00AF41"/>
            </w:tcBorders>
            <w:gridSpan w:val="3"/>
          </w:tcPr>
          <w:p>
            <w:pPr>
              <w:jc w:val="center"/>
              <w:spacing w:after="0"/>
              <w:rPr>
                <w:sz w:val="20"/>
                <w:szCs w:val="20"/>
                <w:color w:val="auto"/>
              </w:rPr>
            </w:pPr>
            <w:r>
              <w:rPr>
                <w:rFonts w:ascii="Arial" w:cs="Arial" w:eastAsia="Arial" w:hAnsi="Arial"/>
                <w:sz w:val="14"/>
                <w:szCs w:val="14"/>
                <w:color w:val="auto"/>
              </w:rPr>
              <w:t>In February 2022, Kelly Services Italy was awarded</w:t>
            </w:r>
          </w:p>
        </w:tc>
        <w:tc>
          <w:tcPr>
            <w:tcW w:w="3600" w:type="dxa"/>
            <w:vAlign w:val="bottom"/>
            <w:tcBorders>
              <w:right w:val="single" w:sz="8" w:color="00AF41"/>
            </w:tcBorders>
          </w:tcPr>
          <w:p>
            <w:pPr>
              <w:jc w:val="center"/>
              <w:ind w:right="8"/>
              <w:spacing w:after="0"/>
              <w:rPr>
                <w:sz w:val="20"/>
                <w:szCs w:val="20"/>
                <w:color w:val="auto"/>
              </w:rPr>
            </w:pPr>
            <w:r>
              <w:rPr>
                <w:rFonts w:ascii="Arial" w:cs="Arial" w:eastAsia="Arial" w:hAnsi="Arial"/>
                <w:sz w:val="14"/>
                <w:szCs w:val="14"/>
                <w:color w:val="auto"/>
              </w:rPr>
              <w:t>KellyOCG Named a Great Place to Work in</w:t>
            </w:r>
          </w:p>
        </w:tc>
      </w:tr>
      <w:tr>
        <w:trPr>
          <w:trHeight w:val="162"/>
        </w:trPr>
        <w:tc>
          <w:tcPr>
            <w:tcW w:w="3620" w:type="dxa"/>
            <w:vAlign w:val="bottom"/>
            <w:tcBorders>
              <w:left w:val="single" w:sz="8" w:color="00AF41"/>
              <w:right w:val="single" w:sz="8" w:color="00AF41"/>
            </w:tcBorders>
          </w:tcPr>
          <w:p>
            <w:pPr>
              <w:jc w:val="center"/>
              <w:spacing w:after="0"/>
              <w:rPr>
                <w:sz w:val="20"/>
                <w:szCs w:val="20"/>
                <w:color w:val="auto"/>
              </w:rPr>
            </w:pPr>
            <w:r>
              <w:rPr>
                <w:rFonts w:ascii="Arial" w:cs="Arial" w:eastAsia="Arial" w:hAnsi="Arial"/>
                <w:sz w:val="14"/>
                <w:szCs w:val="14"/>
                <w:color w:val="auto"/>
              </w:rPr>
              <w:t>Employer and Military Friendly Spouse Employer</w:t>
            </w:r>
          </w:p>
        </w:tc>
        <w:tc>
          <w:tcPr>
            <w:tcW w:w="3700" w:type="dxa"/>
            <w:vAlign w:val="bottom"/>
            <w:tcBorders>
              <w:right w:val="single" w:sz="8" w:color="00AF41"/>
            </w:tcBorders>
            <w:gridSpan w:val="3"/>
          </w:tcPr>
          <w:p>
            <w:pPr>
              <w:jc w:val="center"/>
              <w:spacing w:after="0"/>
              <w:rPr>
                <w:sz w:val="20"/>
                <w:szCs w:val="20"/>
                <w:color w:val="auto"/>
              </w:rPr>
            </w:pPr>
            <w:r>
              <w:rPr>
                <w:rFonts w:ascii="Arial" w:cs="Arial" w:eastAsia="Arial" w:hAnsi="Arial"/>
                <w:sz w:val="14"/>
                <w:szCs w:val="14"/>
                <w:color w:val="auto"/>
              </w:rPr>
              <w:t>the Top Employer 2022 certification for fourth</w:t>
            </w:r>
          </w:p>
        </w:tc>
        <w:tc>
          <w:tcPr>
            <w:tcW w:w="3600" w:type="dxa"/>
            <w:vAlign w:val="bottom"/>
            <w:tcBorders>
              <w:right w:val="single" w:sz="8" w:color="00AF41"/>
            </w:tcBorders>
          </w:tcPr>
          <w:p>
            <w:pPr>
              <w:jc w:val="center"/>
              <w:ind w:right="8"/>
              <w:spacing w:after="0"/>
              <w:rPr>
                <w:sz w:val="20"/>
                <w:szCs w:val="20"/>
                <w:color w:val="auto"/>
              </w:rPr>
            </w:pPr>
            <w:r>
              <w:rPr>
                <w:rFonts w:ascii="Arial" w:cs="Arial" w:eastAsia="Arial" w:hAnsi="Arial"/>
                <w:sz w:val="14"/>
                <w:szCs w:val="14"/>
                <w:color w:val="auto"/>
              </w:rPr>
              <w:t>Australia, Malaysia, and India</w:t>
            </w:r>
          </w:p>
        </w:tc>
      </w:tr>
      <w:tr>
        <w:trPr>
          <w:trHeight w:val="190"/>
        </w:trPr>
        <w:tc>
          <w:tcPr>
            <w:tcW w:w="3620" w:type="dxa"/>
            <w:vAlign w:val="bottom"/>
            <w:tcBorders>
              <w:left w:val="single" w:sz="8" w:color="00AF41"/>
              <w:right w:val="single" w:sz="8" w:color="00AF41"/>
            </w:tcBorders>
          </w:tcPr>
          <w:p>
            <w:pPr>
              <w:jc w:val="center"/>
              <w:spacing w:after="0"/>
              <w:rPr>
                <w:sz w:val="20"/>
                <w:szCs w:val="20"/>
                <w:color w:val="auto"/>
              </w:rPr>
            </w:pPr>
            <w:r>
              <w:rPr>
                <w:rFonts w:ascii="Arial" w:cs="Arial" w:eastAsia="Arial" w:hAnsi="Arial"/>
                <w:sz w:val="14"/>
                <w:szCs w:val="14"/>
                <w:color w:val="auto"/>
              </w:rPr>
              <w:t>designations by VIQTORY</w:t>
            </w:r>
          </w:p>
        </w:tc>
        <w:tc>
          <w:tcPr>
            <w:tcW w:w="3700" w:type="dxa"/>
            <w:vAlign w:val="bottom"/>
            <w:tcBorders>
              <w:right w:val="single" w:sz="8" w:color="00AF41"/>
            </w:tcBorders>
            <w:gridSpan w:val="3"/>
          </w:tcPr>
          <w:p>
            <w:pPr>
              <w:jc w:val="center"/>
              <w:spacing w:after="0"/>
              <w:rPr>
                <w:sz w:val="20"/>
                <w:szCs w:val="20"/>
                <w:color w:val="auto"/>
              </w:rPr>
            </w:pPr>
            <w:r>
              <w:rPr>
                <w:rFonts w:ascii="Arial" w:cs="Arial" w:eastAsia="Arial" w:hAnsi="Arial"/>
                <w:sz w:val="14"/>
                <w:szCs w:val="14"/>
                <w:color w:val="auto"/>
              </w:rPr>
              <w:t>consecutive year.</w:t>
            </w:r>
          </w:p>
        </w:tc>
        <w:tc>
          <w:tcPr>
            <w:tcW w:w="3600" w:type="dxa"/>
            <w:vAlign w:val="bottom"/>
            <w:tcBorders>
              <w:right w:val="single" w:sz="8" w:color="00AF41"/>
            </w:tcBorders>
          </w:tcPr>
          <w:p>
            <w:pPr>
              <w:spacing w:after="0"/>
              <w:rPr>
                <w:sz w:val="16"/>
                <w:szCs w:val="16"/>
                <w:color w:val="auto"/>
              </w:rPr>
            </w:pPr>
          </w:p>
        </w:tc>
      </w:tr>
      <w:tr>
        <w:trPr>
          <w:trHeight w:val="116"/>
        </w:trPr>
        <w:tc>
          <w:tcPr>
            <w:tcW w:w="3620" w:type="dxa"/>
            <w:vAlign w:val="bottom"/>
            <w:tcBorders>
              <w:left w:val="single" w:sz="8" w:color="00AF41"/>
              <w:bottom w:val="single" w:sz="8" w:color="00AF41"/>
              <w:right w:val="single" w:sz="8" w:color="00AF41"/>
            </w:tcBorders>
          </w:tcPr>
          <w:p>
            <w:pPr>
              <w:spacing w:after="0"/>
              <w:rPr>
                <w:sz w:val="10"/>
                <w:szCs w:val="10"/>
                <w:color w:val="auto"/>
              </w:rPr>
            </w:pPr>
          </w:p>
        </w:tc>
        <w:tc>
          <w:tcPr>
            <w:tcW w:w="3700" w:type="dxa"/>
            <w:vAlign w:val="bottom"/>
            <w:tcBorders>
              <w:bottom w:val="single" w:sz="8" w:color="00AF41"/>
              <w:right w:val="single" w:sz="8" w:color="00AF41"/>
            </w:tcBorders>
            <w:gridSpan w:val="3"/>
          </w:tcPr>
          <w:p>
            <w:pPr>
              <w:spacing w:after="0"/>
              <w:rPr>
                <w:sz w:val="10"/>
                <w:szCs w:val="10"/>
                <w:color w:val="auto"/>
              </w:rPr>
            </w:pPr>
          </w:p>
        </w:tc>
        <w:tc>
          <w:tcPr>
            <w:tcW w:w="3600" w:type="dxa"/>
            <w:vAlign w:val="bottom"/>
            <w:tcBorders>
              <w:bottom w:val="single" w:sz="8" w:color="00AF41"/>
              <w:right w:val="single" w:sz="8" w:color="00AF41"/>
            </w:tcBorders>
          </w:tcPr>
          <w:p>
            <w:pPr>
              <w:spacing w:after="0"/>
              <w:rPr>
                <w:sz w:val="10"/>
                <w:szCs w:val="10"/>
                <w:color w:val="auto"/>
              </w:rPr>
            </w:pPr>
          </w:p>
        </w:tc>
      </w:tr>
      <w:tr>
        <w:trPr>
          <w:trHeight w:val="1186"/>
        </w:trPr>
        <w:tc>
          <w:tcPr>
            <w:tcW w:w="3620" w:type="dxa"/>
            <w:vAlign w:val="bottom"/>
            <w:tcBorders>
              <w:left w:val="single" w:sz="8" w:color="00AF41"/>
              <w:right w:val="single" w:sz="8" w:color="00AF41"/>
            </w:tcBorders>
          </w:tcPr>
          <w:p>
            <w:pPr>
              <w:jc w:val="center"/>
              <w:spacing w:after="0"/>
              <w:rPr>
                <w:sz w:val="20"/>
                <w:szCs w:val="20"/>
                <w:color w:val="auto"/>
              </w:rPr>
            </w:pPr>
            <w:r>
              <w:rPr>
                <w:rFonts w:ascii="Arial" w:cs="Arial" w:eastAsia="Arial" w:hAnsi="Arial"/>
                <w:sz w:val="14"/>
                <w:szCs w:val="14"/>
                <w:color w:val="auto"/>
              </w:rPr>
              <w:t>Kelly was recognized for its outsourcing excellence</w:t>
            </w:r>
          </w:p>
        </w:tc>
        <w:tc>
          <w:tcPr>
            <w:tcW w:w="3700" w:type="dxa"/>
            <w:vAlign w:val="bottom"/>
            <w:tcBorders>
              <w:right w:val="single" w:sz="8" w:color="00AF41"/>
            </w:tcBorders>
            <w:gridSpan w:val="3"/>
          </w:tcPr>
          <w:p>
            <w:pPr>
              <w:jc w:val="center"/>
              <w:spacing w:after="0"/>
              <w:rPr>
                <w:sz w:val="20"/>
                <w:szCs w:val="20"/>
                <w:color w:val="auto"/>
              </w:rPr>
            </w:pPr>
            <w:r>
              <w:rPr>
                <w:rFonts w:ascii="Arial" w:cs="Arial" w:eastAsia="Arial" w:hAnsi="Arial"/>
                <w:sz w:val="14"/>
                <w:szCs w:val="14"/>
                <w:color w:val="auto"/>
              </w:rPr>
              <w:t>Kelly named a 2022 Best in Class Award Winner for</w:t>
            </w:r>
          </w:p>
        </w:tc>
        <w:tc>
          <w:tcPr>
            <w:tcW w:w="3600" w:type="dxa"/>
            <w:vAlign w:val="bottom"/>
            <w:tcBorders>
              <w:right w:val="single" w:sz="8" w:color="00AF41"/>
            </w:tcBorders>
          </w:tcPr>
          <w:p>
            <w:pPr>
              <w:jc w:val="center"/>
              <w:ind w:right="28"/>
              <w:spacing w:after="0"/>
              <w:rPr>
                <w:sz w:val="20"/>
                <w:szCs w:val="20"/>
                <w:color w:val="auto"/>
              </w:rPr>
            </w:pPr>
            <w:r>
              <w:rPr>
                <w:rFonts w:ascii="Arial" w:cs="Arial" w:eastAsia="Arial" w:hAnsi="Arial"/>
                <w:sz w:val="14"/>
                <w:szCs w:val="14"/>
                <w:color w:val="auto"/>
              </w:rPr>
              <w:t>In February 2022, Computrabajo named Kelly as</w:t>
            </w:r>
          </w:p>
        </w:tc>
      </w:tr>
      <w:tr>
        <w:trPr>
          <w:trHeight w:val="162"/>
        </w:trPr>
        <w:tc>
          <w:tcPr>
            <w:tcW w:w="3620" w:type="dxa"/>
            <w:vAlign w:val="bottom"/>
            <w:tcBorders>
              <w:left w:val="single" w:sz="8" w:color="00AF41"/>
              <w:right w:val="single" w:sz="8" w:color="00AF41"/>
            </w:tcBorders>
          </w:tcPr>
          <w:p>
            <w:pPr>
              <w:jc w:val="center"/>
              <w:spacing w:after="0"/>
              <w:rPr>
                <w:sz w:val="20"/>
                <w:szCs w:val="20"/>
                <w:color w:val="auto"/>
              </w:rPr>
            </w:pPr>
            <w:r>
              <w:rPr>
                <w:rFonts w:ascii="Arial" w:cs="Arial" w:eastAsia="Arial" w:hAnsi="Arial"/>
                <w:sz w:val="14"/>
                <w:szCs w:val="14"/>
                <w:color w:val="auto"/>
              </w:rPr>
              <w:t>on the International Association of Outsourcing</w:t>
            </w:r>
          </w:p>
        </w:tc>
        <w:tc>
          <w:tcPr>
            <w:tcW w:w="3700" w:type="dxa"/>
            <w:vAlign w:val="bottom"/>
            <w:tcBorders>
              <w:right w:val="single" w:sz="8" w:color="00AF41"/>
            </w:tcBorders>
            <w:gridSpan w:val="3"/>
          </w:tcPr>
          <w:p>
            <w:pPr>
              <w:jc w:val="center"/>
              <w:spacing w:after="0"/>
              <w:rPr>
                <w:sz w:val="20"/>
                <w:szCs w:val="20"/>
                <w:color w:val="auto"/>
              </w:rPr>
            </w:pPr>
            <w:r>
              <w:rPr>
                <w:rFonts w:ascii="Arial" w:cs="Arial" w:eastAsia="Arial" w:hAnsi="Arial"/>
                <w:sz w:val="14"/>
                <w:szCs w:val="14"/>
                <w:color w:val="auto"/>
              </w:rPr>
              <w:t>Supplier Diversity by the Great Lake Women’s</w:t>
            </w:r>
          </w:p>
        </w:tc>
        <w:tc>
          <w:tcPr>
            <w:tcW w:w="3600" w:type="dxa"/>
            <w:vAlign w:val="bottom"/>
            <w:tcBorders>
              <w:right w:val="single" w:sz="8" w:color="00AF41"/>
            </w:tcBorders>
          </w:tcPr>
          <w:p>
            <w:pPr>
              <w:jc w:val="center"/>
              <w:ind w:right="8"/>
              <w:spacing w:after="0"/>
              <w:rPr>
                <w:sz w:val="20"/>
                <w:szCs w:val="20"/>
                <w:color w:val="auto"/>
              </w:rPr>
            </w:pPr>
            <w:r>
              <w:rPr>
                <w:rFonts w:ascii="Arial" w:cs="Arial" w:eastAsia="Arial" w:hAnsi="Arial"/>
                <w:sz w:val="14"/>
                <w:szCs w:val="14"/>
                <w:color w:val="auto"/>
              </w:rPr>
              <w:t>the Best HR Company to Work for in Mexico in their</w:t>
            </w:r>
          </w:p>
        </w:tc>
      </w:tr>
      <w:tr>
        <w:trPr>
          <w:trHeight w:val="162"/>
        </w:trPr>
        <w:tc>
          <w:tcPr>
            <w:tcW w:w="3620" w:type="dxa"/>
            <w:vAlign w:val="bottom"/>
            <w:tcBorders>
              <w:left w:val="single" w:sz="8" w:color="00AF41"/>
              <w:right w:val="single" w:sz="8" w:color="00AF41"/>
            </w:tcBorders>
          </w:tcPr>
          <w:p>
            <w:pPr>
              <w:jc w:val="center"/>
              <w:spacing w:after="0"/>
              <w:rPr>
                <w:sz w:val="20"/>
                <w:szCs w:val="20"/>
                <w:color w:val="auto"/>
              </w:rPr>
            </w:pPr>
            <w:r>
              <w:rPr>
                <w:rFonts w:ascii="Arial" w:cs="Arial" w:eastAsia="Arial" w:hAnsi="Arial"/>
                <w:sz w:val="14"/>
                <w:szCs w:val="14"/>
                <w:color w:val="auto"/>
              </w:rPr>
              <w:t>Professionals (IAOP) 2022 Global Outsourcing 100</w:t>
            </w:r>
          </w:p>
        </w:tc>
        <w:tc>
          <w:tcPr>
            <w:tcW w:w="3700" w:type="dxa"/>
            <w:vAlign w:val="bottom"/>
            <w:tcBorders>
              <w:right w:val="single" w:sz="8" w:color="00AF41"/>
            </w:tcBorders>
            <w:gridSpan w:val="3"/>
          </w:tcPr>
          <w:p>
            <w:pPr>
              <w:jc w:val="center"/>
              <w:spacing w:after="0"/>
              <w:rPr>
                <w:sz w:val="20"/>
                <w:szCs w:val="20"/>
                <w:color w:val="auto"/>
              </w:rPr>
            </w:pPr>
            <w:r>
              <w:rPr>
                <w:rFonts w:ascii="Arial" w:cs="Arial" w:eastAsia="Arial" w:hAnsi="Arial"/>
                <w:sz w:val="14"/>
                <w:szCs w:val="14"/>
                <w:color w:val="auto"/>
              </w:rPr>
              <w:t>Business Council</w:t>
            </w:r>
          </w:p>
        </w:tc>
        <w:tc>
          <w:tcPr>
            <w:tcW w:w="3600" w:type="dxa"/>
            <w:vAlign w:val="bottom"/>
            <w:tcBorders>
              <w:right w:val="single" w:sz="8" w:color="00AF41"/>
            </w:tcBorders>
          </w:tcPr>
          <w:p>
            <w:pPr>
              <w:jc w:val="center"/>
              <w:ind w:right="8"/>
              <w:spacing w:after="0"/>
              <w:rPr>
                <w:sz w:val="20"/>
                <w:szCs w:val="20"/>
                <w:color w:val="auto"/>
              </w:rPr>
            </w:pPr>
            <w:r>
              <w:rPr>
                <w:rFonts w:ascii="Arial" w:cs="Arial" w:eastAsia="Arial" w:hAnsi="Arial"/>
                <w:sz w:val="14"/>
                <w:szCs w:val="14"/>
                <w:color w:val="auto"/>
              </w:rPr>
              <w:t>Best WorkPlaces 2022 ranking</w:t>
            </w:r>
          </w:p>
        </w:tc>
      </w:tr>
      <w:tr>
        <w:trPr>
          <w:trHeight w:val="190"/>
        </w:trPr>
        <w:tc>
          <w:tcPr>
            <w:tcW w:w="3620" w:type="dxa"/>
            <w:vAlign w:val="bottom"/>
            <w:tcBorders>
              <w:left w:val="single" w:sz="8" w:color="00AF41"/>
              <w:right w:val="single" w:sz="8" w:color="00AF41"/>
            </w:tcBorders>
          </w:tcPr>
          <w:p>
            <w:pPr>
              <w:jc w:val="center"/>
              <w:spacing w:after="0"/>
              <w:rPr>
                <w:sz w:val="20"/>
                <w:szCs w:val="20"/>
                <w:color w:val="auto"/>
              </w:rPr>
            </w:pPr>
            <w:r>
              <w:rPr>
                <w:rFonts w:ascii="Arial" w:cs="Arial" w:eastAsia="Arial" w:hAnsi="Arial"/>
                <w:sz w:val="14"/>
                <w:szCs w:val="14"/>
                <w:color w:val="auto"/>
              </w:rPr>
              <w:t>List</w:t>
            </w: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tcBorders>
              <w:right w:val="single" w:sz="8" w:color="00AF41"/>
            </w:tcBorders>
          </w:tcPr>
          <w:p>
            <w:pPr>
              <w:spacing w:after="0"/>
              <w:rPr>
                <w:sz w:val="16"/>
                <w:szCs w:val="16"/>
                <w:color w:val="auto"/>
              </w:rPr>
            </w:pPr>
          </w:p>
        </w:tc>
        <w:tc>
          <w:tcPr>
            <w:tcW w:w="3600" w:type="dxa"/>
            <w:vAlign w:val="bottom"/>
            <w:tcBorders>
              <w:right w:val="single" w:sz="8" w:color="00AF41"/>
            </w:tcBorders>
          </w:tcPr>
          <w:p>
            <w:pPr>
              <w:spacing w:after="0"/>
              <w:rPr>
                <w:sz w:val="16"/>
                <w:szCs w:val="16"/>
                <w:color w:val="auto"/>
              </w:rPr>
            </w:pPr>
          </w:p>
        </w:tc>
      </w:tr>
      <w:tr>
        <w:trPr>
          <w:trHeight w:val="116"/>
        </w:trPr>
        <w:tc>
          <w:tcPr>
            <w:tcW w:w="3620" w:type="dxa"/>
            <w:vAlign w:val="bottom"/>
            <w:tcBorders>
              <w:left w:val="single" w:sz="8" w:color="00AF41"/>
              <w:bottom w:val="single" w:sz="8" w:color="00AF41"/>
              <w:right w:val="single" w:sz="8" w:color="00AF41"/>
            </w:tcBorders>
          </w:tcPr>
          <w:p>
            <w:pPr>
              <w:spacing w:after="0"/>
              <w:rPr>
                <w:sz w:val="10"/>
                <w:szCs w:val="10"/>
                <w:color w:val="auto"/>
              </w:rPr>
            </w:pPr>
          </w:p>
        </w:tc>
        <w:tc>
          <w:tcPr>
            <w:tcW w:w="1520" w:type="dxa"/>
            <w:vAlign w:val="bottom"/>
            <w:tcBorders>
              <w:bottom w:val="single" w:sz="8" w:color="00AF41"/>
            </w:tcBorders>
          </w:tcPr>
          <w:p>
            <w:pPr>
              <w:spacing w:after="0"/>
              <w:rPr>
                <w:sz w:val="10"/>
                <w:szCs w:val="10"/>
                <w:color w:val="auto"/>
              </w:rPr>
            </w:pPr>
          </w:p>
        </w:tc>
        <w:tc>
          <w:tcPr>
            <w:tcW w:w="340" w:type="dxa"/>
            <w:vAlign w:val="bottom"/>
            <w:tcBorders>
              <w:bottom w:val="single" w:sz="8" w:color="00AF41"/>
            </w:tcBorders>
          </w:tcPr>
          <w:p>
            <w:pPr>
              <w:spacing w:after="0"/>
              <w:rPr>
                <w:sz w:val="10"/>
                <w:szCs w:val="10"/>
                <w:color w:val="auto"/>
              </w:rPr>
            </w:pPr>
          </w:p>
        </w:tc>
        <w:tc>
          <w:tcPr>
            <w:tcW w:w="1840" w:type="dxa"/>
            <w:vAlign w:val="bottom"/>
            <w:tcBorders>
              <w:bottom w:val="single" w:sz="8" w:color="00AF41"/>
              <w:right w:val="single" w:sz="8" w:color="00AF41"/>
            </w:tcBorders>
          </w:tcPr>
          <w:p>
            <w:pPr>
              <w:spacing w:after="0"/>
              <w:rPr>
                <w:sz w:val="10"/>
                <w:szCs w:val="10"/>
                <w:color w:val="auto"/>
              </w:rPr>
            </w:pPr>
          </w:p>
        </w:tc>
        <w:tc>
          <w:tcPr>
            <w:tcW w:w="3600" w:type="dxa"/>
            <w:vAlign w:val="bottom"/>
            <w:tcBorders>
              <w:bottom w:val="single" w:sz="8" w:color="00AF41"/>
              <w:right w:val="single" w:sz="8" w:color="00AF41"/>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-4371340</wp:posOffset>
            </wp:positionV>
            <wp:extent cx="1191260" cy="3429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91260" cy="34290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-4371340</wp:posOffset>
            </wp:positionV>
            <wp:extent cx="917575" cy="2400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17575" cy="240030"/>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-3394075</wp:posOffset>
            </wp:positionV>
            <wp:extent cx="960120" cy="3003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60120" cy="3003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-3394075</wp:posOffset>
            </wp:positionV>
            <wp:extent cx="951230" cy="5918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51230" cy="59182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-3394075</wp:posOffset>
            </wp:positionV>
            <wp:extent cx="642620" cy="6261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2620" cy="62611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-2228215</wp:posOffset>
            </wp:positionV>
            <wp:extent cx="591185" cy="5918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1185" cy="59182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-2151380</wp:posOffset>
            </wp:positionV>
            <wp:extent cx="1131570" cy="514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31570" cy="51435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-2228215</wp:posOffset>
            </wp:positionV>
            <wp:extent cx="617220" cy="6172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7220" cy="61722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-1088390</wp:posOffset>
            </wp:positionV>
            <wp:extent cx="985520" cy="3086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85520" cy="30861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-925195</wp:posOffset>
            </wp:positionV>
            <wp:extent cx="762635" cy="3771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2635" cy="3771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-1088390</wp:posOffset>
            </wp:positionV>
            <wp:extent cx="1337310" cy="5397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37310" cy="539750"/>
                    </a:xfrm>
                    <a:prstGeom prst="rect">
                      <a:avLst/>
                    </a:prstGeom>
                    <a:noFill/>
                  </pic:spPr>
                </pic:pic>
              </a:graphicData>
            </a:graphic>
          </wp:anchor>
        </w:drawing>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A complete list of the Company’s awards and recognitions is available on </w:t>
      </w:r>
      <w:r>
        <w:rPr>
          <w:rFonts w:ascii="Arial" w:cs="Arial" w:eastAsia="Arial" w:hAnsi="Arial"/>
          <w:sz w:val="16"/>
          <w:szCs w:val="16"/>
          <w:i w:val="1"/>
          <w:iCs w:val="1"/>
          <w:color w:val="auto"/>
        </w:rPr>
        <w:t>kellyservices.com</w:t>
      </w:r>
      <w:r>
        <w:rPr>
          <w:rFonts w:ascii="Arial" w:cs="Arial" w:eastAsia="Arial" w:hAnsi="Arial"/>
          <w:sz w:val="16"/>
          <w:szCs w:val="16"/>
          <w:color w:val="auto"/>
        </w:rPr>
        <w:t>.</w:t>
      </w:r>
    </w:p>
    <w:p>
      <w:pPr>
        <w:spacing w:after="0" w:line="141" w:lineRule="exact"/>
        <w:rPr>
          <w:sz w:val="20"/>
          <w:szCs w:val="20"/>
          <w:color w:val="auto"/>
        </w:rPr>
      </w:pPr>
    </w:p>
    <w:p>
      <w:pPr>
        <w:ind w:left="1082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7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-142875</wp:posOffset>
            </wp:positionV>
            <wp:extent cx="411480" cy="1968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Proxy Summary</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auto"/>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387350</wp:posOffset>
            </wp:positionV>
            <wp:extent cx="6995160" cy="2489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248920"/>
                    </a:xfrm>
                    <a:prstGeom prst="rect">
                      <a:avLst/>
                    </a:prstGeom>
                    <a:noFill/>
                  </pic:spPr>
                </pic:pic>
              </a:graphicData>
            </a:graphic>
          </wp:anchor>
        </w:drawing>
      </w:r>
    </w:p>
    <w:p>
      <w:pPr>
        <w:sectPr>
          <w:pgSz w:w="11900" w:h="16838" w:orient="portrait"/>
          <w:cols w:equalWidth="0" w:num="1">
            <w:col w:w="11100"/>
          </w:cols>
          <w:pgMar w:left="320" w:top="482"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20" w:right="40" w:hanging="204"/>
        <w:spacing w:after="0" w:line="216" w:lineRule="auto"/>
        <w:tabs>
          <w:tab w:leader="none" w:pos="320" w:val="left"/>
        </w:tabs>
        <w:numPr>
          <w:ilvl w:val="0"/>
          <w:numId w:val="10"/>
        </w:numPr>
        <w:rPr>
          <w:rFonts w:ascii="Times New Roman" w:cs="Times New Roman" w:eastAsia="Times New Roman" w:hAnsi="Times New Roman"/>
          <w:sz w:val="25"/>
          <w:szCs w:val="25"/>
          <w:color w:val="00AF41"/>
          <w:vertAlign w:val="superscript"/>
        </w:rPr>
      </w:pPr>
      <w:r>
        <w:rPr>
          <w:rFonts w:ascii="Arial" w:cs="Arial" w:eastAsia="Arial" w:hAnsi="Arial"/>
          <w:sz w:val="16"/>
          <w:szCs w:val="16"/>
          <w:color w:val="auto"/>
        </w:rPr>
        <w:t>Align pay with performance using balanced performance measures that are linked to strategic business objectives in both short- and long-term incentives</w:t>
      </w:r>
    </w:p>
    <w:p>
      <w:pPr>
        <w:spacing w:after="0" w:line="58" w:lineRule="exact"/>
        <w:rPr>
          <w:rFonts w:ascii="Times New Roman" w:cs="Times New Roman" w:eastAsia="Times New Roman" w:hAnsi="Times New Roman"/>
          <w:sz w:val="25"/>
          <w:szCs w:val="25"/>
          <w:color w:val="00AF41"/>
          <w:vertAlign w:val="superscript"/>
        </w:rPr>
      </w:pPr>
    </w:p>
    <w:p>
      <w:pPr>
        <w:ind w:left="320" w:right="540" w:hanging="204"/>
        <w:spacing w:after="0" w:line="205" w:lineRule="auto"/>
        <w:tabs>
          <w:tab w:leader="none" w:pos="320" w:val="left"/>
        </w:tabs>
        <w:numPr>
          <w:ilvl w:val="0"/>
          <w:numId w:val="10"/>
        </w:numPr>
        <w:rPr>
          <w:rFonts w:ascii="Times New Roman" w:cs="Times New Roman" w:eastAsia="Times New Roman" w:hAnsi="Times New Roman"/>
          <w:sz w:val="25"/>
          <w:szCs w:val="25"/>
          <w:color w:val="00AF41"/>
          <w:vertAlign w:val="superscript"/>
        </w:rPr>
      </w:pPr>
      <w:r>
        <w:rPr>
          <w:rFonts w:ascii="Arial" w:cs="Arial" w:eastAsia="Arial" w:hAnsi="Arial"/>
          <w:sz w:val="16"/>
          <w:szCs w:val="16"/>
          <w:color w:val="auto"/>
        </w:rPr>
        <w:t>Align executive compensation with shareholder returns through performance-based equity incentive awards</w:t>
      </w:r>
    </w:p>
    <w:p>
      <w:pPr>
        <w:spacing w:after="0" w:line="56" w:lineRule="exact"/>
        <w:rPr>
          <w:rFonts w:ascii="Times New Roman" w:cs="Times New Roman" w:eastAsia="Times New Roman" w:hAnsi="Times New Roman"/>
          <w:sz w:val="25"/>
          <w:szCs w:val="25"/>
          <w:color w:val="00AF41"/>
          <w:vertAlign w:val="superscript"/>
        </w:rPr>
      </w:pPr>
    </w:p>
    <w:p>
      <w:pPr>
        <w:ind w:left="320" w:hanging="204"/>
        <w:spacing w:after="0" w:line="223" w:lineRule="auto"/>
        <w:tabs>
          <w:tab w:leader="none" w:pos="320" w:val="left"/>
        </w:tabs>
        <w:numPr>
          <w:ilvl w:val="0"/>
          <w:numId w:val="10"/>
        </w:numPr>
        <w:rPr>
          <w:rFonts w:ascii="Times New Roman" w:cs="Times New Roman" w:eastAsia="Times New Roman" w:hAnsi="Times New Roman"/>
          <w:sz w:val="25"/>
          <w:szCs w:val="25"/>
          <w:color w:val="00AF41"/>
          <w:vertAlign w:val="superscript"/>
        </w:rPr>
      </w:pPr>
      <w:r>
        <w:rPr>
          <w:rFonts w:ascii="Arial" w:cs="Arial" w:eastAsia="Arial" w:hAnsi="Arial"/>
          <w:sz w:val="16"/>
          <w:szCs w:val="16"/>
          <w:color w:val="auto"/>
        </w:rPr>
        <w:t>Annual review of performance measures and goals for our short- and long-term incentive plans by the independent Compensation and Talent Management Committee to ensure we use diversified measures with challenging, but attainable targets</w:t>
      </w:r>
    </w:p>
    <w:p>
      <w:pPr>
        <w:spacing w:after="0" w:line="57" w:lineRule="exact"/>
        <w:rPr>
          <w:rFonts w:ascii="Times New Roman" w:cs="Times New Roman" w:eastAsia="Times New Roman" w:hAnsi="Times New Roman"/>
          <w:sz w:val="25"/>
          <w:szCs w:val="25"/>
          <w:color w:val="00AF41"/>
          <w:vertAlign w:val="superscript"/>
        </w:rPr>
      </w:pPr>
    </w:p>
    <w:p>
      <w:pPr>
        <w:ind w:left="320" w:right="120" w:hanging="204"/>
        <w:spacing w:after="0" w:line="216" w:lineRule="auto"/>
        <w:tabs>
          <w:tab w:leader="none" w:pos="320" w:val="left"/>
        </w:tabs>
        <w:numPr>
          <w:ilvl w:val="0"/>
          <w:numId w:val="10"/>
        </w:numPr>
        <w:rPr>
          <w:rFonts w:ascii="Times New Roman" w:cs="Times New Roman" w:eastAsia="Times New Roman" w:hAnsi="Times New Roman"/>
          <w:sz w:val="25"/>
          <w:szCs w:val="25"/>
          <w:color w:val="00AF41"/>
          <w:vertAlign w:val="superscript"/>
        </w:rPr>
      </w:pPr>
      <w:r>
        <w:rPr>
          <w:rFonts w:ascii="Arial" w:cs="Arial" w:eastAsia="Arial" w:hAnsi="Arial"/>
          <w:sz w:val="16"/>
          <w:szCs w:val="16"/>
          <w:color w:val="auto"/>
        </w:rPr>
        <w:t>Require the achievement of a minimum acceptable level of financial performance for any payment to be made pursuant to the Short-Term Incentive Plan (“STIP”)</w:t>
      </w:r>
    </w:p>
    <w:p>
      <w:pPr>
        <w:spacing w:after="0" w:line="2" w:lineRule="exact"/>
        <w:rPr>
          <w:rFonts w:ascii="Times New Roman" w:cs="Times New Roman" w:eastAsia="Times New Roman" w:hAnsi="Times New Roman"/>
          <w:sz w:val="25"/>
          <w:szCs w:val="25"/>
          <w:color w:val="00AF41"/>
          <w:vertAlign w:val="superscript"/>
        </w:rPr>
      </w:pPr>
    </w:p>
    <w:p>
      <w:pPr>
        <w:ind w:left="320" w:hanging="204"/>
        <w:spacing w:after="0" w:line="225" w:lineRule="auto"/>
        <w:tabs>
          <w:tab w:leader="none" w:pos="320" w:val="left"/>
        </w:tabs>
        <w:numPr>
          <w:ilvl w:val="0"/>
          <w:numId w:val="10"/>
        </w:numPr>
        <w:rPr>
          <w:rFonts w:ascii="Times New Roman" w:cs="Times New Roman" w:eastAsia="Times New Roman" w:hAnsi="Times New Roman"/>
          <w:sz w:val="25"/>
          <w:szCs w:val="25"/>
          <w:color w:val="00AF41"/>
          <w:vertAlign w:val="superscript"/>
        </w:rPr>
      </w:pPr>
      <w:r>
        <w:rPr>
          <w:rFonts w:ascii="Arial" w:cs="Arial" w:eastAsia="Arial" w:hAnsi="Arial"/>
          <w:sz w:val="16"/>
          <w:szCs w:val="16"/>
          <w:color w:val="auto"/>
        </w:rPr>
        <w:t>Include caps on individual payouts in incentive plans</w:t>
      </w:r>
    </w:p>
    <w:p>
      <w:pPr>
        <w:spacing w:after="0" w:line="71" w:lineRule="exact"/>
        <w:rPr>
          <w:rFonts w:ascii="Times New Roman" w:cs="Times New Roman" w:eastAsia="Times New Roman" w:hAnsi="Times New Roman"/>
          <w:sz w:val="25"/>
          <w:szCs w:val="25"/>
          <w:color w:val="00AF41"/>
          <w:vertAlign w:val="superscript"/>
        </w:rPr>
      </w:pPr>
    </w:p>
    <w:p>
      <w:pPr>
        <w:ind w:left="320" w:right="280" w:hanging="204"/>
        <w:spacing w:after="0" w:line="197" w:lineRule="auto"/>
        <w:tabs>
          <w:tab w:leader="none" w:pos="320" w:val="left"/>
        </w:tabs>
        <w:numPr>
          <w:ilvl w:val="0"/>
          <w:numId w:val="10"/>
        </w:numPr>
        <w:rPr>
          <w:rFonts w:ascii="Times New Roman" w:cs="Times New Roman" w:eastAsia="Times New Roman" w:hAnsi="Times New Roman"/>
          <w:sz w:val="25"/>
          <w:szCs w:val="25"/>
          <w:color w:val="00AF41"/>
          <w:vertAlign w:val="superscript"/>
        </w:rPr>
      </w:pPr>
      <w:r>
        <w:rPr>
          <w:rFonts w:ascii="Arial" w:cs="Arial" w:eastAsia="Arial" w:hAnsi="Arial"/>
          <w:sz w:val="16"/>
          <w:szCs w:val="16"/>
          <w:color w:val="auto"/>
        </w:rPr>
        <w:t>Require stock ownership and retention of a portion of equity-based awards by senior officers</w:t>
      </w:r>
    </w:p>
    <w:p>
      <w:pPr>
        <w:spacing w:after="0" w:line="56" w:lineRule="exact"/>
        <w:rPr>
          <w:rFonts w:ascii="Times New Roman" w:cs="Times New Roman" w:eastAsia="Times New Roman" w:hAnsi="Times New Roman"/>
          <w:sz w:val="25"/>
          <w:szCs w:val="25"/>
          <w:color w:val="00AF41"/>
          <w:vertAlign w:val="superscript"/>
        </w:rPr>
      </w:pPr>
    </w:p>
    <w:p>
      <w:pPr>
        <w:ind w:left="320" w:right="160" w:hanging="204"/>
        <w:spacing w:after="0" w:line="205" w:lineRule="auto"/>
        <w:tabs>
          <w:tab w:leader="none" w:pos="320" w:val="left"/>
        </w:tabs>
        <w:numPr>
          <w:ilvl w:val="0"/>
          <w:numId w:val="10"/>
        </w:numPr>
        <w:rPr>
          <w:rFonts w:ascii="Times New Roman" w:cs="Times New Roman" w:eastAsia="Times New Roman" w:hAnsi="Times New Roman"/>
          <w:sz w:val="25"/>
          <w:szCs w:val="25"/>
          <w:color w:val="00AF41"/>
          <w:vertAlign w:val="superscript"/>
        </w:rPr>
      </w:pPr>
      <w:r>
        <w:rPr>
          <w:rFonts w:ascii="Arial" w:cs="Arial" w:eastAsia="Arial" w:hAnsi="Arial"/>
          <w:sz w:val="16"/>
          <w:szCs w:val="16"/>
          <w:color w:val="auto"/>
        </w:rPr>
        <w:t>Hold an annual “say-on-pay” shareholder advisory vote on executive compensation</w:t>
      </w:r>
    </w:p>
    <w:p>
      <w:pPr>
        <w:spacing w:after="0" w:line="56" w:lineRule="exact"/>
        <w:rPr>
          <w:rFonts w:ascii="Times New Roman" w:cs="Times New Roman" w:eastAsia="Times New Roman" w:hAnsi="Times New Roman"/>
          <w:sz w:val="25"/>
          <w:szCs w:val="25"/>
          <w:color w:val="00AF41"/>
          <w:vertAlign w:val="superscript"/>
        </w:rPr>
      </w:pPr>
    </w:p>
    <w:p>
      <w:pPr>
        <w:ind w:left="320" w:right="420" w:hanging="204"/>
        <w:spacing w:after="0" w:line="205" w:lineRule="auto"/>
        <w:tabs>
          <w:tab w:leader="none" w:pos="320" w:val="left"/>
        </w:tabs>
        <w:numPr>
          <w:ilvl w:val="0"/>
          <w:numId w:val="10"/>
        </w:numPr>
        <w:rPr>
          <w:rFonts w:ascii="Times New Roman" w:cs="Times New Roman" w:eastAsia="Times New Roman" w:hAnsi="Times New Roman"/>
          <w:sz w:val="25"/>
          <w:szCs w:val="25"/>
          <w:color w:val="00AF41"/>
          <w:vertAlign w:val="superscript"/>
        </w:rPr>
      </w:pPr>
      <w:r>
        <w:rPr>
          <w:rFonts w:ascii="Arial" w:cs="Arial" w:eastAsia="Arial" w:hAnsi="Arial"/>
          <w:sz w:val="16"/>
          <w:szCs w:val="16"/>
          <w:color w:val="auto"/>
        </w:rPr>
        <w:t>Retain an independent executive compensation consultant to the Compensation and Talent Management Committee</w:t>
      </w:r>
    </w:p>
    <w:p>
      <w:pPr>
        <w:spacing w:after="0" w:line="200" w:lineRule="exact"/>
        <w:rPr>
          <w:rFonts w:ascii="Times New Roman" w:cs="Times New Roman" w:eastAsia="Times New Roman" w:hAnsi="Times New Roman"/>
          <w:sz w:val="25"/>
          <w:szCs w:val="25"/>
          <w:color w:val="00AF41"/>
          <w:vertAlign w:val="superscript"/>
        </w:rPr>
      </w:pPr>
    </w:p>
    <w:p>
      <w:pPr>
        <w:spacing w:after="0" w:line="200" w:lineRule="exact"/>
        <w:rPr>
          <w:rFonts w:ascii="Times New Roman" w:cs="Times New Roman" w:eastAsia="Times New Roman" w:hAnsi="Times New Roman"/>
          <w:sz w:val="25"/>
          <w:szCs w:val="25"/>
          <w:color w:val="00AF41"/>
          <w:vertAlign w:val="superscript"/>
        </w:rPr>
      </w:pPr>
    </w:p>
    <w:p>
      <w:pPr>
        <w:spacing w:after="0" w:line="200" w:lineRule="exact"/>
        <w:rPr>
          <w:rFonts w:ascii="Times New Roman" w:cs="Times New Roman" w:eastAsia="Times New Roman" w:hAnsi="Times New Roman"/>
          <w:sz w:val="25"/>
          <w:szCs w:val="25"/>
          <w:color w:val="00AF41"/>
          <w:vertAlign w:val="superscript"/>
        </w:rPr>
      </w:pPr>
    </w:p>
    <w:p>
      <w:pPr>
        <w:spacing w:after="0" w:line="200" w:lineRule="exact"/>
        <w:rPr>
          <w:rFonts w:ascii="Times New Roman" w:cs="Times New Roman" w:eastAsia="Times New Roman" w:hAnsi="Times New Roman"/>
          <w:sz w:val="25"/>
          <w:szCs w:val="25"/>
          <w:color w:val="00AF41"/>
          <w:vertAlign w:val="superscript"/>
        </w:rPr>
      </w:pPr>
    </w:p>
    <w:p>
      <w:pPr>
        <w:spacing w:after="0" w:line="295" w:lineRule="exact"/>
        <w:rPr>
          <w:rFonts w:ascii="Times New Roman" w:cs="Times New Roman" w:eastAsia="Times New Roman" w:hAnsi="Times New Roman"/>
          <w:sz w:val="25"/>
          <w:szCs w:val="25"/>
          <w:color w:val="00AF41"/>
          <w:vertAlign w:val="superscript"/>
        </w:rPr>
      </w:pPr>
    </w:p>
    <w:p>
      <w:pPr>
        <w:ind w:left="320" w:right="340" w:hanging="204"/>
        <w:spacing w:after="0" w:line="205" w:lineRule="auto"/>
        <w:tabs>
          <w:tab w:leader="none" w:pos="320" w:val="left"/>
        </w:tabs>
        <w:numPr>
          <w:ilvl w:val="0"/>
          <w:numId w:val="10"/>
        </w:numPr>
        <w:rPr>
          <w:rFonts w:ascii="Times New Roman" w:cs="Times New Roman" w:eastAsia="Times New Roman" w:hAnsi="Times New Roman"/>
          <w:sz w:val="25"/>
          <w:szCs w:val="25"/>
          <w:color w:val="00AF41"/>
          <w:vertAlign w:val="superscript"/>
        </w:rPr>
      </w:pPr>
      <w:r>
        <w:rPr>
          <w:rFonts w:ascii="Arial" w:cs="Arial" w:eastAsia="Arial" w:hAnsi="Arial"/>
          <w:sz w:val="16"/>
          <w:szCs w:val="16"/>
          <w:color w:val="auto"/>
        </w:rPr>
        <w:t>Provide employment agreements for senior officers (except where standard local practice)</w:t>
      </w:r>
    </w:p>
    <w:p>
      <w:pPr>
        <w:ind w:left="320" w:hanging="204"/>
        <w:spacing w:after="0" w:line="225" w:lineRule="auto"/>
        <w:tabs>
          <w:tab w:leader="none" w:pos="320" w:val="left"/>
        </w:tabs>
        <w:numPr>
          <w:ilvl w:val="0"/>
          <w:numId w:val="10"/>
        </w:numPr>
        <w:rPr>
          <w:rFonts w:ascii="Times New Roman" w:cs="Times New Roman" w:eastAsia="Times New Roman" w:hAnsi="Times New Roman"/>
          <w:sz w:val="25"/>
          <w:szCs w:val="25"/>
          <w:color w:val="00AF41"/>
          <w:vertAlign w:val="superscript"/>
        </w:rPr>
      </w:pPr>
      <w:r>
        <w:rPr>
          <w:rFonts w:ascii="Arial" w:cs="Arial" w:eastAsia="Arial" w:hAnsi="Arial"/>
          <w:sz w:val="16"/>
          <w:szCs w:val="16"/>
          <w:color w:val="auto"/>
        </w:rPr>
        <w:t>Guarantee bonus arrangements with our senior officers</w:t>
      </w:r>
    </w:p>
    <w:p>
      <w:pPr>
        <w:spacing w:after="0" w:line="71" w:lineRule="exact"/>
        <w:rPr>
          <w:rFonts w:ascii="Times New Roman" w:cs="Times New Roman" w:eastAsia="Times New Roman" w:hAnsi="Times New Roman"/>
          <w:sz w:val="25"/>
          <w:szCs w:val="25"/>
          <w:color w:val="00AF41"/>
          <w:vertAlign w:val="superscript"/>
        </w:rPr>
      </w:pPr>
    </w:p>
    <w:p>
      <w:pPr>
        <w:ind w:left="320" w:right="180" w:hanging="204"/>
        <w:spacing w:after="0" w:line="197" w:lineRule="auto"/>
        <w:tabs>
          <w:tab w:leader="none" w:pos="320" w:val="left"/>
        </w:tabs>
        <w:numPr>
          <w:ilvl w:val="0"/>
          <w:numId w:val="10"/>
        </w:numPr>
        <w:rPr>
          <w:rFonts w:ascii="Times New Roman" w:cs="Times New Roman" w:eastAsia="Times New Roman" w:hAnsi="Times New Roman"/>
          <w:sz w:val="25"/>
          <w:szCs w:val="25"/>
          <w:color w:val="00AF41"/>
          <w:vertAlign w:val="superscript"/>
        </w:rPr>
      </w:pPr>
      <w:r>
        <w:rPr>
          <w:rFonts w:ascii="Arial" w:cs="Arial" w:eastAsia="Arial" w:hAnsi="Arial"/>
          <w:sz w:val="16"/>
          <w:szCs w:val="16"/>
          <w:color w:val="auto"/>
        </w:rPr>
        <w:t>Allow directors or senior officers to engage in hedging or pledging of Company securities</w:t>
      </w:r>
    </w:p>
    <w:p>
      <w:pPr>
        <w:ind w:left="320" w:hanging="204"/>
        <w:spacing w:after="0" w:line="225" w:lineRule="auto"/>
        <w:tabs>
          <w:tab w:leader="none" w:pos="320" w:val="left"/>
        </w:tabs>
        <w:numPr>
          <w:ilvl w:val="0"/>
          <w:numId w:val="10"/>
        </w:numPr>
        <w:rPr>
          <w:rFonts w:ascii="Times New Roman" w:cs="Times New Roman" w:eastAsia="Times New Roman" w:hAnsi="Times New Roman"/>
          <w:sz w:val="25"/>
          <w:szCs w:val="25"/>
          <w:color w:val="00AF41"/>
          <w:vertAlign w:val="superscript"/>
        </w:rPr>
      </w:pPr>
      <w:r>
        <w:rPr>
          <w:rFonts w:ascii="Arial" w:cs="Arial" w:eastAsia="Arial" w:hAnsi="Arial"/>
          <w:sz w:val="16"/>
          <w:szCs w:val="16"/>
          <w:color w:val="auto"/>
        </w:rPr>
        <w:t>Allow the repricing or backdating of equity awards</w:t>
      </w:r>
    </w:p>
    <w:p>
      <w:pPr>
        <w:spacing w:after="0" w:line="71" w:lineRule="exact"/>
        <w:rPr>
          <w:rFonts w:ascii="Times New Roman" w:cs="Times New Roman" w:eastAsia="Times New Roman" w:hAnsi="Times New Roman"/>
          <w:sz w:val="25"/>
          <w:szCs w:val="25"/>
          <w:color w:val="00AF41"/>
          <w:vertAlign w:val="superscript"/>
        </w:rPr>
      </w:pPr>
    </w:p>
    <w:p>
      <w:pPr>
        <w:ind w:left="320" w:right="220" w:hanging="204"/>
        <w:spacing w:after="0" w:line="197" w:lineRule="auto"/>
        <w:tabs>
          <w:tab w:leader="none" w:pos="320" w:val="left"/>
        </w:tabs>
        <w:numPr>
          <w:ilvl w:val="0"/>
          <w:numId w:val="10"/>
        </w:numPr>
        <w:rPr>
          <w:rFonts w:ascii="Times New Roman" w:cs="Times New Roman" w:eastAsia="Times New Roman" w:hAnsi="Times New Roman"/>
          <w:sz w:val="25"/>
          <w:szCs w:val="25"/>
          <w:color w:val="00AF41"/>
          <w:vertAlign w:val="superscript"/>
        </w:rPr>
      </w:pPr>
      <w:r>
        <w:rPr>
          <w:rFonts w:ascii="Arial" w:cs="Arial" w:eastAsia="Arial" w:hAnsi="Arial"/>
          <w:sz w:val="16"/>
          <w:szCs w:val="16"/>
          <w:color w:val="auto"/>
        </w:rPr>
        <w:t>Pay dividend equivalents on restricted stock units until performance hurdle has been achieved and vesting period has been completed</w:t>
      </w:r>
    </w:p>
    <w:p>
      <w:pPr>
        <w:spacing w:after="0" w:line="26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7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-142875</wp:posOffset>
            </wp:positionV>
            <wp:extent cx="411480" cy="1968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6" w:hanging="206"/>
        <w:spacing w:after="0" w:line="216" w:lineRule="auto"/>
        <w:tabs>
          <w:tab w:leader="none" w:pos="206" w:val="left"/>
        </w:tabs>
        <w:numPr>
          <w:ilvl w:val="0"/>
          <w:numId w:val="11"/>
        </w:numPr>
        <w:rPr>
          <w:rFonts w:ascii="Times New Roman" w:cs="Times New Roman" w:eastAsia="Times New Roman" w:hAnsi="Times New Roman"/>
          <w:sz w:val="25"/>
          <w:szCs w:val="25"/>
          <w:color w:val="00AF41"/>
          <w:vertAlign w:val="superscript"/>
        </w:rPr>
      </w:pPr>
      <w:r>
        <w:rPr>
          <w:rFonts w:ascii="Arial" w:cs="Arial" w:eastAsia="Arial" w:hAnsi="Arial"/>
          <w:sz w:val="16"/>
          <w:szCs w:val="16"/>
          <w:color w:val="auto"/>
        </w:rPr>
        <w:t>Regular review of executive compensation governance market practices, particularly when considering the adoption of new practices or changes in existing programs or policies</w:t>
      </w:r>
    </w:p>
    <w:p>
      <w:pPr>
        <w:spacing w:after="0" w:line="58" w:lineRule="exact"/>
        <w:rPr>
          <w:rFonts w:ascii="Times New Roman" w:cs="Times New Roman" w:eastAsia="Times New Roman" w:hAnsi="Times New Roman"/>
          <w:sz w:val="25"/>
          <w:szCs w:val="25"/>
          <w:color w:val="00AF41"/>
          <w:vertAlign w:val="superscript"/>
        </w:rPr>
      </w:pPr>
    </w:p>
    <w:p>
      <w:pPr>
        <w:ind w:left="206" w:right="380" w:hanging="206"/>
        <w:spacing w:after="0" w:line="205" w:lineRule="auto"/>
        <w:tabs>
          <w:tab w:leader="none" w:pos="206" w:val="left"/>
        </w:tabs>
        <w:numPr>
          <w:ilvl w:val="0"/>
          <w:numId w:val="11"/>
        </w:numPr>
        <w:rPr>
          <w:rFonts w:ascii="Times New Roman" w:cs="Times New Roman" w:eastAsia="Times New Roman" w:hAnsi="Times New Roman"/>
          <w:sz w:val="25"/>
          <w:szCs w:val="25"/>
          <w:color w:val="00AF41"/>
          <w:vertAlign w:val="superscript"/>
        </w:rPr>
      </w:pPr>
      <w:r>
        <w:rPr>
          <w:rFonts w:ascii="Arial" w:cs="Arial" w:eastAsia="Arial" w:hAnsi="Arial"/>
          <w:sz w:val="16"/>
          <w:szCs w:val="16"/>
          <w:color w:val="auto"/>
        </w:rPr>
        <w:t>Conduct annual assessments of any potential risks in our incentive compensation programs and policies and related internal controls</w:t>
      </w:r>
    </w:p>
    <w:p>
      <w:pPr>
        <w:spacing w:after="0" w:line="56" w:lineRule="exact"/>
        <w:rPr>
          <w:rFonts w:ascii="Times New Roman" w:cs="Times New Roman" w:eastAsia="Times New Roman" w:hAnsi="Times New Roman"/>
          <w:sz w:val="25"/>
          <w:szCs w:val="25"/>
          <w:color w:val="00AF41"/>
          <w:vertAlign w:val="superscript"/>
        </w:rPr>
      </w:pPr>
    </w:p>
    <w:p>
      <w:pPr>
        <w:ind w:left="206" w:right="120" w:hanging="206"/>
        <w:spacing w:after="0" w:line="216" w:lineRule="auto"/>
        <w:tabs>
          <w:tab w:leader="none" w:pos="206" w:val="left"/>
        </w:tabs>
        <w:numPr>
          <w:ilvl w:val="0"/>
          <w:numId w:val="11"/>
        </w:numPr>
        <w:rPr>
          <w:rFonts w:ascii="Times New Roman" w:cs="Times New Roman" w:eastAsia="Times New Roman" w:hAnsi="Times New Roman"/>
          <w:sz w:val="25"/>
          <w:szCs w:val="25"/>
          <w:color w:val="00AF41"/>
          <w:vertAlign w:val="superscript"/>
        </w:rPr>
      </w:pPr>
      <w:r>
        <w:rPr>
          <w:rFonts w:ascii="Arial" w:cs="Arial" w:eastAsia="Arial" w:hAnsi="Arial"/>
          <w:sz w:val="16"/>
          <w:szCs w:val="16"/>
          <w:color w:val="auto"/>
        </w:rPr>
        <w:t>Annually review with the Compensation and Talent Management Committee share utilization, burn rate and dilution levels resulting from our compensation practices</w:t>
      </w:r>
    </w:p>
    <w:p>
      <w:pPr>
        <w:spacing w:after="0" w:line="58" w:lineRule="exact"/>
        <w:rPr>
          <w:rFonts w:ascii="Times New Roman" w:cs="Times New Roman" w:eastAsia="Times New Roman" w:hAnsi="Times New Roman"/>
          <w:sz w:val="25"/>
          <w:szCs w:val="25"/>
          <w:color w:val="00AF41"/>
          <w:vertAlign w:val="superscript"/>
        </w:rPr>
      </w:pPr>
    </w:p>
    <w:p>
      <w:pPr>
        <w:ind w:left="206" w:right="80" w:hanging="206"/>
        <w:spacing w:after="0" w:line="205" w:lineRule="auto"/>
        <w:tabs>
          <w:tab w:leader="none" w:pos="206" w:val="left"/>
        </w:tabs>
        <w:numPr>
          <w:ilvl w:val="0"/>
          <w:numId w:val="11"/>
        </w:numPr>
        <w:rPr>
          <w:rFonts w:ascii="Times New Roman" w:cs="Times New Roman" w:eastAsia="Times New Roman" w:hAnsi="Times New Roman"/>
          <w:sz w:val="25"/>
          <w:szCs w:val="25"/>
          <w:color w:val="00AF41"/>
          <w:vertAlign w:val="superscript"/>
        </w:rPr>
      </w:pPr>
      <w:r>
        <w:rPr>
          <w:rFonts w:ascii="Arial" w:cs="Arial" w:eastAsia="Arial" w:hAnsi="Arial"/>
          <w:sz w:val="16"/>
          <w:szCs w:val="16"/>
          <w:color w:val="auto"/>
        </w:rPr>
        <w:t>Provide for the forfeiture of equity awards upon certain restrictive covenant breaches and other actions constituting cause for termination</w:t>
      </w:r>
    </w:p>
    <w:p>
      <w:pPr>
        <w:spacing w:after="0" w:line="56" w:lineRule="exact"/>
        <w:rPr>
          <w:rFonts w:ascii="Times New Roman" w:cs="Times New Roman" w:eastAsia="Times New Roman" w:hAnsi="Times New Roman"/>
          <w:sz w:val="25"/>
          <w:szCs w:val="25"/>
          <w:color w:val="00AF41"/>
          <w:vertAlign w:val="superscript"/>
        </w:rPr>
      </w:pPr>
    </w:p>
    <w:p>
      <w:pPr>
        <w:jc w:val="both"/>
        <w:ind w:left="206" w:right="60" w:hanging="206"/>
        <w:spacing w:after="0" w:line="216" w:lineRule="auto"/>
        <w:tabs>
          <w:tab w:leader="none" w:pos="206" w:val="left"/>
        </w:tabs>
        <w:numPr>
          <w:ilvl w:val="0"/>
          <w:numId w:val="11"/>
        </w:numPr>
        <w:rPr>
          <w:rFonts w:ascii="Times New Roman" w:cs="Times New Roman" w:eastAsia="Times New Roman" w:hAnsi="Times New Roman"/>
          <w:sz w:val="25"/>
          <w:szCs w:val="25"/>
          <w:color w:val="00AF41"/>
          <w:vertAlign w:val="superscript"/>
        </w:rPr>
      </w:pPr>
      <w:r>
        <w:rPr>
          <w:rFonts w:ascii="Arial" w:cs="Arial" w:eastAsia="Arial" w:hAnsi="Arial"/>
          <w:sz w:val="16"/>
          <w:szCs w:val="16"/>
          <w:color w:val="auto"/>
        </w:rPr>
        <w:t>Maintain an insider trading policy that requires directors, senior officers, and other designated officers of the Company to contact our Corporate Secretary prior to sales or purchases of common stock</w:t>
      </w:r>
    </w:p>
    <w:p>
      <w:pPr>
        <w:spacing w:after="0" w:line="58" w:lineRule="exact"/>
        <w:rPr>
          <w:rFonts w:ascii="Times New Roman" w:cs="Times New Roman" w:eastAsia="Times New Roman" w:hAnsi="Times New Roman"/>
          <w:sz w:val="25"/>
          <w:szCs w:val="25"/>
          <w:color w:val="00AF41"/>
          <w:vertAlign w:val="superscript"/>
        </w:rPr>
      </w:pPr>
    </w:p>
    <w:p>
      <w:pPr>
        <w:jc w:val="both"/>
        <w:ind w:left="206" w:right="200" w:hanging="206"/>
        <w:spacing w:after="0" w:line="216" w:lineRule="auto"/>
        <w:tabs>
          <w:tab w:leader="none" w:pos="206" w:val="left"/>
        </w:tabs>
        <w:numPr>
          <w:ilvl w:val="0"/>
          <w:numId w:val="11"/>
        </w:numPr>
        <w:rPr>
          <w:rFonts w:ascii="Times New Roman" w:cs="Times New Roman" w:eastAsia="Times New Roman" w:hAnsi="Times New Roman"/>
          <w:sz w:val="25"/>
          <w:szCs w:val="25"/>
          <w:color w:val="00AF41"/>
          <w:vertAlign w:val="superscript"/>
        </w:rPr>
      </w:pPr>
      <w:r>
        <w:rPr>
          <w:rFonts w:ascii="Arial" w:cs="Arial" w:eastAsia="Arial" w:hAnsi="Arial"/>
          <w:sz w:val="16"/>
          <w:szCs w:val="16"/>
          <w:color w:val="auto"/>
        </w:rPr>
        <w:t>Maintain a double trigger for the accelerated vesting provisions under the Equity Incentive Plan (“EIP”) and the Senior Executive Severance Plan</w:t>
      </w:r>
    </w:p>
    <w:p>
      <w:pPr>
        <w:spacing w:after="0" w:line="58" w:lineRule="exact"/>
        <w:rPr>
          <w:rFonts w:ascii="Times New Roman" w:cs="Times New Roman" w:eastAsia="Times New Roman" w:hAnsi="Times New Roman"/>
          <w:sz w:val="25"/>
          <w:szCs w:val="25"/>
          <w:color w:val="00AF41"/>
          <w:vertAlign w:val="superscript"/>
        </w:rPr>
      </w:pPr>
    </w:p>
    <w:p>
      <w:pPr>
        <w:ind w:left="206" w:right="360" w:hanging="206"/>
        <w:spacing w:after="0" w:line="205" w:lineRule="auto"/>
        <w:tabs>
          <w:tab w:leader="none" w:pos="206" w:val="left"/>
        </w:tabs>
        <w:numPr>
          <w:ilvl w:val="0"/>
          <w:numId w:val="11"/>
        </w:numPr>
        <w:rPr>
          <w:rFonts w:ascii="Times New Roman" w:cs="Times New Roman" w:eastAsia="Times New Roman" w:hAnsi="Times New Roman"/>
          <w:sz w:val="25"/>
          <w:szCs w:val="25"/>
          <w:color w:val="00AF41"/>
          <w:vertAlign w:val="superscript"/>
        </w:rPr>
      </w:pPr>
      <w:r>
        <w:rPr>
          <w:rFonts w:ascii="Arial" w:cs="Arial" w:eastAsia="Arial" w:hAnsi="Arial"/>
          <w:sz w:val="16"/>
          <w:szCs w:val="16"/>
          <w:color w:val="auto"/>
        </w:rPr>
        <w:t>Condition severance benefits for senior officers on compliance with restrictive covenants</w:t>
      </w:r>
    </w:p>
    <w:p>
      <w:pPr>
        <w:spacing w:after="0" w:line="200" w:lineRule="exact"/>
        <w:rPr>
          <w:rFonts w:ascii="Times New Roman" w:cs="Times New Roman" w:eastAsia="Times New Roman" w:hAnsi="Times New Roman"/>
          <w:sz w:val="25"/>
          <w:szCs w:val="25"/>
          <w:color w:val="00AF41"/>
          <w:vertAlign w:val="superscript"/>
        </w:rPr>
      </w:pPr>
    </w:p>
    <w:p>
      <w:pPr>
        <w:spacing w:after="0" w:line="200" w:lineRule="exact"/>
        <w:rPr>
          <w:rFonts w:ascii="Times New Roman" w:cs="Times New Roman" w:eastAsia="Times New Roman" w:hAnsi="Times New Roman"/>
          <w:sz w:val="25"/>
          <w:szCs w:val="25"/>
          <w:color w:val="00AF41"/>
          <w:vertAlign w:val="superscript"/>
        </w:rPr>
      </w:pPr>
    </w:p>
    <w:p>
      <w:pPr>
        <w:spacing w:after="0" w:line="200" w:lineRule="exact"/>
        <w:rPr>
          <w:rFonts w:ascii="Times New Roman" w:cs="Times New Roman" w:eastAsia="Times New Roman" w:hAnsi="Times New Roman"/>
          <w:sz w:val="25"/>
          <w:szCs w:val="25"/>
          <w:color w:val="00AF41"/>
          <w:vertAlign w:val="superscript"/>
        </w:rPr>
      </w:pPr>
    </w:p>
    <w:p>
      <w:pPr>
        <w:spacing w:after="0" w:line="200" w:lineRule="exact"/>
        <w:rPr>
          <w:rFonts w:ascii="Times New Roman" w:cs="Times New Roman" w:eastAsia="Times New Roman" w:hAnsi="Times New Roman"/>
          <w:sz w:val="25"/>
          <w:szCs w:val="25"/>
          <w:color w:val="00AF41"/>
          <w:vertAlign w:val="superscript"/>
        </w:rPr>
      </w:pPr>
    </w:p>
    <w:p>
      <w:pPr>
        <w:spacing w:after="0" w:line="200" w:lineRule="exact"/>
        <w:rPr>
          <w:rFonts w:ascii="Times New Roman" w:cs="Times New Roman" w:eastAsia="Times New Roman" w:hAnsi="Times New Roman"/>
          <w:sz w:val="25"/>
          <w:szCs w:val="25"/>
          <w:color w:val="00AF41"/>
          <w:vertAlign w:val="superscript"/>
        </w:rPr>
      </w:pPr>
    </w:p>
    <w:p>
      <w:pPr>
        <w:spacing w:after="0" w:line="292" w:lineRule="exact"/>
        <w:rPr>
          <w:rFonts w:ascii="Times New Roman" w:cs="Times New Roman" w:eastAsia="Times New Roman" w:hAnsi="Times New Roman"/>
          <w:sz w:val="25"/>
          <w:szCs w:val="25"/>
          <w:color w:val="00AF41"/>
          <w:vertAlign w:val="superscript"/>
        </w:rPr>
      </w:pPr>
    </w:p>
    <w:p>
      <w:pPr>
        <w:ind w:left="206" w:hanging="206"/>
        <w:spacing w:after="0"/>
        <w:tabs>
          <w:tab w:leader="none" w:pos="206" w:val="left"/>
        </w:tabs>
        <w:numPr>
          <w:ilvl w:val="0"/>
          <w:numId w:val="11"/>
        </w:numPr>
        <w:rPr>
          <w:rFonts w:ascii="Times New Roman" w:cs="Times New Roman" w:eastAsia="Times New Roman" w:hAnsi="Times New Roman"/>
          <w:sz w:val="25"/>
          <w:szCs w:val="25"/>
          <w:color w:val="00AF41"/>
          <w:vertAlign w:val="superscript"/>
        </w:rPr>
      </w:pPr>
      <w:r>
        <w:rPr>
          <w:rFonts w:ascii="Arial" w:cs="Arial" w:eastAsia="Arial" w:hAnsi="Arial"/>
          <w:sz w:val="16"/>
          <w:szCs w:val="16"/>
          <w:color w:val="auto"/>
        </w:rPr>
        <w:t>Pay dividends on performance share awards</w:t>
      </w:r>
    </w:p>
    <w:p>
      <w:pPr>
        <w:spacing w:after="0" w:line="71" w:lineRule="exact"/>
        <w:rPr>
          <w:rFonts w:ascii="Times New Roman" w:cs="Times New Roman" w:eastAsia="Times New Roman" w:hAnsi="Times New Roman"/>
          <w:sz w:val="25"/>
          <w:szCs w:val="25"/>
          <w:color w:val="00AF41"/>
          <w:vertAlign w:val="superscript"/>
        </w:rPr>
      </w:pPr>
    </w:p>
    <w:p>
      <w:pPr>
        <w:ind w:left="206" w:right="140" w:hanging="206"/>
        <w:spacing w:after="0" w:line="197" w:lineRule="auto"/>
        <w:tabs>
          <w:tab w:leader="none" w:pos="206" w:val="left"/>
        </w:tabs>
        <w:numPr>
          <w:ilvl w:val="0"/>
          <w:numId w:val="11"/>
        </w:numPr>
        <w:rPr>
          <w:rFonts w:ascii="Times New Roman" w:cs="Times New Roman" w:eastAsia="Times New Roman" w:hAnsi="Times New Roman"/>
          <w:sz w:val="25"/>
          <w:szCs w:val="25"/>
          <w:color w:val="00AF41"/>
          <w:vertAlign w:val="superscript"/>
        </w:rPr>
      </w:pPr>
      <w:r>
        <w:rPr>
          <w:rFonts w:ascii="Arial" w:cs="Arial" w:eastAsia="Arial" w:hAnsi="Arial"/>
          <w:sz w:val="16"/>
          <w:szCs w:val="16"/>
          <w:color w:val="auto"/>
        </w:rPr>
        <w:t>Provide tax reimbursements for perquisites or tax gross-ups for excise taxes incurred upon change-in-control</w:t>
      </w:r>
    </w:p>
    <w:p>
      <w:pPr>
        <w:spacing w:after="0" w:line="56" w:lineRule="exact"/>
        <w:rPr>
          <w:rFonts w:ascii="Times New Roman" w:cs="Times New Roman" w:eastAsia="Times New Roman" w:hAnsi="Times New Roman"/>
          <w:sz w:val="25"/>
          <w:szCs w:val="25"/>
          <w:color w:val="00AF41"/>
          <w:vertAlign w:val="superscript"/>
        </w:rPr>
      </w:pPr>
    </w:p>
    <w:p>
      <w:pPr>
        <w:jc w:val="both"/>
        <w:ind w:left="206" w:right="400" w:hanging="206"/>
        <w:spacing w:after="0" w:line="205" w:lineRule="auto"/>
        <w:tabs>
          <w:tab w:leader="none" w:pos="206" w:val="left"/>
        </w:tabs>
        <w:numPr>
          <w:ilvl w:val="0"/>
          <w:numId w:val="11"/>
        </w:numPr>
        <w:rPr>
          <w:rFonts w:ascii="Times New Roman" w:cs="Times New Roman" w:eastAsia="Times New Roman" w:hAnsi="Times New Roman"/>
          <w:sz w:val="25"/>
          <w:szCs w:val="25"/>
          <w:color w:val="00AF41"/>
          <w:vertAlign w:val="superscript"/>
        </w:rPr>
      </w:pPr>
      <w:r>
        <w:rPr>
          <w:rFonts w:ascii="Arial" w:cs="Arial" w:eastAsia="Arial" w:hAnsi="Arial"/>
          <w:sz w:val="16"/>
          <w:szCs w:val="16"/>
          <w:color w:val="auto"/>
        </w:rPr>
        <w:t>Grant incentive awards to senior officers that are not subject to the Company’s Incentive Compensation Recovery (“Clawback”) Policy</w:t>
      </w:r>
    </w:p>
    <w:p>
      <w:pPr>
        <w:spacing w:after="0" w:line="56" w:lineRule="exact"/>
        <w:rPr>
          <w:rFonts w:ascii="Times New Roman" w:cs="Times New Roman" w:eastAsia="Times New Roman" w:hAnsi="Times New Roman"/>
          <w:sz w:val="25"/>
          <w:szCs w:val="25"/>
          <w:color w:val="00AF41"/>
          <w:vertAlign w:val="superscript"/>
        </w:rPr>
      </w:pPr>
    </w:p>
    <w:p>
      <w:pPr>
        <w:ind w:left="206" w:right="40" w:hanging="206"/>
        <w:spacing w:after="0" w:line="205" w:lineRule="auto"/>
        <w:tabs>
          <w:tab w:leader="none" w:pos="206" w:val="left"/>
        </w:tabs>
        <w:numPr>
          <w:ilvl w:val="0"/>
          <w:numId w:val="11"/>
        </w:numPr>
        <w:rPr>
          <w:rFonts w:ascii="Times New Roman" w:cs="Times New Roman" w:eastAsia="Times New Roman" w:hAnsi="Times New Roman"/>
          <w:sz w:val="25"/>
          <w:szCs w:val="25"/>
          <w:color w:val="00AF41"/>
          <w:vertAlign w:val="superscript"/>
        </w:rPr>
      </w:pPr>
      <w:r>
        <w:rPr>
          <w:rFonts w:ascii="Arial" w:cs="Arial" w:eastAsia="Arial" w:hAnsi="Arial"/>
          <w:sz w:val="16"/>
          <w:szCs w:val="16"/>
          <w:color w:val="auto"/>
        </w:rPr>
        <w:t>Accrue additional retirement benefits under any supplemental executive retirement plans (“SERPs”)</w:t>
      </w:r>
    </w:p>
    <w:p>
      <w:pPr>
        <w:ind w:left="206" w:hanging="206"/>
        <w:spacing w:after="0" w:line="225" w:lineRule="auto"/>
        <w:tabs>
          <w:tab w:leader="none" w:pos="206" w:val="left"/>
        </w:tabs>
        <w:numPr>
          <w:ilvl w:val="0"/>
          <w:numId w:val="11"/>
        </w:numPr>
        <w:rPr>
          <w:rFonts w:ascii="Times New Roman" w:cs="Times New Roman" w:eastAsia="Times New Roman" w:hAnsi="Times New Roman"/>
          <w:sz w:val="25"/>
          <w:szCs w:val="25"/>
          <w:color w:val="00AF41"/>
          <w:vertAlign w:val="superscript"/>
        </w:rPr>
      </w:pPr>
      <w:r>
        <w:rPr>
          <w:rFonts w:ascii="Arial" w:cs="Arial" w:eastAsia="Arial" w:hAnsi="Arial"/>
          <w:sz w:val="16"/>
          <w:szCs w:val="16"/>
          <w:color w:val="auto"/>
        </w:rPr>
        <w:t>Provide excessive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-1506855</wp:posOffset>
            </wp:positionV>
            <wp:extent cx="7003415" cy="2482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03415" cy="248285"/>
                    </a:xfrm>
                    <a:prstGeom prst="rect">
                      <a:avLst/>
                    </a:prstGeom>
                    <a:noFill/>
                  </pic:spPr>
                </pic:pic>
              </a:graphicData>
            </a:graphic>
          </wp:anchor>
        </w:drawing>
      </w:r>
    </w:p>
    <w:p>
      <w:pPr>
        <w:sectPr>
          <w:pgSz w:w="11900" w:h="16838" w:orient="portrait"/>
          <w:cols w:equalWidth="0" w:num="2">
            <w:col w:w="5380" w:space="354"/>
            <w:col w:w="5366"/>
          </w:cols>
          <w:pgMar w:left="320" w:top="482" w:right="47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Proposal 1 – Election of Directors</w:t>
      </w:r>
    </w:p>
    <w:p>
      <w:pPr>
        <w:spacing w:after="0" w:line="242"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color w:val="auto"/>
        </w:rPr>
        <w:t>The Board of Directors has nominated nine individuals for election as directors at the Annual Meeting, each to serve for one year and until his or her successor is elected and qualified. Each of our director nominees currently serves on the Board and was elected to a one-year term at the 2022 Annual Meeting of Shareholders.</w:t>
      </w:r>
    </w:p>
    <w:p>
      <w:pPr>
        <w:spacing w:after="0" w:line="171"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auto"/>
        </w:rPr>
        <w:t>Directors will be elected by a plurality of the votes cast by holders of Class B Common Stock who are present in person, or represented by proxy, and entitled to vote at the Annual Meeting. Our controlling shareholder, the Terrence E. Adderley Revocable Trust K (“Trust K”), has indicated its support and intention to vote for each of the director nominees.</w:t>
      </w:r>
    </w:p>
    <w:p>
      <w:pPr>
        <w:spacing w:after="0" w:line="171" w:lineRule="exact"/>
        <w:rPr>
          <w:sz w:val="20"/>
          <w:szCs w:val="20"/>
          <w:color w:val="auto"/>
        </w:rPr>
      </w:pPr>
    </w:p>
    <w:p>
      <w:pPr>
        <w:ind w:left="120" w:right="440"/>
        <w:spacing w:after="0" w:line="286" w:lineRule="auto"/>
        <w:rPr>
          <w:sz w:val="20"/>
          <w:szCs w:val="20"/>
          <w:color w:val="auto"/>
        </w:rPr>
      </w:pPr>
      <w:r>
        <w:rPr>
          <w:rFonts w:ascii="Arial" w:cs="Arial" w:eastAsia="Arial" w:hAnsi="Arial"/>
          <w:sz w:val="16"/>
          <w:szCs w:val="16"/>
          <w:color w:val="auto"/>
        </w:rPr>
        <w:t>We do not contemplate that any of the nominees will be unavailable to serve at the time of the Annual Meeting. In that event, however, the persons named in the enclosed form of proxy may vote for the election of a substitute selected by the Board or the Board may reduce its size.</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Independence</w:t>
      </w:r>
    </w:p>
    <w:p>
      <w:pPr>
        <w:spacing w:after="0" w:line="112"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The Board’s Corporate Governance Principles include guidelines for director independence that conform to the listing standards of the Nasdaq Global Market (“Nasdaq”) on which the Company’s common stock is listed and provide that a majority of the Board be comprised of independent directors. Annually, Kelly’s Corporate Governance and Nominating Committee evaluates and makes recommendations to the Board concerning the independence of each director and director nominee, evaluating any relationship with the Company or its competitors, suppliers, customers, service providers, or others that might be construed as an actual or potential conflict of interest.</w:t>
      </w:r>
    </w:p>
    <w:p>
      <w:pPr>
        <w:spacing w:after="0" w:line="180" w:lineRule="exact"/>
        <w:rPr>
          <w:sz w:val="20"/>
          <w:szCs w:val="20"/>
          <w:color w:val="auto"/>
        </w:rPr>
      </w:pPr>
    </w:p>
    <w:p>
      <w:pPr>
        <w:ind w:left="120" w:right="320"/>
        <w:spacing w:after="0" w:line="286" w:lineRule="auto"/>
        <w:rPr>
          <w:sz w:val="20"/>
          <w:szCs w:val="20"/>
          <w:color w:val="auto"/>
        </w:rPr>
      </w:pPr>
      <w:r>
        <w:rPr>
          <w:rFonts w:ascii="Arial" w:cs="Arial" w:eastAsia="Arial" w:hAnsi="Arial"/>
          <w:sz w:val="16"/>
          <w:szCs w:val="16"/>
          <w:color w:val="auto"/>
        </w:rPr>
        <w:t>On February 15, 2023, our Board affirmatively determined that directors Gerald S. Adolph, Robert S. Cubbin, Amala Duggirala, InaMarie F. Johnson, Terrence B. Larkin, Leslie A. Murphy, and Donald R. Parfet, representing a majority of the Board, are independent.</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Nominees</w:t>
      </w:r>
    </w:p>
    <w:p>
      <w:pPr>
        <w:spacing w:after="0" w:line="112"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color w:val="auto"/>
        </w:rPr>
        <w:t>Each of our director nominees has been recommended for election by our Corporate Governance and Nominating Committee and nominated by our Board. They are seasoned leaders who have held an array of diverse leadership positions in public and private companies, nonprofit organizations, and other businesses. They represent diverse backgrounds and viewpoints.</w:t>
      </w:r>
    </w:p>
    <w:p>
      <w:pPr>
        <w:spacing w:after="0" w:line="171"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color w:val="auto"/>
        </w:rPr>
        <w:t>Together, they bring to our Board diversity in terms of experience, skills, and personal attributes. The Board believes that this diversity strengthens the Board’s ability to carry out its oversight role on behalf of shareholders and is proud of the Company’s long history of having at least three directors who are women on the Board for the past 14 years. While we do not have a formal diversity policy, the Board will continue to build upon its diversity in connection with future Board membership.</w:t>
      </w:r>
    </w:p>
    <w:p>
      <w:pPr>
        <w:spacing w:after="0" w:line="178"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For each of the nine director nominees standing for election, the following pages set forth certain biographical information, including a description of their principal occupation, business experience, and the primary qualifications, experience, skills, and attributes that the Corporate Governance and Nominating Committee considered in recommending them as director nominees, as well as the Board committees on which each director nominee will serve as of the 2023 Annual Meeting. The charts on diversity, independence, age, tenure, skills, experience, and attributes assume that all director nominees are elected as directors at the Annual Meeting. Age and tenure for each director nominee is effective as of April 17, 2023.</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Composition</w:t>
      </w:r>
    </w:p>
    <w:p>
      <w:pPr>
        <w:spacing w:after="0" w:line="112" w:lineRule="exact"/>
        <w:rPr>
          <w:sz w:val="20"/>
          <w:szCs w:val="20"/>
          <w:color w:val="auto"/>
        </w:rPr>
      </w:pPr>
    </w:p>
    <w:p>
      <w:pPr>
        <w:ind w:left="120" w:right="120"/>
        <w:spacing w:after="0" w:line="254" w:lineRule="auto"/>
        <w:rPr>
          <w:sz w:val="20"/>
          <w:szCs w:val="20"/>
          <w:color w:val="auto"/>
        </w:rPr>
      </w:pPr>
      <w:r>
        <w:rPr>
          <w:rFonts w:ascii="Arial" w:cs="Arial" w:eastAsia="Arial" w:hAnsi="Arial"/>
          <w:sz w:val="16"/>
          <w:szCs w:val="16"/>
          <w:color w:val="auto"/>
        </w:rPr>
        <w:t>The Corporate Governance and Nominating Committee is responsible for identifying and recommending to the Board qualified candidates for Board membership as well as assessing the experience and skills of the Company’s current directors. The Committee regularly reviews the mix of individual qualifications, experience, skills, and attributes of incumbent directors to assess overall Board composition and define Board succession goals. This includes identifying areas of opportunity, specifically with respect to the need to refresh the Board with new members with particular expertise and experience that would enhance the overall strength of the current Board and the ability of the Company to execute its long-term strategic plan. Ongoing strategic Board succession planning ensures that the Board continues to maintain an</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7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-142875</wp:posOffset>
            </wp:positionV>
            <wp:extent cx="411480" cy="1968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060"/>
          </w:cols>
          <w:pgMar w:left="320" w:top="482" w:right="5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Proposal 1: Election of Directors</w:t>
      </w:r>
    </w:p>
    <w:p>
      <w:pPr>
        <w:spacing w:after="0" w:line="143"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appropriate mix of objectivity, skills, and experiences to provide fresh perspectives and effective oversight and guidance to management while leveraging the institutional knowledge and historic perspective of our longer-tenured directors. The Committee’s goal is to build an effective and well-functioning Board with diverse perspectives and viewpoints that is responsive to the current and anticipated needs of the Company and long-term interests of shareholders.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Committee considers the following core qualifications for Board composition that are critical to the success of our business:</w:t>
      </w:r>
    </w:p>
    <w:p>
      <w:pPr>
        <w:spacing w:after="0" w:line="12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demonstrated leadership skills and understanding of the complexities of business organizations;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highest personal and professional ethics, integrity, and values;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objectivity and independence of thought and leadership;</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strength of character and sound judgment;</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strong interpersonal and communication skills; and</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highly accomplished in his or her respective field.</w:t>
      </w:r>
    </w:p>
    <w:p>
      <w:pPr>
        <w:spacing w:after="0" w:line="113"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Director candidates must also have a willingness to devote sufficient time to discharge their duties, taking into consideration principal occupation, memberships on other boards, attendance at Board and committee meetings, and other responsibilities. In addition, director candidates must have an intention to serve an appropriate length of time in order to make a meaningful contribution to the Company and the Board. Each of our director nominees demonstrates the core qualifications listed here.</w:t>
      </w:r>
    </w:p>
    <w:p>
      <w:pPr>
        <w:spacing w:after="0" w:line="178"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The Committee also considers specific criteria as provided below, that varies from time to time based on the Company’s current and future priorities and needs, and the balance of the candidate’s experiences, skills, and attributes with those of other members of the Board.</w:t>
      </w:r>
    </w:p>
    <w:p>
      <w:pPr>
        <w:spacing w:after="0" w:line="156" w:lineRule="exact"/>
        <w:rPr>
          <w:sz w:val="20"/>
          <w:szCs w:val="20"/>
          <w:color w:val="auto"/>
        </w:rPr>
      </w:pPr>
    </w:p>
    <w:p>
      <w:pPr>
        <w:ind w:left="120" w:right="200"/>
        <w:spacing w:after="0" w:line="286" w:lineRule="auto"/>
        <w:rPr>
          <w:sz w:val="20"/>
          <w:szCs w:val="20"/>
          <w:color w:val="auto"/>
        </w:rPr>
      </w:pPr>
      <w:r>
        <w:rPr>
          <w:rFonts w:ascii="Arial" w:cs="Arial" w:eastAsia="Arial" w:hAnsi="Arial"/>
          <w:sz w:val="16"/>
          <w:szCs w:val="16"/>
          <w:color w:val="auto"/>
        </w:rPr>
        <w:t>The Committee considers the following specific experience and skills for Board composition, as illustrated in our Board Composition Matrix on the next page:</w:t>
      </w:r>
    </w:p>
    <w:p>
      <w:pPr>
        <w:spacing w:after="0" w:line="21" w:lineRule="exact"/>
        <w:rPr>
          <w:sz w:val="20"/>
          <w:szCs w:val="20"/>
          <w:color w:val="auto"/>
        </w:rPr>
      </w:pPr>
    </w:p>
    <w:p>
      <w:pPr>
        <w:ind w:left="660" w:hanging="328"/>
        <w:spacing w:after="0" w:line="254"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00AF41"/>
        </w:rPr>
        <w:t xml:space="preserve">Executive Leadership, </w:t>
      </w:r>
      <w:r>
        <w:rPr>
          <w:rFonts w:ascii="Arial" w:cs="Arial" w:eastAsia="Arial" w:hAnsi="Arial"/>
          <w:sz w:val="16"/>
          <w:szCs w:val="16"/>
          <w:color w:val="000000"/>
        </w:rPr>
        <w:t>including experience as a Chairman of the Board, Chief Executive Officer, Chief Operating Officer, or substantially</w:t>
      </w:r>
      <w:r>
        <w:rPr>
          <w:rFonts w:ascii="Arial" w:cs="Arial" w:eastAsia="Arial" w:hAnsi="Arial"/>
          <w:sz w:val="16"/>
          <w:szCs w:val="16"/>
          <w:b w:val="1"/>
          <w:bCs w:val="1"/>
          <w:color w:val="00AF41"/>
        </w:rPr>
        <w:t xml:space="preserve"> </w:t>
      </w:r>
      <w:r>
        <w:rPr>
          <w:rFonts w:ascii="Arial" w:cs="Arial" w:eastAsia="Arial" w:hAnsi="Arial"/>
          <w:sz w:val="16"/>
          <w:szCs w:val="16"/>
          <w:color w:val="000000"/>
        </w:rPr>
        <w:t>equivalent level executive officer of a complex organization such as a corporation, university, or major unit of government or a professional who regularly advises such organizations. Directors with this level of experience typically possess strong leadership qualities and the ability to identify and develop those qualities in others. They understand strategy, productivity, and risk management, and how these factors impact the Company’s operations and controls. These directors demonstrate a practical understanding of how large, complex organizations operate, the importance of talent management, and the method of setting employee and executive compensation.</w:t>
      </w:r>
    </w:p>
    <w:p>
      <w:pPr>
        <w:spacing w:after="0" w:line="46" w:lineRule="exact"/>
        <w:rPr>
          <w:rFonts w:ascii="Arial" w:cs="Arial" w:eastAsia="Arial" w:hAnsi="Arial"/>
          <w:sz w:val="16"/>
          <w:szCs w:val="16"/>
          <w:color w:val="auto"/>
        </w:rPr>
      </w:pPr>
    </w:p>
    <w:p>
      <w:pPr>
        <w:ind w:left="660" w:right="40" w:hanging="328"/>
        <w:spacing w:after="0" w:line="259"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00AF41"/>
        </w:rPr>
        <w:t xml:space="preserve">Transformation, </w:t>
      </w:r>
      <w:r>
        <w:rPr>
          <w:rFonts w:ascii="Arial" w:cs="Arial" w:eastAsia="Arial" w:hAnsi="Arial"/>
          <w:sz w:val="16"/>
          <w:szCs w:val="16"/>
          <w:color w:val="000000"/>
        </w:rPr>
        <w:t>successful leadership of large-scale transformations, including cultural evolutions, restructuring, and enhancing organizational</w:t>
      </w:r>
      <w:r>
        <w:rPr>
          <w:rFonts w:ascii="Arial" w:cs="Arial" w:eastAsia="Arial" w:hAnsi="Arial"/>
          <w:sz w:val="16"/>
          <w:szCs w:val="16"/>
          <w:b w:val="1"/>
          <w:bCs w:val="1"/>
          <w:color w:val="00AF41"/>
        </w:rPr>
        <w:t xml:space="preserve"> </w:t>
      </w:r>
      <w:r>
        <w:rPr>
          <w:rFonts w:ascii="Arial" w:cs="Arial" w:eastAsia="Arial" w:hAnsi="Arial"/>
          <w:sz w:val="16"/>
          <w:szCs w:val="16"/>
          <w:color w:val="000000"/>
        </w:rPr>
        <w:t>design to improve effectiveness, leveraging change management principles and tools to architect the culture needed to drive profitable growth. Directors with this experience and skillset help the Company focus its efforts in this important area and track progress against strategic goals and benchmarks.</w:t>
      </w:r>
    </w:p>
    <w:p>
      <w:pPr>
        <w:spacing w:after="0" w:line="42" w:lineRule="exact"/>
        <w:rPr>
          <w:rFonts w:ascii="Arial" w:cs="Arial" w:eastAsia="Arial" w:hAnsi="Arial"/>
          <w:sz w:val="16"/>
          <w:szCs w:val="16"/>
          <w:color w:val="auto"/>
        </w:rPr>
      </w:pPr>
    </w:p>
    <w:p>
      <w:pPr>
        <w:ind w:left="660" w:right="140" w:hanging="328"/>
        <w:spacing w:after="0" w:line="259"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00AF41"/>
        </w:rPr>
        <w:t xml:space="preserve">Innovation, </w:t>
      </w:r>
      <w:r>
        <w:rPr>
          <w:rFonts w:ascii="Arial" w:cs="Arial" w:eastAsia="Arial" w:hAnsi="Arial"/>
          <w:sz w:val="16"/>
          <w:szCs w:val="16"/>
          <w:color w:val="000000"/>
        </w:rPr>
        <w:t>experience as innovative leader with proven experience turning new ideas and technologies into assets that transform businesses;</w:t>
      </w:r>
      <w:r>
        <w:rPr>
          <w:rFonts w:ascii="Arial" w:cs="Arial" w:eastAsia="Arial" w:hAnsi="Arial"/>
          <w:sz w:val="16"/>
          <w:szCs w:val="16"/>
          <w:b w:val="1"/>
          <w:bCs w:val="1"/>
          <w:color w:val="00AF41"/>
        </w:rPr>
        <w:t xml:space="preserve"> </w:t>
      </w:r>
      <w:r>
        <w:rPr>
          <w:rFonts w:ascii="Arial" w:cs="Arial" w:eastAsia="Arial" w:hAnsi="Arial"/>
          <w:sz w:val="16"/>
          <w:szCs w:val="16"/>
          <w:color w:val="000000"/>
        </w:rPr>
        <w:t>embraces the idea of doing things differently; empowers employees to be creative and challenge the status quo; and views collaboration across all levels of the organization as an opportunity to tap diverse viewpoints. Directors who have this skillset help ensure the Company stays competitive by creating a culture of continuous improvement.</w:t>
      </w:r>
    </w:p>
    <w:p>
      <w:pPr>
        <w:spacing w:after="0" w:line="42" w:lineRule="exact"/>
        <w:rPr>
          <w:rFonts w:ascii="Arial" w:cs="Arial" w:eastAsia="Arial" w:hAnsi="Arial"/>
          <w:sz w:val="16"/>
          <w:szCs w:val="16"/>
          <w:color w:val="auto"/>
        </w:rPr>
      </w:pPr>
    </w:p>
    <w:p>
      <w:pPr>
        <w:ind w:left="660" w:right="100" w:hanging="328"/>
        <w:spacing w:after="0" w:line="256"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00AF41"/>
        </w:rPr>
        <w:t xml:space="preserve">Industry, </w:t>
      </w:r>
      <w:r>
        <w:rPr>
          <w:rFonts w:ascii="Arial" w:cs="Arial" w:eastAsia="Arial" w:hAnsi="Arial"/>
          <w:sz w:val="16"/>
          <w:szCs w:val="16"/>
          <w:color w:val="000000"/>
        </w:rPr>
        <w:t>including experience in the staffing or business services industry, the Company’s specialty businesses, or experience in human capital</w:t>
      </w:r>
      <w:r>
        <w:rPr>
          <w:rFonts w:ascii="Arial" w:cs="Arial" w:eastAsia="Arial" w:hAnsi="Arial"/>
          <w:sz w:val="16"/>
          <w:szCs w:val="16"/>
          <w:b w:val="1"/>
          <w:bCs w:val="1"/>
          <w:color w:val="00AF41"/>
        </w:rPr>
        <w:t xml:space="preserve"> </w:t>
      </w:r>
      <w:r>
        <w:rPr>
          <w:rFonts w:ascii="Arial" w:cs="Arial" w:eastAsia="Arial" w:hAnsi="Arial"/>
          <w:sz w:val="16"/>
          <w:szCs w:val="16"/>
          <w:color w:val="000000"/>
        </w:rPr>
        <w:t>management including talent/workforce solutions; diversity, equity, and inclusion; organizational behavior; and compensation and benefits. Directors with this experience bring value to the Board through oversight ensuring the Company maintains a successful framework for workforce acquisition, management, and optimization that results in the attraction, development, and retention of top candidates with diverse skills and backgrounds.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7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-142875</wp:posOffset>
            </wp:positionV>
            <wp:extent cx="411480" cy="1968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060"/>
          </w:cols>
          <w:pgMar w:left="320" w:top="482" w:right="5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Proposal 1: Election of Directors</w:t>
      </w:r>
    </w:p>
    <w:p>
      <w:pPr>
        <w:spacing w:after="0" w:line="143" w:lineRule="exact"/>
        <w:rPr>
          <w:sz w:val="20"/>
          <w:szCs w:val="20"/>
          <w:color w:val="auto"/>
        </w:rPr>
      </w:pPr>
    </w:p>
    <w:p>
      <w:pPr>
        <w:ind w:left="660" w:right="320" w:hanging="328"/>
        <w:spacing w:after="0" w:line="253"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00AF41"/>
        </w:rPr>
        <w:t xml:space="preserve">Technology, Digitization, and Cybersecurity, </w:t>
      </w:r>
      <w:r>
        <w:rPr>
          <w:rFonts w:ascii="Arial" w:cs="Arial" w:eastAsia="Arial" w:hAnsi="Arial"/>
          <w:sz w:val="16"/>
          <w:szCs w:val="16"/>
          <w:color w:val="000000"/>
        </w:rPr>
        <w:t>experience in the high-level planning and execution of business initiatives through use of</w:t>
      </w:r>
      <w:r>
        <w:rPr>
          <w:rFonts w:ascii="Arial" w:cs="Arial" w:eastAsia="Arial" w:hAnsi="Arial"/>
          <w:sz w:val="16"/>
          <w:szCs w:val="16"/>
          <w:b w:val="1"/>
          <w:bCs w:val="1"/>
          <w:color w:val="00AF41"/>
        </w:rPr>
        <w:t xml:space="preserve"> </w:t>
      </w:r>
      <w:r>
        <w:rPr>
          <w:rFonts w:ascii="Arial" w:cs="Arial" w:eastAsia="Arial" w:hAnsi="Arial"/>
          <w:sz w:val="16"/>
          <w:szCs w:val="16"/>
          <w:color w:val="000000"/>
        </w:rPr>
        <w:t>technology and digitization to build business efficiencies and competitive advantage; proactive leader in enabling the business to achieve objectives through the effective use of technology and technological innovation and modernization; experience defining opportunities and prioritizing technology projects based on predefined criteria (e.g., ROI, productivity, compliance). Experience in the development of technology and processes that protect the storage of information and maintain confidentiality or expertise including a meaningful understanding of the challenges posed by cybersecurity risks. Directors with expertise in these areas are skilled at overseeing the organization’s management of technological change and cybersecurity risk.</w:t>
      </w:r>
    </w:p>
    <w:p>
      <w:pPr>
        <w:spacing w:after="0" w:line="46" w:lineRule="exact"/>
        <w:rPr>
          <w:rFonts w:ascii="Arial" w:cs="Arial" w:eastAsia="Arial" w:hAnsi="Arial"/>
          <w:sz w:val="16"/>
          <w:szCs w:val="16"/>
          <w:color w:val="auto"/>
        </w:rPr>
      </w:pPr>
    </w:p>
    <w:p>
      <w:pPr>
        <w:ind w:left="660" w:right="160" w:hanging="328"/>
        <w:spacing w:after="0" w:line="266"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00AF41"/>
        </w:rPr>
        <w:t xml:space="preserve">Financial Acumen, </w:t>
      </w:r>
      <w:r>
        <w:rPr>
          <w:rFonts w:ascii="Arial" w:cs="Arial" w:eastAsia="Arial" w:hAnsi="Arial"/>
          <w:sz w:val="16"/>
          <w:szCs w:val="16"/>
          <w:color w:val="000000"/>
        </w:rPr>
        <w:t>including the ability to read and understand fundamental financial statements, including a company’s balance sheet, income</w:t>
      </w:r>
      <w:r>
        <w:rPr>
          <w:rFonts w:ascii="Arial" w:cs="Arial" w:eastAsia="Arial" w:hAnsi="Arial"/>
          <w:sz w:val="16"/>
          <w:szCs w:val="16"/>
          <w:b w:val="1"/>
          <w:bCs w:val="1"/>
          <w:color w:val="00AF41"/>
        </w:rPr>
        <w:t xml:space="preserve"> </w:t>
      </w:r>
      <w:r>
        <w:rPr>
          <w:rFonts w:ascii="Arial" w:cs="Arial" w:eastAsia="Arial" w:hAnsi="Arial"/>
          <w:sz w:val="16"/>
          <w:szCs w:val="16"/>
          <w:color w:val="000000"/>
        </w:rPr>
        <w:t>statement, and cash flow statement. Directors with financial experience are essential for ensuring effective oversight of the Company’s financial measures, processes, reporting, and performance.</w:t>
      </w:r>
    </w:p>
    <w:p>
      <w:pPr>
        <w:spacing w:after="0" w:line="36" w:lineRule="exact"/>
        <w:rPr>
          <w:rFonts w:ascii="Arial" w:cs="Arial" w:eastAsia="Arial" w:hAnsi="Arial"/>
          <w:sz w:val="16"/>
          <w:szCs w:val="16"/>
          <w:color w:val="auto"/>
        </w:rPr>
      </w:pPr>
    </w:p>
    <w:p>
      <w:pPr>
        <w:ind w:left="660" w:right="60" w:hanging="328"/>
        <w:spacing w:after="0" w:line="266"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00AF41"/>
        </w:rPr>
        <w:t xml:space="preserve">Financial Expert, </w:t>
      </w:r>
      <w:r>
        <w:rPr>
          <w:rFonts w:ascii="Arial" w:cs="Arial" w:eastAsia="Arial" w:hAnsi="Arial"/>
          <w:sz w:val="16"/>
          <w:szCs w:val="16"/>
          <w:color w:val="000000"/>
        </w:rPr>
        <w:t>including financial and/or accounting expertise, generally, and as necessary to fulfill the financial requirements of NASDAQ and</w:t>
      </w:r>
      <w:r>
        <w:rPr>
          <w:rFonts w:ascii="Arial" w:cs="Arial" w:eastAsia="Arial" w:hAnsi="Arial"/>
          <w:sz w:val="16"/>
          <w:szCs w:val="16"/>
          <w:b w:val="1"/>
          <w:bCs w:val="1"/>
          <w:color w:val="00AF41"/>
        </w:rPr>
        <w:t xml:space="preserve"> </w:t>
      </w:r>
      <w:r>
        <w:rPr>
          <w:rFonts w:ascii="Arial" w:cs="Arial" w:eastAsia="Arial" w:hAnsi="Arial"/>
          <w:sz w:val="16"/>
          <w:szCs w:val="16"/>
          <w:color w:val="000000"/>
        </w:rPr>
        <w:t>the Securities and Exchange Commission (education and experience as CFO, finance/accounting executive, public accountant or auditor, or person performing similar functions).</w:t>
      </w:r>
    </w:p>
    <w:p>
      <w:pPr>
        <w:spacing w:after="0" w:line="36" w:lineRule="exact"/>
        <w:rPr>
          <w:rFonts w:ascii="Arial" w:cs="Arial" w:eastAsia="Arial" w:hAnsi="Arial"/>
          <w:sz w:val="16"/>
          <w:szCs w:val="16"/>
          <w:color w:val="auto"/>
        </w:rPr>
      </w:pPr>
    </w:p>
    <w:p>
      <w:pPr>
        <w:ind w:left="660" w:right="180" w:hanging="328"/>
        <w:spacing w:after="0" w:line="286"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00AF41"/>
        </w:rPr>
        <w:t xml:space="preserve">Risk Management, </w:t>
      </w:r>
      <w:r>
        <w:rPr>
          <w:rFonts w:ascii="Arial" w:cs="Arial" w:eastAsia="Arial" w:hAnsi="Arial"/>
          <w:sz w:val="16"/>
          <w:szCs w:val="16"/>
          <w:color w:val="000000"/>
        </w:rPr>
        <w:t>experience identifying, evaluating, and managing corporate risk, ability to address and mitigate material risks. Directors with</w:t>
      </w:r>
      <w:r>
        <w:rPr>
          <w:rFonts w:ascii="Arial" w:cs="Arial" w:eastAsia="Arial" w:hAnsi="Arial"/>
          <w:sz w:val="16"/>
          <w:szCs w:val="16"/>
          <w:b w:val="1"/>
          <w:bCs w:val="1"/>
          <w:color w:val="00AF41"/>
        </w:rPr>
        <w:t xml:space="preserve"> </w:t>
      </w:r>
      <w:r>
        <w:rPr>
          <w:rFonts w:ascii="Arial" w:cs="Arial" w:eastAsia="Arial" w:hAnsi="Arial"/>
          <w:sz w:val="16"/>
          <w:szCs w:val="16"/>
          <w:color w:val="000000"/>
        </w:rPr>
        <w:t>experience in this area are critical to ensuring the Board’s successful oversight of Company risks.</w:t>
      </w:r>
    </w:p>
    <w:p>
      <w:pPr>
        <w:spacing w:after="0" w:line="20" w:lineRule="exact"/>
        <w:rPr>
          <w:rFonts w:ascii="Arial" w:cs="Arial" w:eastAsia="Arial" w:hAnsi="Arial"/>
          <w:sz w:val="16"/>
          <w:szCs w:val="16"/>
          <w:color w:val="auto"/>
        </w:rPr>
      </w:pPr>
    </w:p>
    <w:p>
      <w:pPr>
        <w:ind w:left="660" w:right="180" w:hanging="328"/>
        <w:spacing w:after="0" w:line="259"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00AF41"/>
        </w:rPr>
        <w:t xml:space="preserve">Legal or Corporate Governance, </w:t>
      </w:r>
      <w:r>
        <w:rPr>
          <w:rFonts w:ascii="Arial" w:cs="Arial" w:eastAsia="Arial" w:hAnsi="Arial"/>
          <w:sz w:val="16"/>
          <w:szCs w:val="16"/>
          <w:color w:val="000000"/>
        </w:rPr>
        <w:t>experience with the legal issues impacting large organizations and the governance and fiduciary matters that</w:t>
      </w:r>
      <w:r>
        <w:rPr>
          <w:rFonts w:ascii="Arial" w:cs="Arial" w:eastAsia="Arial" w:hAnsi="Arial"/>
          <w:sz w:val="16"/>
          <w:szCs w:val="16"/>
          <w:b w:val="1"/>
          <w:bCs w:val="1"/>
          <w:color w:val="00AF41"/>
        </w:rPr>
        <w:t xml:space="preserve"> </w:t>
      </w:r>
      <w:r>
        <w:rPr>
          <w:rFonts w:ascii="Arial" w:cs="Arial" w:eastAsia="Arial" w:hAnsi="Arial"/>
          <w:sz w:val="16"/>
          <w:szCs w:val="16"/>
          <w:color w:val="000000"/>
        </w:rPr>
        <w:t>impact boards, such as service on public boards and board committees, or as legal or governance executives of other large public companies. Directors with this experience help the Company support its goals of strong Board and management accountability, transparency, and protection of shareholder interests.</w:t>
      </w:r>
    </w:p>
    <w:p>
      <w:pPr>
        <w:spacing w:after="0" w:line="42" w:lineRule="exact"/>
        <w:rPr>
          <w:rFonts w:ascii="Arial" w:cs="Arial" w:eastAsia="Arial" w:hAnsi="Arial"/>
          <w:sz w:val="16"/>
          <w:szCs w:val="16"/>
          <w:color w:val="auto"/>
        </w:rPr>
      </w:pPr>
    </w:p>
    <w:p>
      <w:pPr>
        <w:ind w:left="660" w:right="180" w:hanging="328"/>
        <w:spacing w:after="0" w:line="266"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00AF41"/>
        </w:rPr>
        <w:t xml:space="preserve">ESG and Sustainability, </w:t>
      </w:r>
      <w:r>
        <w:rPr>
          <w:rFonts w:ascii="Arial" w:cs="Arial" w:eastAsia="Arial" w:hAnsi="Arial"/>
          <w:sz w:val="16"/>
          <w:szCs w:val="16"/>
          <w:color w:val="000000"/>
        </w:rPr>
        <w:t>experience with the development and oversight of an effective corporate responsibility strategy, initiatives, and practices</w:t>
      </w:r>
      <w:r>
        <w:rPr>
          <w:rFonts w:ascii="Arial" w:cs="Arial" w:eastAsia="Arial" w:hAnsi="Arial"/>
          <w:sz w:val="16"/>
          <w:szCs w:val="16"/>
          <w:color w:val="00AF41"/>
        </w:rPr>
        <w:t xml:space="preserve"> </w:t>
      </w:r>
      <w:r>
        <w:rPr>
          <w:rFonts w:ascii="Arial" w:cs="Arial" w:eastAsia="Arial" w:hAnsi="Arial"/>
          <w:sz w:val="16"/>
          <w:szCs w:val="16"/>
          <w:color w:val="000000"/>
        </w:rPr>
        <w:t>that include social, climate and environmental initiatives. Directors who possess these skills strengthen the Board’s oversight and assure that strategic business imperatives and long-term value creation are achieved within a sustainable, environmentally, and socially focused model.</w:t>
      </w:r>
    </w:p>
    <w:p>
      <w:pPr>
        <w:spacing w:after="0" w:line="36" w:lineRule="exact"/>
        <w:rPr>
          <w:rFonts w:ascii="Arial" w:cs="Arial" w:eastAsia="Arial" w:hAnsi="Arial"/>
          <w:sz w:val="16"/>
          <w:szCs w:val="16"/>
          <w:color w:val="auto"/>
        </w:rPr>
      </w:pPr>
    </w:p>
    <w:p>
      <w:pPr>
        <w:ind w:left="660" w:right="80" w:hanging="328"/>
        <w:spacing w:after="0" w:line="266"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00AF41"/>
        </w:rPr>
        <w:t xml:space="preserve">Mergers &amp; Acquisitions, </w:t>
      </w:r>
      <w:r>
        <w:rPr>
          <w:rFonts w:ascii="Arial" w:cs="Arial" w:eastAsia="Arial" w:hAnsi="Arial"/>
          <w:sz w:val="16"/>
          <w:szCs w:val="16"/>
          <w:color w:val="000000"/>
        </w:rPr>
        <w:t>experience implementing organic and inorganic strategies, increasing revenue, building strategic partnerships to promote</w:t>
      </w:r>
      <w:r>
        <w:rPr>
          <w:rFonts w:ascii="Arial" w:cs="Arial" w:eastAsia="Arial" w:hAnsi="Arial"/>
          <w:sz w:val="16"/>
          <w:szCs w:val="16"/>
          <w:color w:val="00AF41"/>
        </w:rPr>
        <w:t xml:space="preserve"> </w:t>
      </w:r>
      <w:r>
        <w:rPr>
          <w:rFonts w:ascii="Arial" w:cs="Arial" w:eastAsia="Arial" w:hAnsi="Arial"/>
          <w:sz w:val="16"/>
          <w:szCs w:val="16"/>
          <w:color w:val="000000"/>
        </w:rPr>
        <w:t>growth, identifying acquisition and business combination targets, analyzing cultural and strategic fit, and oversight of successful integration. Director experience in this area is particularly important as the Company continues to drive profitable growth in its areas of specialization.</w:t>
      </w:r>
    </w:p>
    <w:p>
      <w:pPr>
        <w:spacing w:after="0" w:line="171" w:lineRule="exact"/>
        <w:rPr>
          <w:sz w:val="20"/>
          <w:szCs w:val="20"/>
          <w:color w:val="auto"/>
        </w:rPr>
      </w:pPr>
    </w:p>
    <w:p>
      <w:pPr>
        <w:ind w:left="120" w:right="320"/>
        <w:spacing w:after="0" w:line="266" w:lineRule="auto"/>
        <w:rPr>
          <w:sz w:val="20"/>
          <w:szCs w:val="20"/>
          <w:color w:val="auto"/>
        </w:rPr>
      </w:pPr>
      <w:r>
        <w:rPr>
          <w:rFonts w:ascii="Arial" w:cs="Arial" w:eastAsia="Arial" w:hAnsi="Arial"/>
          <w:sz w:val="16"/>
          <w:szCs w:val="16"/>
          <w:color w:val="auto"/>
        </w:rPr>
        <w:t>In determining whether to recommend a director for re-nomination, the Committee also considers the director’s recent contributions and potential for continuing contributions to the work of the Board. The Committee may engage third parties to assist in the search for director candidates. The director selection process is described in greater detail in the “Corporate Governance” section of this Proxy Statement.</w:t>
      </w:r>
    </w:p>
    <w:p>
      <w:pPr>
        <w:spacing w:after="0" w:line="171"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The matrix below is a summary of the range of key experience, skills, and attributes that each director nominee brings to our Board and illustrates Kelly’s well-balanced Board composition relative to experience, skills, tenure, and diversity. This is a product of the Board’s careful succession planning, commitment to diverse and independent representation, and implementation of a sound and strategic Board refreshment process. Because it is a summary, it is not intended to be a complete description of each director nominee’s strengths or contributions to the Board. Additional details on each director nominee’s qualifications, experiences, skills, and attributes are set forth in their biographies.</w:t>
      </w:r>
    </w:p>
    <w:p>
      <w:pPr>
        <w:spacing w:after="0" w:line="100" w:lineRule="exact"/>
        <w:rPr>
          <w:sz w:val="20"/>
          <w:szCs w:val="20"/>
          <w:color w:val="auto"/>
        </w:rPr>
      </w:pPr>
    </w:p>
    <w:p>
      <w:pPr>
        <w:ind w:left="1082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7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-142875</wp:posOffset>
            </wp:positionV>
            <wp:extent cx="411480" cy="1968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Proposal 1: Election of Directors</w:t>
      </w:r>
    </w:p>
    <w:p>
      <w:pPr>
        <w:spacing w:after="0" w:line="148" w:lineRule="exact"/>
        <w:rPr>
          <w:sz w:val="20"/>
          <w:szCs w:val="20"/>
          <w:color w:val="auto"/>
        </w:rPr>
      </w:pPr>
    </w:p>
    <w:p>
      <w:pPr>
        <w:ind w:left="5560"/>
        <w:spacing w:after="0"/>
        <w:rPr>
          <w:sz w:val="20"/>
          <w:szCs w:val="20"/>
          <w:color w:val="auto"/>
        </w:rPr>
      </w:pPr>
      <w:r>
        <w:rPr>
          <w:rFonts w:ascii="Arial" w:cs="Arial" w:eastAsia="Arial" w:hAnsi="Arial"/>
          <w:sz w:val="14"/>
          <w:szCs w:val="14"/>
          <w:b w:val="1"/>
          <w:bCs w:val="1"/>
          <w:color w:val="auto"/>
        </w:rPr>
        <w:t>Board Composition Matrix (2023)</w:t>
      </w:r>
    </w:p>
    <w:p>
      <w:pPr>
        <w:spacing w:after="0" w:line="65"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5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20" w:type="dxa"/>
            <w:vAlign w:val="bottom"/>
            <w:gridSpan w:val="3"/>
          </w:tcPr>
          <w:p>
            <w:pPr>
              <w:ind w:left="500"/>
              <w:spacing w:after="0"/>
              <w:rPr>
                <w:sz w:val="20"/>
                <w:szCs w:val="20"/>
                <w:color w:val="auto"/>
              </w:rPr>
            </w:pPr>
            <w:r>
              <w:rPr>
                <w:rFonts w:ascii="Arial" w:cs="Arial" w:eastAsia="Arial" w:hAnsi="Arial"/>
                <w:sz w:val="13"/>
                <w:szCs w:val="13"/>
                <w:color w:val="00AF41"/>
              </w:rPr>
              <w:t>Director Nominees</w:t>
            </w: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39"/>
        </w:trPr>
        <w:tc>
          <w:tcPr>
            <w:tcW w:w="524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43"/>
        </w:trPr>
        <w:tc>
          <w:tcPr>
            <w:tcW w:w="5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jc w:val="center"/>
              <w:spacing w:after="0" w:line="143" w:lineRule="exact"/>
              <w:rPr>
                <w:sz w:val="20"/>
                <w:szCs w:val="20"/>
                <w:color w:val="auto"/>
              </w:rPr>
            </w:pPr>
            <w:r>
              <w:rPr>
                <w:rFonts w:ascii="Arial" w:cs="Arial" w:eastAsia="Arial" w:hAnsi="Arial"/>
                <w:sz w:val="13"/>
                <w:szCs w:val="13"/>
                <w:color w:val="00AF41"/>
              </w:rPr>
              <w:t>Comp</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jc w:val="center"/>
              <w:spacing w:after="0" w:line="143" w:lineRule="exact"/>
              <w:rPr>
                <w:sz w:val="20"/>
                <w:szCs w:val="20"/>
                <w:color w:val="auto"/>
              </w:rPr>
            </w:pPr>
            <w:r>
              <w:rPr>
                <w:rFonts w:ascii="Arial" w:cs="Arial" w:eastAsia="Arial" w:hAnsi="Arial"/>
                <w:sz w:val="13"/>
                <w:szCs w:val="13"/>
                <w:color w:val="00AF41"/>
              </w:rPr>
              <w:t>Gov</w:t>
            </w:r>
          </w:p>
        </w:tc>
        <w:tc>
          <w:tcPr>
            <w:tcW w:w="560" w:type="dxa"/>
            <w:vAlign w:val="bottom"/>
          </w:tcPr>
          <w:p>
            <w:pPr>
              <w:jc w:val="center"/>
              <w:ind w:left="14"/>
              <w:spacing w:after="0" w:line="143" w:lineRule="exact"/>
              <w:rPr>
                <w:sz w:val="20"/>
                <w:szCs w:val="20"/>
                <w:color w:val="auto"/>
              </w:rPr>
            </w:pPr>
            <w:r>
              <w:rPr>
                <w:rFonts w:ascii="Arial" w:cs="Arial" w:eastAsia="Arial" w:hAnsi="Arial"/>
                <w:sz w:val="13"/>
                <w:szCs w:val="13"/>
                <w:color w:val="00AF41"/>
              </w:rPr>
              <w:t>Audit</w:t>
            </w:r>
          </w:p>
        </w:tc>
      </w:tr>
      <w:tr>
        <w:trPr>
          <w:trHeight w:val="148"/>
        </w:trPr>
        <w:tc>
          <w:tcPr>
            <w:tcW w:w="5240" w:type="dxa"/>
            <w:vAlign w:val="bottom"/>
          </w:tcPr>
          <w:p>
            <w:pPr>
              <w:ind w:left="80"/>
              <w:spacing w:after="0"/>
              <w:rPr>
                <w:sz w:val="20"/>
                <w:szCs w:val="20"/>
                <w:color w:val="auto"/>
              </w:rPr>
            </w:pPr>
            <w:r>
              <w:rPr>
                <w:rFonts w:ascii="Arial" w:cs="Arial" w:eastAsia="Arial" w:hAnsi="Arial"/>
                <w:sz w:val="13"/>
                <w:szCs w:val="13"/>
                <w:i w:val="1"/>
                <w:iCs w:val="1"/>
                <w:color w:val="00AF41"/>
              </w:rPr>
              <w:t>Specific Experience and Skills (May vary based</w:t>
            </w:r>
          </w:p>
        </w:tc>
        <w:tc>
          <w:tcPr>
            <w:tcW w:w="660" w:type="dxa"/>
            <w:vAlign w:val="bottom"/>
          </w:tcPr>
          <w:p>
            <w:pPr>
              <w:jc w:val="center"/>
              <w:ind w:left="33"/>
              <w:spacing w:after="0"/>
              <w:rPr>
                <w:sz w:val="20"/>
                <w:szCs w:val="20"/>
                <w:color w:val="auto"/>
              </w:rPr>
            </w:pPr>
            <w:r>
              <w:rPr>
                <w:rFonts w:ascii="Arial" w:cs="Arial" w:eastAsia="Arial" w:hAnsi="Arial"/>
                <w:sz w:val="13"/>
                <w:szCs w:val="13"/>
                <w:color w:val="00AF41"/>
                <w:w w:val="99"/>
              </w:rPr>
              <w:t>COB</w:t>
            </w:r>
          </w:p>
        </w:tc>
        <w:tc>
          <w:tcPr>
            <w:tcW w:w="640" w:type="dxa"/>
            <w:vAlign w:val="bottom"/>
          </w:tcPr>
          <w:p>
            <w:pPr>
              <w:jc w:val="center"/>
              <w:spacing w:after="0"/>
              <w:rPr>
                <w:sz w:val="20"/>
                <w:szCs w:val="20"/>
                <w:color w:val="auto"/>
              </w:rPr>
            </w:pPr>
            <w:r>
              <w:rPr>
                <w:rFonts w:ascii="Arial" w:cs="Arial" w:eastAsia="Arial" w:hAnsi="Arial"/>
                <w:sz w:val="13"/>
                <w:szCs w:val="13"/>
                <w:color w:val="00AF41"/>
                <w:w w:val="99"/>
              </w:rPr>
              <w:t>CEO</w:t>
            </w:r>
          </w:p>
        </w:tc>
        <w:tc>
          <w:tcPr>
            <w:tcW w:w="620" w:type="dxa"/>
            <w:vAlign w:val="bottom"/>
          </w:tcPr>
          <w:p>
            <w:pPr>
              <w:jc w:val="center"/>
              <w:spacing w:after="0"/>
              <w:rPr>
                <w:sz w:val="20"/>
                <w:szCs w:val="20"/>
                <w:color w:val="auto"/>
              </w:rPr>
            </w:pPr>
            <w:r>
              <w:rPr>
                <w:rFonts w:ascii="Arial" w:cs="Arial" w:eastAsia="Arial" w:hAnsi="Arial"/>
                <w:sz w:val="13"/>
                <w:szCs w:val="13"/>
                <w:color w:val="00AF41"/>
              </w:rPr>
              <w:t>Dir</w:t>
            </w:r>
          </w:p>
        </w:tc>
        <w:tc>
          <w:tcPr>
            <w:tcW w:w="640" w:type="dxa"/>
            <w:vAlign w:val="bottom"/>
          </w:tcPr>
          <w:p>
            <w:pPr>
              <w:jc w:val="center"/>
              <w:spacing w:after="0"/>
              <w:rPr>
                <w:sz w:val="20"/>
                <w:szCs w:val="20"/>
                <w:color w:val="auto"/>
              </w:rPr>
            </w:pPr>
            <w:r>
              <w:rPr>
                <w:rFonts w:ascii="Arial" w:cs="Arial" w:eastAsia="Arial" w:hAnsi="Arial"/>
                <w:sz w:val="13"/>
                <w:szCs w:val="13"/>
                <w:color w:val="00AF41"/>
                <w:w w:val="96"/>
              </w:rPr>
              <w:t>Dir</w:t>
            </w:r>
          </w:p>
        </w:tc>
        <w:tc>
          <w:tcPr>
            <w:tcW w:w="620" w:type="dxa"/>
            <w:vAlign w:val="bottom"/>
          </w:tcPr>
          <w:p>
            <w:pPr>
              <w:jc w:val="center"/>
              <w:spacing w:after="0"/>
              <w:rPr>
                <w:sz w:val="20"/>
                <w:szCs w:val="20"/>
                <w:color w:val="auto"/>
              </w:rPr>
            </w:pPr>
            <w:r>
              <w:rPr>
                <w:rFonts w:ascii="Arial" w:cs="Arial" w:eastAsia="Arial" w:hAnsi="Arial"/>
                <w:sz w:val="13"/>
                <w:szCs w:val="13"/>
                <w:color w:val="00AF41"/>
              </w:rPr>
              <w:t>Chair</w:t>
            </w:r>
          </w:p>
        </w:tc>
        <w:tc>
          <w:tcPr>
            <w:tcW w:w="760" w:type="dxa"/>
            <w:vAlign w:val="bottom"/>
          </w:tcPr>
          <w:p>
            <w:pPr>
              <w:jc w:val="center"/>
              <w:spacing w:after="0"/>
              <w:rPr>
                <w:sz w:val="20"/>
                <w:szCs w:val="20"/>
                <w:color w:val="auto"/>
              </w:rPr>
            </w:pPr>
            <w:r>
              <w:rPr>
                <w:rFonts w:ascii="Arial" w:cs="Arial" w:eastAsia="Arial" w:hAnsi="Arial"/>
                <w:sz w:val="13"/>
                <w:szCs w:val="13"/>
                <w:color w:val="00AF41"/>
              </w:rPr>
              <w:t>Dir</w:t>
            </w:r>
          </w:p>
        </w:tc>
        <w:tc>
          <w:tcPr>
            <w:tcW w:w="720" w:type="dxa"/>
            <w:vAlign w:val="bottom"/>
          </w:tcPr>
          <w:p>
            <w:pPr>
              <w:jc w:val="center"/>
              <w:spacing w:after="0"/>
              <w:rPr>
                <w:sz w:val="20"/>
                <w:szCs w:val="20"/>
                <w:color w:val="auto"/>
              </w:rPr>
            </w:pPr>
            <w:r>
              <w:rPr>
                <w:rFonts w:ascii="Arial" w:cs="Arial" w:eastAsia="Arial" w:hAnsi="Arial"/>
                <w:sz w:val="13"/>
                <w:szCs w:val="13"/>
                <w:color w:val="00AF41"/>
                <w:w w:val="96"/>
              </w:rPr>
              <w:t>Dir</w:t>
            </w:r>
          </w:p>
        </w:tc>
        <w:tc>
          <w:tcPr>
            <w:tcW w:w="560" w:type="dxa"/>
            <w:vAlign w:val="bottom"/>
          </w:tcPr>
          <w:p>
            <w:pPr>
              <w:jc w:val="center"/>
              <w:spacing w:after="0"/>
              <w:rPr>
                <w:sz w:val="20"/>
                <w:szCs w:val="20"/>
                <w:color w:val="auto"/>
              </w:rPr>
            </w:pPr>
            <w:r>
              <w:rPr>
                <w:rFonts w:ascii="Arial" w:cs="Arial" w:eastAsia="Arial" w:hAnsi="Arial"/>
                <w:sz w:val="13"/>
                <w:szCs w:val="13"/>
                <w:color w:val="00AF41"/>
              </w:rPr>
              <w:t>Chair</w:t>
            </w:r>
          </w:p>
        </w:tc>
        <w:tc>
          <w:tcPr>
            <w:tcW w:w="560" w:type="dxa"/>
            <w:vAlign w:val="bottom"/>
          </w:tcPr>
          <w:p>
            <w:pPr>
              <w:jc w:val="center"/>
              <w:ind w:left="14"/>
              <w:spacing w:after="0"/>
              <w:rPr>
                <w:sz w:val="20"/>
                <w:szCs w:val="20"/>
                <w:color w:val="auto"/>
              </w:rPr>
            </w:pPr>
            <w:r>
              <w:rPr>
                <w:rFonts w:ascii="Arial" w:cs="Arial" w:eastAsia="Arial" w:hAnsi="Arial"/>
                <w:sz w:val="13"/>
                <w:szCs w:val="13"/>
                <w:color w:val="00AF41"/>
              </w:rPr>
              <w:t>Chair</w:t>
            </w:r>
          </w:p>
        </w:tc>
      </w:tr>
      <w:tr>
        <w:trPr>
          <w:trHeight w:val="176"/>
        </w:trPr>
        <w:tc>
          <w:tcPr>
            <w:tcW w:w="5240" w:type="dxa"/>
            <w:vAlign w:val="bottom"/>
          </w:tcPr>
          <w:p>
            <w:pPr>
              <w:ind w:left="80"/>
              <w:spacing w:after="0"/>
              <w:rPr>
                <w:sz w:val="20"/>
                <w:szCs w:val="20"/>
                <w:color w:val="auto"/>
              </w:rPr>
            </w:pPr>
            <w:r>
              <w:rPr>
                <w:rFonts w:ascii="Arial" w:cs="Arial" w:eastAsia="Arial" w:hAnsi="Arial"/>
                <w:sz w:val="13"/>
                <w:szCs w:val="13"/>
                <w:i w:val="1"/>
                <w:iCs w:val="1"/>
                <w:color w:val="00AF41"/>
              </w:rPr>
              <w:t>on current and future Company priorities/needs)</w:t>
            </w:r>
          </w:p>
        </w:tc>
        <w:tc>
          <w:tcPr>
            <w:tcW w:w="660" w:type="dxa"/>
            <w:vAlign w:val="bottom"/>
          </w:tcPr>
          <w:p>
            <w:pPr>
              <w:jc w:val="center"/>
              <w:ind w:left="33"/>
              <w:spacing w:after="0"/>
              <w:rPr>
                <w:sz w:val="20"/>
                <w:szCs w:val="20"/>
                <w:color w:val="auto"/>
              </w:rPr>
            </w:pPr>
            <w:r>
              <w:rPr>
                <w:rFonts w:ascii="Arial" w:cs="Arial" w:eastAsia="Arial" w:hAnsi="Arial"/>
                <w:sz w:val="13"/>
                <w:szCs w:val="13"/>
                <w:color w:val="00AF41"/>
              </w:rPr>
              <w:t>Parfet</w:t>
            </w:r>
          </w:p>
        </w:tc>
        <w:tc>
          <w:tcPr>
            <w:tcW w:w="640" w:type="dxa"/>
            <w:vAlign w:val="bottom"/>
          </w:tcPr>
          <w:p>
            <w:pPr>
              <w:jc w:val="center"/>
              <w:spacing w:after="0"/>
              <w:rPr>
                <w:sz w:val="20"/>
                <w:szCs w:val="20"/>
                <w:color w:val="auto"/>
              </w:rPr>
            </w:pPr>
            <w:r>
              <w:rPr>
                <w:rFonts w:ascii="Arial" w:cs="Arial" w:eastAsia="Arial" w:hAnsi="Arial"/>
                <w:sz w:val="13"/>
                <w:szCs w:val="13"/>
                <w:color w:val="00AF41"/>
                <w:w w:val="99"/>
              </w:rPr>
              <w:t>Quigley</w:t>
            </w:r>
          </w:p>
        </w:tc>
        <w:tc>
          <w:tcPr>
            <w:tcW w:w="620" w:type="dxa"/>
            <w:vAlign w:val="bottom"/>
          </w:tcPr>
          <w:p>
            <w:pPr>
              <w:jc w:val="center"/>
              <w:spacing w:after="0"/>
              <w:rPr>
                <w:sz w:val="20"/>
                <w:szCs w:val="20"/>
                <w:color w:val="auto"/>
              </w:rPr>
            </w:pPr>
            <w:r>
              <w:rPr>
                <w:rFonts w:ascii="Arial" w:cs="Arial" w:eastAsia="Arial" w:hAnsi="Arial"/>
                <w:sz w:val="13"/>
                <w:szCs w:val="13"/>
                <w:color w:val="00AF41"/>
              </w:rPr>
              <w:t>Adolph</w:t>
            </w:r>
          </w:p>
        </w:tc>
        <w:tc>
          <w:tcPr>
            <w:tcW w:w="640" w:type="dxa"/>
            <w:vAlign w:val="bottom"/>
          </w:tcPr>
          <w:p>
            <w:pPr>
              <w:jc w:val="center"/>
              <w:spacing w:after="0"/>
              <w:rPr>
                <w:sz w:val="20"/>
                <w:szCs w:val="20"/>
                <w:color w:val="auto"/>
              </w:rPr>
            </w:pPr>
            <w:r>
              <w:rPr>
                <w:rFonts w:ascii="Arial" w:cs="Arial" w:eastAsia="Arial" w:hAnsi="Arial"/>
                <w:sz w:val="13"/>
                <w:szCs w:val="13"/>
                <w:color w:val="00AF41"/>
              </w:rPr>
              <w:t>Corona</w:t>
            </w:r>
          </w:p>
        </w:tc>
        <w:tc>
          <w:tcPr>
            <w:tcW w:w="620" w:type="dxa"/>
            <w:vAlign w:val="bottom"/>
          </w:tcPr>
          <w:p>
            <w:pPr>
              <w:jc w:val="center"/>
              <w:spacing w:after="0"/>
              <w:rPr>
                <w:sz w:val="20"/>
                <w:szCs w:val="20"/>
                <w:color w:val="auto"/>
              </w:rPr>
            </w:pPr>
            <w:r>
              <w:rPr>
                <w:rFonts w:ascii="Arial" w:cs="Arial" w:eastAsia="Arial" w:hAnsi="Arial"/>
                <w:sz w:val="13"/>
                <w:szCs w:val="13"/>
                <w:color w:val="00AF41"/>
              </w:rPr>
              <w:t>Cubbin</w:t>
            </w:r>
          </w:p>
        </w:tc>
        <w:tc>
          <w:tcPr>
            <w:tcW w:w="760" w:type="dxa"/>
            <w:vAlign w:val="bottom"/>
          </w:tcPr>
          <w:p>
            <w:pPr>
              <w:jc w:val="center"/>
              <w:spacing w:after="0"/>
              <w:rPr>
                <w:sz w:val="20"/>
                <w:szCs w:val="20"/>
                <w:color w:val="auto"/>
              </w:rPr>
            </w:pPr>
            <w:r>
              <w:rPr>
                <w:rFonts w:ascii="Arial" w:cs="Arial" w:eastAsia="Arial" w:hAnsi="Arial"/>
                <w:sz w:val="13"/>
                <w:szCs w:val="13"/>
                <w:color w:val="00AF41"/>
              </w:rPr>
              <w:t>Duggirala</w:t>
            </w:r>
          </w:p>
        </w:tc>
        <w:tc>
          <w:tcPr>
            <w:tcW w:w="720" w:type="dxa"/>
            <w:vAlign w:val="bottom"/>
          </w:tcPr>
          <w:p>
            <w:pPr>
              <w:jc w:val="center"/>
              <w:spacing w:after="0"/>
              <w:rPr>
                <w:sz w:val="20"/>
                <w:szCs w:val="20"/>
                <w:color w:val="auto"/>
              </w:rPr>
            </w:pPr>
            <w:r>
              <w:rPr>
                <w:rFonts w:ascii="Arial" w:cs="Arial" w:eastAsia="Arial" w:hAnsi="Arial"/>
                <w:sz w:val="13"/>
                <w:szCs w:val="13"/>
                <w:color w:val="00AF41"/>
              </w:rPr>
              <w:t>Johnson</w:t>
            </w:r>
          </w:p>
        </w:tc>
        <w:tc>
          <w:tcPr>
            <w:tcW w:w="560" w:type="dxa"/>
            <w:vAlign w:val="bottom"/>
          </w:tcPr>
          <w:p>
            <w:pPr>
              <w:jc w:val="center"/>
              <w:spacing w:after="0"/>
              <w:rPr>
                <w:sz w:val="20"/>
                <w:szCs w:val="20"/>
                <w:color w:val="auto"/>
              </w:rPr>
            </w:pPr>
            <w:r>
              <w:rPr>
                <w:rFonts w:ascii="Arial" w:cs="Arial" w:eastAsia="Arial" w:hAnsi="Arial"/>
                <w:sz w:val="13"/>
                <w:szCs w:val="13"/>
                <w:color w:val="00AF41"/>
              </w:rPr>
              <w:t>Larkin</w:t>
            </w:r>
          </w:p>
        </w:tc>
        <w:tc>
          <w:tcPr>
            <w:tcW w:w="560" w:type="dxa"/>
            <w:vAlign w:val="bottom"/>
          </w:tcPr>
          <w:p>
            <w:pPr>
              <w:jc w:val="center"/>
              <w:ind w:left="14"/>
              <w:spacing w:after="0"/>
              <w:rPr>
                <w:sz w:val="20"/>
                <w:szCs w:val="20"/>
                <w:color w:val="auto"/>
              </w:rPr>
            </w:pPr>
            <w:r>
              <w:rPr>
                <w:rFonts w:ascii="Arial" w:cs="Arial" w:eastAsia="Arial" w:hAnsi="Arial"/>
                <w:sz w:val="13"/>
                <w:szCs w:val="13"/>
                <w:color w:val="00AF41"/>
              </w:rPr>
              <w:t>Murphy</w:t>
            </w:r>
          </w:p>
        </w:tc>
      </w:tr>
      <w:tr>
        <w:trPr>
          <w:trHeight w:val="39"/>
        </w:trPr>
        <w:tc>
          <w:tcPr>
            <w:tcW w:w="52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43"/>
        </w:trPr>
        <w:tc>
          <w:tcPr>
            <w:tcW w:w="524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color w:val="auto"/>
              </w:rPr>
              <w:t>Executive Leadership</w:t>
            </w:r>
          </w:p>
        </w:tc>
        <w:tc>
          <w:tcPr>
            <w:tcW w:w="660" w:type="dxa"/>
            <w:vAlign w:val="bottom"/>
            <w:tcBorders>
              <w:bottom w:val="single" w:sz="8" w:color="EDEDED"/>
            </w:tcBorders>
            <w:shd w:val="clear" w:color="auto" w:fill="EDEDED"/>
          </w:tcPr>
          <w:p>
            <w:pPr>
              <w:jc w:val="center"/>
              <w:ind w:left="3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w w:val="75"/>
              </w:rPr>
              <w:t>●</w:t>
            </w:r>
          </w:p>
        </w:tc>
        <w:tc>
          <w:tcPr>
            <w:tcW w:w="76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EDEDED"/>
            </w:tcBorders>
            <w:shd w:val="clear" w:color="auto" w:fill="EDEDED"/>
          </w:tcPr>
          <w:p>
            <w:pPr>
              <w:jc w:val="center"/>
              <w:ind w:left="14"/>
              <w:spacing w:after="0"/>
              <w:rPr>
                <w:sz w:val="20"/>
                <w:szCs w:val="20"/>
                <w:color w:val="auto"/>
              </w:rPr>
            </w:pPr>
            <w:r>
              <w:rPr>
                <w:rFonts w:ascii="Times New Roman" w:cs="Times New Roman" w:eastAsia="Times New Roman" w:hAnsi="Times New Roman"/>
                <w:sz w:val="13"/>
                <w:szCs w:val="13"/>
                <w:color w:val="auto"/>
              </w:rPr>
              <w:t>●</w:t>
            </w:r>
          </w:p>
        </w:tc>
      </w:tr>
      <w:tr>
        <w:trPr>
          <w:trHeight w:val="228"/>
        </w:trPr>
        <w:tc>
          <w:tcPr>
            <w:tcW w:w="5240" w:type="dxa"/>
            <w:vAlign w:val="bottom"/>
          </w:tcPr>
          <w:p>
            <w:pPr>
              <w:ind w:left="80"/>
              <w:spacing w:after="0"/>
              <w:rPr>
                <w:sz w:val="20"/>
                <w:szCs w:val="20"/>
                <w:color w:val="auto"/>
              </w:rPr>
            </w:pPr>
            <w:r>
              <w:rPr>
                <w:rFonts w:ascii="Arial" w:cs="Arial" w:eastAsia="Arial" w:hAnsi="Arial"/>
                <w:sz w:val="16"/>
                <w:szCs w:val="16"/>
                <w:color w:val="auto"/>
              </w:rPr>
              <w:t>Transformations</w:t>
            </w:r>
          </w:p>
        </w:tc>
        <w:tc>
          <w:tcPr>
            <w:tcW w:w="660" w:type="dxa"/>
            <w:vAlign w:val="bottom"/>
          </w:tcPr>
          <w:p>
            <w:pPr>
              <w:jc w:val="center"/>
              <w:ind w:left="3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75"/>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w:t>
            </w:r>
          </w:p>
        </w:tc>
      </w:tr>
      <w:tr>
        <w:trPr>
          <w:trHeight w:val="56"/>
        </w:trPr>
        <w:tc>
          <w:tcPr>
            <w:tcW w:w="5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263"/>
        </w:trPr>
        <w:tc>
          <w:tcPr>
            <w:tcW w:w="524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color w:val="auto"/>
              </w:rPr>
              <w:t>Innovation</w:t>
            </w:r>
          </w:p>
        </w:tc>
        <w:tc>
          <w:tcPr>
            <w:tcW w:w="660" w:type="dxa"/>
            <w:vAlign w:val="bottom"/>
            <w:tcBorders>
              <w:bottom w:val="single" w:sz="8" w:color="EDEDED"/>
            </w:tcBorders>
            <w:shd w:val="clear" w:color="auto" w:fill="EDEDED"/>
          </w:tcPr>
          <w:p>
            <w:pPr>
              <w:jc w:val="center"/>
              <w:ind w:left="3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w w:val="75"/>
              </w:rPr>
              <w:t>●</w:t>
            </w:r>
          </w:p>
        </w:tc>
        <w:tc>
          <w:tcPr>
            <w:tcW w:w="76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EDEDED"/>
            </w:tcBorders>
            <w:shd w:val="clear" w:color="auto" w:fill="EDEDED"/>
          </w:tcPr>
          <w:p>
            <w:pPr>
              <w:spacing w:after="0"/>
              <w:rPr>
                <w:sz w:val="22"/>
                <w:szCs w:val="22"/>
                <w:color w:val="auto"/>
              </w:rPr>
            </w:pPr>
          </w:p>
        </w:tc>
        <w:tc>
          <w:tcPr>
            <w:tcW w:w="560" w:type="dxa"/>
            <w:vAlign w:val="bottom"/>
            <w:tcBorders>
              <w:bottom w:val="single" w:sz="8" w:color="EDEDED"/>
            </w:tcBorders>
            <w:shd w:val="clear" w:color="auto" w:fill="EDEDED"/>
          </w:tcPr>
          <w:p>
            <w:pPr>
              <w:spacing w:after="0"/>
              <w:rPr>
                <w:sz w:val="22"/>
                <w:szCs w:val="22"/>
                <w:color w:val="auto"/>
              </w:rPr>
            </w:pPr>
          </w:p>
        </w:tc>
      </w:tr>
      <w:tr>
        <w:trPr>
          <w:trHeight w:val="227"/>
        </w:trPr>
        <w:tc>
          <w:tcPr>
            <w:tcW w:w="5240" w:type="dxa"/>
            <w:vAlign w:val="bottom"/>
          </w:tcPr>
          <w:p>
            <w:pPr>
              <w:ind w:left="80"/>
              <w:spacing w:after="0"/>
              <w:rPr>
                <w:sz w:val="20"/>
                <w:szCs w:val="20"/>
                <w:color w:val="auto"/>
              </w:rPr>
            </w:pPr>
            <w:r>
              <w:rPr>
                <w:rFonts w:ascii="Arial" w:cs="Arial" w:eastAsia="Arial" w:hAnsi="Arial"/>
                <w:sz w:val="16"/>
                <w:szCs w:val="16"/>
                <w:color w:val="auto"/>
              </w:rPr>
              <w:t>Industry</w:t>
            </w:r>
          </w:p>
        </w:tc>
        <w:tc>
          <w:tcPr>
            <w:tcW w:w="660" w:type="dxa"/>
            <w:vAlign w:val="bottom"/>
          </w:tcPr>
          <w:p>
            <w:pPr>
              <w:jc w:val="center"/>
              <w:ind w:left="3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75"/>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9"/>
                <w:szCs w:val="19"/>
                <w:color w:val="auto"/>
              </w:rPr>
            </w:pPr>
          </w:p>
        </w:tc>
        <w:tc>
          <w:tcPr>
            <w:tcW w:w="5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w:t>
            </w:r>
          </w:p>
        </w:tc>
      </w:tr>
      <w:tr>
        <w:trPr>
          <w:trHeight w:val="56"/>
        </w:trPr>
        <w:tc>
          <w:tcPr>
            <w:tcW w:w="5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263"/>
        </w:trPr>
        <w:tc>
          <w:tcPr>
            <w:tcW w:w="524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color w:val="auto"/>
              </w:rPr>
              <w:t>Technology, Digitization, and Cybersecurity</w:t>
            </w:r>
          </w:p>
        </w:tc>
        <w:tc>
          <w:tcPr>
            <w:tcW w:w="660" w:type="dxa"/>
            <w:vAlign w:val="bottom"/>
            <w:tcBorders>
              <w:bottom w:val="single" w:sz="8" w:color="EDEDED"/>
            </w:tcBorders>
            <w:shd w:val="clear" w:color="auto" w:fill="EDEDED"/>
          </w:tcPr>
          <w:p>
            <w:pPr>
              <w:spacing w:after="0"/>
              <w:rPr>
                <w:sz w:val="22"/>
                <w:szCs w:val="22"/>
                <w:color w:val="auto"/>
              </w:rPr>
            </w:pPr>
          </w:p>
        </w:tc>
        <w:tc>
          <w:tcPr>
            <w:tcW w:w="64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EDEDED"/>
            </w:tcBorders>
            <w:shd w:val="clear" w:color="auto" w:fill="EDEDED"/>
          </w:tcPr>
          <w:p>
            <w:pPr>
              <w:spacing w:after="0"/>
              <w:rPr>
                <w:sz w:val="22"/>
                <w:szCs w:val="22"/>
                <w:color w:val="auto"/>
              </w:rPr>
            </w:pPr>
          </w:p>
        </w:tc>
        <w:tc>
          <w:tcPr>
            <w:tcW w:w="76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EDEDED"/>
            </w:tcBorders>
            <w:shd w:val="clear" w:color="auto" w:fill="EDEDED"/>
          </w:tcPr>
          <w:p>
            <w:pPr>
              <w:spacing w:after="0"/>
              <w:rPr>
                <w:sz w:val="22"/>
                <w:szCs w:val="22"/>
                <w:color w:val="auto"/>
              </w:rPr>
            </w:pPr>
          </w:p>
        </w:tc>
        <w:tc>
          <w:tcPr>
            <w:tcW w:w="560" w:type="dxa"/>
            <w:vAlign w:val="bottom"/>
            <w:tcBorders>
              <w:bottom w:val="single" w:sz="8" w:color="EDEDED"/>
            </w:tcBorders>
            <w:shd w:val="clear" w:color="auto" w:fill="EDEDED"/>
          </w:tcPr>
          <w:p>
            <w:pPr>
              <w:jc w:val="center"/>
              <w:ind w:left="14"/>
              <w:spacing w:after="0"/>
              <w:rPr>
                <w:sz w:val="20"/>
                <w:szCs w:val="20"/>
                <w:color w:val="auto"/>
              </w:rPr>
            </w:pPr>
            <w:r>
              <w:rPr>
                <w:rFonts w:ascii="Times New Roman" w:cs="Times New Roman" w:eastAsia="Times New Roman" w:hAnsi="Times New Roman"/>
                <w:sz w:val="13"/>
                <w:szCs w:val="13"/>
                <w:color w:val="auto"/>
              </w:rPr>
              <w:t>●</w:t>
            </w:r>
          </w:p>
        </w:tc>
      </w:tr>
      <w:tr>
        <w:trPr>
          <w:trHeight w:val="228"/>
        </w:trPr>
        <w:tc>
          <w:tcPr>
            <w:tcW w:w="5240" w:type="dxa"/>
            <w:vAlign w:val="bottom"/>
          </w:tcPr>
          <w:p>
            <w:pPr>
              <w:ind w:left="80"/>
              <w:spacing w:after="0"/>
              <w:rPr>
                <w:sz w:val="20"/>
                <w:szCs w:val="20"/>
                <w:color w:val="auto"/>
              </w:rPr>
            </w:pPr>
            <w:r>
              <w:rPr>
                <w:rFonts w:ascii="Arial" w:cs="Arial" w:eastAsia="Arial" w:hAnsi="Arial"/>
                <w:sz w:val="16"/>
                <w:szCs w:val="16"/>
                <w:color w:val="auto"/>
              </w:rPr>
              <w:t>Financial Acumen</w:t>
            </w:r>
          </w:p>
        </w:tc>
        <w:tc>
          <w:tcPr>
            <w:tcW w:w="660" w:type="dxa"/>
            <w:vAlign w:val="bottom"/>
          </w:tcPr>
          <w:p>
            <w:pPr>
              <w:jc w:val="center"/>
              <w:ind w:left="3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75"/>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w:t>
            </w:r>
          </w:p>
        </w:tc>
      </w:tr>
      <w:tr>
        <w:trPr>
          <w:trHeight w:val="56"/>
        </w:trPr>
        <w:tc>
          <w:tcPr>
            <w:tcW w:w="5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263"/>
        </w:trPr>
        <w:tc>
          <w:tcPr>
            <w:tcW w:w="524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color w:val="auto"/>
              </w:rPr>
              <w:t>Financial Expert</w:t>
            </w:r>
          </w:p>
        </w:tc>
        <w:tc>
          <w:tcPr>
            <w:tcW w:w="660" w:type="dxa"/>
            <w:vAlign w:val="bottom"/>
            <w:tcBorders>
              <w:bottom w:val="single" w:sz="8" w:color="EDEDED"/>
            </w:tcBorders>
            <w:shd w:val="clear" w:color="auto" w:fill="EDEDED"/>
          </w:tcPr>
          <w:p>
            <w:pPr>
              <w:spacing w:after="0"/>
              <w:rPr>
                <w:sz w:val="22"/>
                <w:szCs w:val="22"/>
                <w:color w:val="auto"/>
              </w:rPr>
            </w:pPr>
          </w:p>
        </w:tc>
        <w:tc>
          <w:tcPr>
            <w:tcW w:w="640" w:type="dxa"/>
            <w:vAlign w:val="bottom"/>
            <w:tcBorders>
              <w:bottom w:val="single" w:sz="8" w:color="EDEDED"/>
            </w:tcBorders>
            <w:shd w:val="clear" w:color="auto" w:fill="EDEDED"/>
          </w:tcPr>
          <w:p>
            <w:pPr>
              <w:spacing w:after="0"/>
              <w:rPr>
                <w:sz w:val="22"/>
                <w:szCs w:val="22"/>
                <w:color w:val="auto"/>
              </w:rPr>
            </w:pPr>
          </w:p>
        </w:tc>
        <w:tc>
          <w:tcPr>
            <w:tcW w:w="620" w:type="dxa"/>
            <w:vAlign w:val="bottom"/>
            <w:tcBorders>
              <w:bottom w:val="single" w:sz="8" w:color="EDEDED"/>
            </w:tcBorders>
            <w:shd w:val="clear" w:color="auto" w:fill="EDEDED"/>
          </w:tcPr>
          <w:p>
            <w:pPr>
              <w:spacing w:after="0"/>
              <w:rPr>
                <w:sz w:val="22"/>
                <w:szCs w:val="22"/>
                <w:color w:val="auto"/>
              </w:rPr>
            </w:pPr>
          </w:p>
        </w:tc>
        <w:tc>
          <w:tcPr>
            <w:tcW w:w="640" w:type="dxa"/>
            <w:vAlign w:val="bottom"/>
            <w:tcBorders>
              <w:bottom w:val="single" w:sz="8" w:color="EDEDED"/>
            </w:tcBorders>
            <w:shd w:val="clear" w:color="auto" w:fill="EDEDED"/>
          </w:tcPr>
          <w:p>
            <w:pPr>
              <w:spacing w:after="0"/>
              <w:rPr>
                <w:sz w:val="22"/>
                <w:szCs w:val="22"/>
                <w:color w:val="auto"/>
              </w:rPr>
            </w:pPr>
          </w:p>
        </w:tc>
        <w:tc>
          <w:tcPr>
            <w:tcW w:w="62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w w:val="75"/>
              </w:rPr>
              <w:t>●</w:t>
            </w:r>
          </w:p>
        </w:tc>
        <w:tc>
          <w:tcPr>
            <w:tcW w:w="760" w:type="dxa"/>
            <w:vAlign w:val="bottom"/>
            <w:tcBorders>
              <w:bottom w:val="single" w:sz="8" w:color="EDEDED"/>
            </w:tcBorders>
            <w:shd w:val="clear" w:color="auto" w:fill="EDEDED"/>
          </w:tcPr>
          <w:p>
            <w:pPr>
              <w:spacing w:after="0"/>
              <w:rPr>
                <w:sz w:val="22"/>
                <w:szCs w:val="22"/>
                <w:color w:val="auto"/>
              </w:rPr>
            </w:pPr>
          </w:p>
        </w:tc>
        <w:tc>
          <w:tcPr>
            <w:tcW w:w="720" w:type="dxa"/>
            <w:vAlign w:val="bottom"/>
            <w:tcBorders>
              <w:bottom w:val="single" w:sz="8" w:color="EDEDED"/>
            </w:tcBorders>
            <w:shd w:val="clear" w:color="auto" w:fill="EDEDED"/>
          </w:tcPr>
          <w:p>
            <w:pPr>
              <w:spacing w:after="0"/>
              <w:rPr>
                <w:sz w:val="22"/>
                <w:szCs w:val="22"/>
                <w:color w:val="auto"/>
              </w:rPr>
            </w:pPr>
          </w:p>
        </w:tc>
        <w:tc>
          <w:tcPr>
            <w:tcW w:w="560" w:type="dxa"/>
            <w:vAlign w:val="bottom"/>
            <w:tcBorders>
              <w:bottom w:val="single" w:sz="8" w:color="EDEDED"/>
            </w:tcBorders>
            <w:shd w:val="clear" w:color="auto" w:fill="EDEDED"/>
          </w:tcPr>
          <w:p>
            <w:pPr>
              <w:spacing w:after="0"/>
              <w:rPr>
                <w:sz w:val="22"/>
                <w:szCs w:val="22"/>
                <w:color w:val="auto"/>
              </w:rPr>
            </w:pPr>
          </w:p>
        </w:tc>
        <w:tc>
          <w:tcPr>
            <w:tcW w:w="560" w:type="dxa"/>
            <w:vAlign w:val="bottom"/>
            <w:tcBorders>
              <w:bottom w:val="single" w:sz="8" w:color="EDEDED"/>
            </w:tcBorders>
            <w:shd w:val="clear" w:color="auto" w:fill="EDEDED"/>
          </w:tcPr>
          <w:p>
            <w:pPr>
              <w:jc w:val="center"/>
              <w:ind w:left="14"/>
              <w:spacing w:after="0"/>
              <w:rPr>
                <w:sz w:val="20"/>
                <w:szCs w:val="20"/>
                <w:color w:val="auto"/>
              </w:rPr>
            </w:pPr>
            <w:r>
              <w:rPr>
                <w:rFonts w:ascii="Times New Roman" w:cs="Times New Roman" w:eastAsia="Times New Roman" w:hAnsi="Times New Roman"/>
                <w:sz w:val="13"/>
                <w:szCs w:val="13"/>
                <w:color w:val="auto"/>
              </w:rPr>
              <w:t>●</w:t>
            </w:r>
          </w:p>
        </w:tc>
      </w:tr>
      <w:tr>
        <w:trPr>
          <w:trHeight w:val="228"/>
        </w:trPr>
        <w:tc>
          <w:tcPr>
            <w:tcW w:w="5240" w:type="dxa"/>
            <w:vAlign w:val="bottom"/>
          </w:tcPr>
          <w:p>
            <w:pPr>
              <w:ind w:left="80"/>
              <w:spacing w:after="0"/>
              <w:rPr>
                <w:sz w:val="20"/>
                <w:szCs w:val="20"/>
                <w:color w:val="auto"/>
              </w:rPr>
            </w:pPr>
            <w:r>
              <w:rPr>
                <w:rFonts w:ascii="Arial" w:cs="Arial" w:eastAsia="Arial" w:hAnsi="Arial"/>
                <w:sz w:val="16"/>
                <w:szCs w:val="16"/>
                <w:color w:val="auto"/>
              </w:rPr>
              <w:t>Risk Management</w:t>
            </w:r>
          </w:p>
        </w:tc>
        <w:tc>
          <w:tcPr>
            <w:tcW w:w="66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75"/>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w:t>
            </w:r>
          </w:p>
        </w:tc>
      </w:tr>
      <w:tr>
        <w:trPr>
          <w:trHeight w:val="56"/>
        </w:trPr>
        <w:tc>
          <w:tcPr>
            <w:tcW w:w="5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263"/>
        </w:trPr>
        <w:tc>
          <w:tcPr>
            <w:tcW w:w="524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color w:val="auto"/>
              </w:rPr>
              <w:t>Legal or Corporate Governance</w:t>
            </w:r>
          </w:p>
        </w:tc>
        <w:tc>
          <w:tcPr>
            <w:tcW w:w="660" w:type="dxa"/>
            <w:vAlign w:val="bottom"/>
            <w:tcBorders>
              <w:bottom w:val="single" w:sz="8" w:color="EDEDED"/>
            </w:tcBorders>
            <w:shd w:val="clear" w:color="auto" w:fill="EDEDED"/>
          </w:tcPr>
          <w:p>
            <w:pPr>
              <w:jc w:val="center"/>
              <w:ind w:left="3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EDEDED"/>
            </w:tcBorders>
            <w:shd w:val="clear" w:color="auto" w:fill="EDEDED"/>
          </w:tcPr>
          <w:p>
            <w:pPr>
              <w:spacing w:after="0"/>
              <w:rPr>
                <w:sz w:val="22"/>
                <w:szCs w:val="22"/>
                <w:color w:val="auto"/>
              </w:rPr>
            </w:pPr>
          </w:p>
        </w:tc>
        <w:tc>
          <w:tcPr>
            <w:tcW w:w="62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w w:val="75"/>
              </w:rPr>
              <w:t>●</w:t>
            </w:r>
          </w:p>
        </w:tc>
        <w:tc>
          <w:tcPr>
            <w:tcW w:w="76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EDEDED"/>
            </w:tcBorders>
            <w:shd w:val="clear" w:color="auto" w:fill="EDEDED"/>
          </w:tcPr>
          <w:p>
            <w:pPr>
              <w:spacing w:after="0"/>
              <w:rPr>
                <w:sz w:val="22"/>
                <w:szCs w:val="22"/>
                <w:color w:val="auto"/>
              </w:rPr>
            </w:pPr>
          </w:p>
        </w:tc>
        <w:tc>
          <w:tcPr>
            <w:tcW w:w="56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EDEDED"/>
            </w:tcBorders>
            <w:shd w:val="clear" w:color="auto" w:fill="EDEDED"/>
          </w:tcPr>
          <w:p>
            <w:pPr>
              <w:jc w:val="center"/>
              <w:ind w:left="14"/>
              <w:spacing w:after="0"/>
              <w:rPr>
                <w:sz w:val="20"/>
                <w:szCs w:val="20"/>
                <w:color w:val="auto"/>
              </w:rPr>
            </w:pPr>
            <w:r>
              <w:rPr>
                <w:rFonts w:ascii="Times New Roman" w:cs="Times New Roman" w:eastAsia="Times New Roman" w:hAnsi="Times New Roman"/>
                <w:sz w:val="13"/>
                <w:szCs w:val="13"/>
                <w:color w:val="auto"/>
              </w:rPr>
              <w:t>●</w:t>
            </w:r>
          </w:p>
        </w:tc>
      </w:tr>
      <w:tr>
        <w:trPr>
          <w:trHeight w:val="227"/>
        </w:trPr>
        <w:tc>
          <w:tcPr>
            <w:tcW w:w="5240" w:type="dxa"/>
            <w:vAlign w:val="bottom"/>
          </w:tcPr>
          <w:p>
            <w:pPr>
              <w:ind w:left="80"/>
              <w:spacing w:after="0"/>
              <w:rPr>
                <w:sz w:val="20"/>
                <w:szCs w:val="20"/>
                <w:color w:val="auto"/>
              </w:rPr>
            </w:pPr>
            <w:r>
              <w:rPr>
                <w:rFonts w:ascii="Arial" w:cs="Arial" w:eastAsia="Arial" w:hAnsi="Arial"/>
                <w:sz w:val="16"/>
                <w:szCs w:val="16"/>
                <w:color w:val="auto"/>
              </w:rPr>
              <w:t>ESG &amp; Sustainability</w:t>
            </w:r>
          </w:p>
        </w:tc>
        <w:tc>
          <w:tcPr>
            <w:tcW w:w="66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56"/>
        </w:trPr>
        <w:tc>
          <w:tcPr>
            <w:tcW w:w="5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263"/>
        </w:trPr>
        <w:tc>
          <w:tcPr>
            <w:tcW w:w="524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color w:val="auto"/>
              </w:rPr>
              <w:t>Mergers &amp; Acquisitions</w:t>
            </w:r>
          </w:p>
        </w:tc>
        <w:tc>
          <w:tcPr>
            <w:tcW w:w="660" w:type="dxa"/>
            <w:vAlign w:val="bottom"/>
            <w:tcBorders>
              <w:bottom w:val="single" w:sz="8" w:color="EDEDED"/>
            </w:tcBorders>
            <w:shd w:val="clear" w:color="auto" w:fill="EDEDED"/>
          </w:tcPr>
          <w:p>
            <w:pPr>
              <w:jc w:val="center"/>
              <w:ind w:left="3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w w:val="75"/>
              </w:rPr>
              <w:t>●</w:t>
            </w:r>
          </w:p>
        </w:tc>
        <w:tc>
          <w:tcPr>
            <w:tcW w:w="76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EDEDED"/>
            </w:tcBorders>
            <w:shd w:val="clear" w:color="auto" w:fill="EDEDED"/>
          </w:tcPr>
          <w:p>
            <w:pPr>
              <w:jc w:val="center"/>
              <w:ind w:left="14"/>
              <w:spacing w:after="0"/>
              <w:rPr>
                <w:sz w:val="20"/>
                <w:szCs w:val="20"/>
                <w:color w:val="auto"/>
              </w:rPr>
            </w:pPr>
            <w:r>
              <w:rPr>
                <w:rFonts w:ascii="Times New Roman" w:cs="Times New Roman" w:eastAsia="Times New Roman" w:hAnsi="Times New Roman"/>
                <w:sz w:val="13"/>
                <w:szCs w:val="13"/>
                <w:color w:val="auto"/>
              </w:rPr>
              <w:t>●</w:t>
            </w:r>
          </w:p>
        </w:tc>
      </w:tr>
      <w:tr>
        <w:trPr>
          <w:trHeight w:val="236"/>
        </w:trPr>
        <w:tc>
          <w:tcPr>
            <w:tcW w:w="5240" w:type="dxa"/>
            <w:vAlign w:val="bottom"/>
          </w:tcPr>
          <w:p>
            <w:pPr>
              <w:ind w:left="80"/>
              <w:spacing w:after="0"/>
              <w:rPr>
                <w:sz w:val="20"/>
                <w:szCs w:val="20"/>
                <w:color w:val="auto"/>
              </w:rPr>
            </w:pPr>
            <w:r>
              <w:rPr>
                <w:rFonts w:ascii="Arial" w:cs="Arial" w:eastAsia="Arial" w:hAnsi="Arial"/>
                <w:sz w:val="16"/>
                <w:szCs w:val="16"/>
                <w:b w:val="1"/>
                <w:bCs w:val="1"/>
                <w:color w:val="00AF41"/>
              </w:rPr>
              <w:t>Other Public Board Experience (other than Kelly)</w:t>
            </w:r>
          </w:p>
        </w:tc>
        <w:tc>
          <w:tcPr>
            <w:tcW w:w="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8"/>
        </w:trPr>
        <w:tc>
          <w:tcPr>
            <w:tcW w:w="5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264"/>
        </w:trPr>
        <w:tc>
          <w:tcPr>
            <w:tcW w:w="524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color w:val="auto"/>
              </w:rPr>
              <w:t>Audit Committee</w:t>
            </w:r>
          </w:p>
        </w:tc>
        <w:tc>
          <w:tcPr>
            <w:tcW w:w="660" w:type="dxa"/>
            <w:vAlign w:val="bottom"/>
            <w:tcBorders>
              <w:bottom w:val="single" w:sz="8" w:color="EDEDED"/>
            </w:tcBorders>
            <w:shd w:val="clear" w:color="auto" w:fill="EDEDED"/>
          </w:tcPr>
          <w:p>
            <w:pPr>
              <w:jc w:val="center"/>
              <w:ind w:left="3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EDEDED"/>
            </w:tcBorders>
            <w:shd w:val="clear" w:color="auto" w:fill="EDEDED"/>
          </w:tcPr>
          <w:p>
            <w:pPr>
              <w:spacing w:after="0"/>
              <w:rPr>
                <w:sz w:val="22"/>
                <w:szCs w:val="22"/>
                <w:color w:val="auto"/>
              </w:rPr>
            </w:pPr>
          </w:p>
        </w:tc>
        <w:tc>
          <w:tcPr>
            <w:tcW w:w="62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EDEDED"/>
            </w:tcBorders>
            <w:shd w:val="clear" w:color="auto" w:fill="EDEDED"/>
          </w:tcPr>
          <w:p>
            <w:pPr>
              <w:spacing w:after="0"/>
              <w:rPr>
                <w:sz w:val="22"/>
                <w:szCs w:val="22"/>
                <w:color w:val="auto"/>
              </w:rPr>
            </w:pPr>
          </w:p>
        </w:tc>
        <w:tc>
          <w:tcPr>
            <w:tcW w:w="62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w w:val="75"/>
              </w:rPr>
              <w:t>●</w:t>
            </w:r>
          </w:p>
        </w:tc>
        <w:tc>
          <w:tcPr>
            <w:tcW w:w="76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EDEDED"/>
            </w:tcBorders>
            <w:shd w:val="clear" w:color="auto" w:fill="EDEDED"/>
          </w:tcPr>
          <w:p>
            <w:pPr>
              <w:spacing w:after="0"/>
              <w:rPr>
                <w:sz w:val="22"/>
                <w:szCs w:val="22"/>
                <w:color w:val="auto"/>
              </w:rPr>
            </w:pPr>
          </w:p>
        </w:tc>
        <w:tc>
          <w:tcPr>
            <w:tcW w:w="560" w:type="dxa"/>
            <w:vAlign w:val="bottom"/>
            <w:tcBorders>
              <w:bottom w:val="single" w:sz="8" w:color="EDEDED"/>
            </w:tcBorders>
            <w:shd w:val="clear" w:color="auto" w:fill="EDEDED"/>
          </w:tcPr>
          <w:p>
            <w:pPr>
              <w:spacing w:after="0"/>
              <w:rPr>
                <w:sz w:val="22"/>
                <w:szCs w:val="22"/>
                <w:color w:val="auto"/>
              </w:rPr>
            </w:pPr>
          </w:p>
        </w:tc>
        <w:tc>
          <w:tcPr>
            <w:tcW w:w="560" w:type="dxa"/>
            <w:vAlign w:val="bottom"/>
            <w:tcBorders>
              <w:bottom w:val="single" w:sz="8" w:color="EDEDED"/>
            </w:tcBorders>
            <w:shd w:val="clear" w:color="auto" w:fill="EDEDED"/>
          </w:tcPr>
          <w:p>
            <w:pPr>
              <w:jc w:val="center"/>
              <w:ind w:left="14"/>
              <w:spacing w:after="0"/>
              <w:rPr>
                <w:sz w:val="20"/>
                <w:szCs w:val="20"/>
                <w:color w:val="auto"/>
              </w:rPr>
            </w:pPr>
            <w:r>
              <w:rPr>
                <w:rFonts w:ascii="Times New Roman" w:cs="Times New Roman" w:eastAsia="Times New Roman" w:hAnsi="Times New Roman"/>
                <w:sz w:val="13"/>
                <w:szCs w:val="13"/>
                <w:color w:val="auto"/>
              </w:rPr>
              <w:t>●</w:t>
            </w:r>
          </w:p>
        </w:tc>
      </w:tr>
      <w:tr>
        <w:trPr>
          <w:trHeight w:val="227"/>
        </w:trPr>
        <w:tc>
          <w:tcPr>
            <w:tcW w:w="5240" w:type="dxa"/>
            <w:vAlign w:val="bottom"/>
          </w:tcPr>
          <w:p>
            <w:pPr>
              <w:ind w:left="80"/>
              <w:spacing w:after="0"/>
              <w:rPr>
                <w:sz w:val="20"/>
                <w:szCs w:val="20"/>
                <w:color w:val="auto"/>
              </w:rPr>
            </w:pPr>
            <w:r>
              <w:rPr>
                <w:rFonts w:ascii="Arial" w:cs="Arial" w:eastAsia="Arial" w:hAnsi="Arial"/>
                <w:sz w:val="16"/>
                <w:szCs w:val="16"/>
                <w:color w:val="auto"/>
              </w:rPr>
              <w:t>Compensation Committee</w:t>
            </w:r>
          </w:p>
        </w:tc>
        <w:tc>
          <w:tcPr>
            <w:tcW w:w="660" w:type="dxa"/>
            <w:vAlign w:val="bottom"/>
          </w:tcPr>
          <w:p>
            <w:pPr>
              <w:jc w:val="center"/>
              <w:ind w:left="3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75"/>
              </w:rPr>
              <w:t>●</w:t>
            </w: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w:t>
            </w:r>
          </w:p>
        </w:tc>
      </w:tr>
      <w:tr>
        <w:trPr>
          <w:trHeight w:val="56"/>
        </w:trPr>
        <w:tc>
          <w:tcPr>
            <w:tcW w:w="5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263"/>
        </w:trPr>
        <w:tc>
          <w:tcPr>
            <w:tcW w:w="524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color w:val="auto"/>
              </w:rPr>
              <w:t>Governance &amp; Nominating Committee</w:t>
            </w:r>
          </w:p>
        </w:tc>
        <w:tc>
          <w:tcPr>
            <w:tcW w:w="660" w:type="dxa"/>
            <w:vAlign w:val="bottom"/>
            <w:tcBorders>
              <w:bottom w:val="single" w:sz="8" w:color="EDEDED"/>
            </w:tcBorders>
            <w:shd w:val="clear" w:color="auto" w:fill="EDEDED"/>
          </w:tcPr>
          <w:p>
            <w:pPr>
              <w:jc w:val="center"/>
              <w:ind w:left="3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EDEDED"/>
            </w:tcBorders>
            <w:shd w:val="clear" w:color="auto" w:fill="EDEDED"/>
          </w:tcPr>
          <w:p>
            <w:pPr>
              <w:spacing w:after="0"/>
              <w:rPr>
                <w:sz w:val="22"/>
                <w:szCs w:val="22"/>
                <w:color w:val="auto"/>
              </w:rPr>
            </w:pPr>
          </w:p>
        </w:tc>
        <w:tc>
          <w:tcPr>
            <w:tcW w:w="62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EDEDED"/>
            </w:tcBorders>
            <w:shd w:val="clear" w:color="auto" w:fill="EDEDED"/>
          </w:tcPr>
          <w:p>
            <w:pPr>
              <w:spacing w:after="0"/>
              <w:rPr>
                <w:sz w:val="22"/>
                <w:szCs w:val="22"/>
                <w:color w:val="auto"/>
              </w:rPr>
            </w:pPr>
          </w:p>
        </w:tc>
        <w:tc>
          <w:tcPr>
            <w:tcW w:w="620" w:type="dxa"/>
            <w:vAlign w:val="bottom"/>
            <w:tcBorders>
              <w:bottom w:val="single" w:sz="8" w:color="EDEDED"/>
            </w:tcBorders>
            <w:shd w:val="clear" w:color="auto" w:fill="EDEDED"/>
          </w:tcPr>
          <w:p>
            <w:pPr>
              <w:spacing w:after="0"/>
              <w:rPr>
                <w:sz w:val="22"/>
                <w:szCs w:val="22"/>
                <w:color w:val="auto"/>
              </w:rPr>
            </w:pPr>
          </w:p>
        </w:tc>
        <w:tc>
          <w:tcPr>
            <w:tcW w:w="760" w:type="dxa"/>
            <w:vAlign w:val="bottom"/>
            <w:tcBorders>
              <w:bottom w:val="single" w:sz="8" w:color="EDEDED"/>
            </w:tcBorders>
            <w:shd w:val="clear" w:color="auto" w:fill="EDEDED"/>
          </w:tcPr>
          <w:p>
            <w:pPr>
              <w:spacing w:after="0"/>
              <w:rPr>
                <w:sz w:val="22"/>
                <w:szCs w:val="22"/>
                <w:color w:val="auto"/>
              </w:rPr>
            </w:pPr>
          </w:p>
        </w:tc>
        <w:tc>
          <w:tcPr>
            <w:tcW w:w="720" w:type="dxa"/>
            <w:vAlign w:val="bottom"/>
            <w:tcBorders>
              <w:bottom w:val="single" w:sz="8" w:color="EDEDED"/>
            </w:tcBorders>
            <w:shd w:val="clear" w:color="auto" w:fill="EDEDED"/>
          </w:tcPr>
          <w:p>
            <w:pPr>
              <w:spacing w:after="0"/>
              <w:rPr>
                <w:sz w:val="22"/>
                <w:szCs w:val="22"/>
                <w:color w:val="auto"/>
              </w:rPr>
            </w:pPr>
          </w:p>
        </w:tc>
        <w:tc>
          <w:tcPr>
            <w:tcW w:w="560" w:type="dxa"/>
            <w:vAlign w:val="bottom"/>
            <w:tcBorders>
              <w:bottom w:val="single" w:sz="8" w:color="EDEDED"/>
            </w:tcBorders>
            <w:shd w:val="clear" w:color="auto" w:fill="EDEDED"/>
          </w:tcPr>
          <w:p>
            <w:pPr>
              <w:spacing w:after="0"/>
              <w:rPr>
                <w:sz w:val="22"/>
                <w:szCs w:val="22"/>
                <w:color w:val="auto"/>
              </w:rPr>
            </w:pPr>
          </w:p>
        </w:tc>
        <w:tc>
          <w:tcPr>
            <w:tcW w:w="560" w:type="dxa"/>
            <w:vAlign w:val="bottom"/>
            <w:tcBorders>
              <w:bottom w:val="single" w:sz="8" w:color="EDEDED"/>
            </w:tcBorders>
            <w:shd w:val="clear" w:color="auto" w:fill="EDEDED"/>
          </w:tcPr>
          <w:p>
            <w:pPr>
              <w:jc w:val="center"/>
              <w:ind w:left="14"/>
              <w:spacing w:after="0"/>
              <w:rPr>
                <w:sz w:val="20"/>
                <w:szCs w:val="20"/>
                <w:color w:val="auto"/>
              </w:rPr>
            </w:pPr>
            <w:r>
              <w:rPr>
                <w:rFonts w:ascii="Times New Roman" w:cs="Times New Roman" w:eastAsia="Times New Roman" w:hAnsi="Times New Roman"/>
                <w:sz w:val="13"/>
                <w:szCs w:val="13"/>
                <w:color w:val="auto"/>
              </w:rPr>
              <w:t>●</w:t>
            </w:r>
          </w:p>
        </w:tc>
      </w:tr>
      <w:tr>
        <w:trPr>
          <w:trHeight w:val="228"/>
        </w:trPr>
        <w:tc>
          <w:tcPr>
            <w:tcW w:w="5240" w:type="dxa"/>
            <w:vAlign w:val="bottom"/>
          </w:tcPr>
          <w:p>
            <w:pPr>
              <w:ind w:left="80"/>
              <w:spacing w:after="0"/>
              <w:rPr>
                <w:sz w:val="20"/>
                <w:szCs w:val="20"/>
                <w:color w:val="auto"/>
              </w:rPr>
            </w:pPr>
            <w:r>
              <w:rPr>
                <w:rFonts w:ascii="Arial" w:cs="Arial" w:eastAsia="Arial" w:hAnsi="Arial"/>
                <w:sz w:val="16"/>
                <w:szCs w:val="16"/>
                <w:color w:val="00AF41"/>
              </w:rPr>
              <w:t>Tenure and Independence</w:t>
            </w: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56"/>
        </w:trPr>
        <w:tc>
          <w:tcPr>
            <w:tcW w:w="5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263"/>
        </w:trPr>
        <w:tc>
          <w:tcPr>
            <w:tcW w:w="524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color w:val="auto"/>
              </w:rPr>
              <w:t>Board Tenure (years)</w:t>
            </w:r>
          </w:p>
        </w:tc>
        <w:tc>
          <w:tcPr>
            <w:tcW w:w="660" w:type="dxa"/>
            <w:vAlign w:val="bottom"/>
            <w:tcBorders>
              <w:bottom w:val="single" w:sz="8" w:color="EDEDED"/>
            </w:tcBorders>
            <w:shd w:val="clear" w:color="auto" w:fill="EDEDED"/>
          </w:tcPr>
          <w:p>
            <w:pPr>
              <w:jc w:val="center"/>
              <w:ind w:left="13"/>
              <w:spacing w:after="0"/>
              <w:rPr>
                <w:sz w:val="20"/>
                <w:szCs w:val="20"/>
                <w:color w:val="auto"/>
              </w:rPr>
            </w:pPr>
            <w:r>
              <w:rPr>
                <w:rFonts w:ascii="Arial" w:cs="Arial" w:eastAsia="Arial" w:hAnsi="Arial"/>
                <w:sz w:val="16"/>
                <w:szCs w:val="16"/>
                <w:color w:val="auto"/>
              </w:rPr>
              <w:t>18</w:t>
            </w:r>
          </w:p>
        </w:tc>
        <w:tc>
          <w:tcPr>
            <w:tcW w:w="64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w w:val="89"/>
              </w:rPr>
              <w:t>3</w:t>
            </w:r>
          </w:p>
        </w:tc>
        <w:tc>
          <w:tcPr>
            <w:tcW w:w="6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5</w:t>
            </w:r>
          </w:p>
        </w:tc>
        <w:tc>
          <w:tcPr>
            <w:tcW w:w="64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w w:val="89"/>
              </w:rPr>
              <w:t>5</w:t>
            </w:r>
          </w:p>
        </w:tc>
        <w:tc>
          <w:tcPr>
            <w:tcW w:w="6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8</w:t>
            </w:r>
          </w:p>
        </w:tc>
        <w:tc>
          <w:tcPr>
            <w:tcW w:w="76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w w:val="89"/>
              </w:rPr>
              <w:t>1</w:t>
            </w:r>
          </w:p>
        </w:tc>
        <w:tc>
          <w:tcPr>
            <w:tcW w:w="7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w w:val="89"/>
              </w:rPr>
              <w:t>1</w:t>
            </w:r>
          </w:p>
        </w:tc>
        <w:tc>
          <w:tcPr>
            <w:tcW w:w="56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12</w:t>
            </w:r>
          </w:p>
        </w:tc>
        <w:tc>
          <w:tcPr>
            <w:tcW w:w="560" w:type="dxa"/>
            <w:vAlign w:val="bottom"/>
            <w:tcBorders>
              <w:bottom w:val="single" w:sz="8" w:color="EDEDED"/>
            </w:tcBorders>
            <w:shd w:val="clear" w:color="auto" w:fill="EDEDED"/>
          </w:tcPr>
          <w:p>
            <w:pPr>
              <w:jc w:val="center"/>
              <w:ind w:left="34"/>
              <w:spacing w:after="0"/>
              <w:rPr>
                <w:sz w:val="20"/>
                <w:szCs w:val="20"/>
                <w:color w:val="auto"/>
              </w:rPr>
            </w:pPr>
            <w:r>
              <w:rPr>
                <w:rFonts w:ascii="Arial" w:cs="Arial" w:eastAsia="Arial" w:hAnsi="Arial"/>
                <w:sz w:val="16"/>
                <w:szCs w:val="16"/>
                <w:color w:val="auto"/>
              </w:rPr>
              <w:t>15</w:t>
            </w:r>
          </w:p>
        </w:tc>
      </w:tr>
      <w:tr>
        <w:trPr>
          <w:trHeight w:val="228"/>
        </w:trPr>
        <w:tc>
          <w:tcPr>
            <w:tcW w:w="5240" w:type="dxa"/>
            <w:vAlign w:val="bottom"/>
          </w:tcPr>
          <w:p>
            <w:pPr>
              <w:ind w:left="80"/>
              <w:spacing w:after="0"/>
              <w:rPr>
                <w:sz w:val="20"/>
                <w:szCs w:val="20"/>
                <w:color w:val="auto"/>
              </w:rPr>
            </w:pPr>
            <w:r>
              <w:rPr>
                <w:rFonts w:ascii="Arial" w:cs="Arial" w:eastAsia="Arial" w:hAnsi="Arial"/>
                <w:sz w:val="16"/>
                <w:szCs w:val="16"/>
                <w:color w:val="auto"/>
              </w:rPr>
              <w:t>Independence</w:t>
            </w:r>
          </w:p>
        </w:tc>
        <w:tc>
          <w:tcPr>
            <w:tcW w:w="660" w:type="dxa"/>
            <w:vAlign w:val="bottom"/>
          </w:tcPr>
          <w:p>
            <w:pPr>
              <w:jc w:val="center"/>
              <w:ind w:left="3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75"/>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w:t>
            </w:r>
          </w:p>
        </w:tc>
      </w:tr>
      <w:tr>
        <w:trPr>
          <w:trHeight w:val="56"/>
        </w:trPr>
        <w:tc>
          <w:tcPr>
            <w:tcW w:w="5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263"/>
        </w:trPr>
        <w:tc>
          <w:tcPr>
            <w:tcW w:w="524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color w:val="00AF41"/>
              </w:rPr>
              <w:t>Demographics</w:t>
            </w:r>
          </w:p>
        </w:tc>
        <w:tc>
          <w:tcPr>
            <w:tcW w:w="660" w:type="dxa"/>
            <w:vAlign w:val="bottom"/>
            <w:tcBorders>
              <w:bottom w:val="single" w:sz="8" w:color="EDEDED"/>
            </w:tcBorders>
            <w:shd w:val="clear" w:color="auto" w:fill="EDEDED"/>
          </w:tcPr>
          <w:p>
            <w:pPr>
              <w:spacing w:after="0"/>
              <w:rPr>
                <w:sz w:val="22"/>
                <w:szCs w:val="22"/>
                <w:color w:val="auto"/>
              </w:rPr>
            </w:pPr>
          </w:p>
        </w:tc>
        <w:tc>
          <w:tcPr>
            <w:tcW w:w="640" w:type="dxa"/>
            <w:vAlign w:val="bottom"/>
            <w:tcBorders>
              <w:bottom w:val="single" w:sz="8" w:color="EDEDED"/>
            </w:tcBorders>
            <w:shd w:val="clear" w:color="auto" w:fill="EDEDED"/>
          </w:tcPr>
          <w:p>
            <w:pPr>
              <w:spacing w:after="0"/>
              <w:rPr>
                <w:sz w:val="22"/>
                <w:szCs w:val="22"/>
                <w:color w:val="auto"/>
              </w:rPr>
            </w:pPr>
          </w:p>
        </w:tc>
        <w:tc>
          <w:tcPr>
            <w:tcW w:w="620" w:type="dxa"/>
            <w:vAlign w:val="bottom"/>
            <w:tcBorders>
              <w:bottom w:val="single" w:sz="8" w:color="EDEDED"/>
            </w:tcBorders>
            <w:shd w:val="clear" w:color="auto" w:fill="EDEDED"/>
          </w:tcPr>
          <w:p>
            <w:pPr>
              <w:spacing w:after="0"/>
              <w:rPr>
                <w:sz w:val="22"/>
                <w:szCs w:val="22"/>
                <w:color w:val="auto"/>
              </w:rPr>
            </w:pPr>
          </w:p>
        </w:tc>
        <w:tc>
          <w:tcPr>
            <w:tcW w:w="640" w:type="dxa"/>
            <w:vAlign w:val="bottom"/>
            <w:tcBorders>
              <w:bottom w:val="single" w:sz="8" w:color="EDEDED"/>
            </w:tcBorders>
            <w:shd w:val="clear" w:color="auto" w:fill="EDEDED"/>
          </w:tcPr>
          <w:p>
            <w:pPr>
              <w:spacing w:after="0"/>
              <w:rPr>
                <w:sz w:val="22"/>
                <w:szCs w:val="22"/>
                <w:color w:val="auto"/>
              </w:rPr>
            </w:pPr>
          </w:p>
        </w:tc>
        <w:tc>
          <w:tcPr>
            <w:tcW w:w="620" w:type="dxa"/>
            <w:vAlign w:val="bottom"/>
            <w:tcBorders>
              <w:bottom w:val="single" w:sz="8" w:color="EDEDED"/>
            </w:tcBorders>
            <w:shd w:val="clear" w:color="auto" w:fill="EDEDED"/>
          </w:tcPr>
          <w:p>
            <w:pPr>
              <w:spacing w:after="0"/>
              <w:rPr>
                <w:sz w:val="22"/>
                <w:szCs w:val="22"/>
                <w:color w:val="auto"/>
              </w:rPr>
            </w:pPr>
          </w:p>
        </w:tc>
        <w:tc>
          <w:tcPr>
            <w:tcW w:w="760" w:type="dxa"/>
            <w:vAlign w:val="bottom"/>
            <w:tcBorders>
              <w:bottom w:val="single" w:sz="8" w:color="EDEDED"/>
            </w:tcBorders>
            <w:shd w:val="clear" w:color="auto" w:fill="EDEDED"/>
          </w:tcPr>
          <w:p>
            <w:pPr>
              <w:spacing w:after="0"/>
              <w:rPr>
                <w:sz w:val="22"/>
                <w:szCs w:val="22"/>
                <w:color w:val="auto"/>
              </w:rPr>
            </w:pPr>
          </w:p>
        </w:tc>
        <w:tc>
          <w:tcPr>
            <w:tcW w:w="720" w:type="dxa"/>
            <w:vAlign w:val="bottom"/>
            <w:tcBorders>
              <w:bottom w:val="single" w:sz="8" w:color="EDEDED"/>
            </w:tcBorders>
            <w:shd w:val="clear" w:color="auto" w:fill="EDEDED"/>
          </w:tcPr>
          <w:p>
            <w:pPr>
              <w:spacing w:after="0"/>
              <w:rPr>
                <w:sz w:val="22"/>
                <w:szCs w:val="22"/>
                <w:color w:val="auto"/>
              </w:rPr>
            </w:pPr>
          </w:p>
        </w:tc>
        <w:tc>
          <w:tcPr>
            <w:tcW w:w="560" w:type="dxa"/>
            <w:vAlign w:val="bottom"/>
            <w:tcBorders>
              <w:bottom w:val="single" w:sz="8" w:color="EDEDED"/>
            </w:tcBorders>
            <w:shd w:val="clear" w:color="auto" w:fill="EDEDED"/>
          </w:tcPr>
          <w:p>
            <w:pPr>
              <w:spacing w:after="0"/>
              <w:rPr>
                <w:sz w:val="22"/>
                <w:szCs w:val="22"/>
                <w:color w:val="auto"/>
              </w:rPr>
            </w:pPr>
          </w:p>
        </w:tc>
        <w:tc>
          <w:tcPr>
            <w:tcW w:w="560" w:type="dxa"/>
            <w:vAlign w:val="bottom"/>
            <w:tcBorders>
              <w:bottom w:val="single" w:sz="8" w:color="EDEDED"/>
            </w:tcBorders>
            <w:shd w:val="clear" w:color="auto" w:fill="EDEDED"/>
          </w:tcPr>
          <w:p>
            <w:pPr>
              <w:spacing w:after="0"/>
              <w:rPr>
                <w:sz w:val="22"/>
                <w:szCs w:val="22"/>
                <w:color w:val="auto"/>
              </w:rPr>
            </w:pPr>
          </w:p>
        </w:tc>
      </w:tr>
      <w:tr>
        <w:trPr>
          <w:trHeight w:val="228"/>
        </w:trPr>
        <w:tc>
          <w:tcPr>
            <w:tcW w:w="5240" w:type="dxa"/>
            <w:vAlign w:val="bottom"/>
          </w:tcPr>
          <w:p>
            <w:pPr>
              <w:ind w:left="80"/>
              <w:spacing w:after="0"/>
              <w:rPr>
                <w:sz w:val="20"/>
                <w:szCs w:val="20"/>
                <w:color w:val="auto"/>
              </w:rPr>
            </w:pPr>
            <w:r>
              <w:rPr>
                <w:rFonts w:ascii="Arial" w:cs="Arial" w:eastAsia="Arial" w:hAnsi="Arial"/>
                <w:sz w:val="16"/>
                <w:szCs w:val="16"/>
                <w:color w:val="auto"/>
              </w:rPr>
              <w:t>Age</w:t>
            </w:r>
          </w:p>
        </w:tc>
        <w:tc>
          <w:tcPr>
            <w:tcW w:w="660" w:type="dxa"/>
            <w:vAlign w:val="bottom"/>
          </w:tcPr>
          <w:p>
            <w:pPr>
              <w:jc w:val="center"/>
              <w:ind w:left="13"/>
              <w:spacing w:after="0"/>
              <w:rPr>
                <w:sz w:val="20"/>
                <w:szCs w:val="20"/>
                <w:color w:val="auto"/>
              </w:rPr>
            </w:pPr>
            <w:r>
              <w:rPr>
                <w:rFonts w:ascii="Arial" w:cs="Arial" w:eastAsia="Arial" w:hAnsi="Arial"/>
                <w:sz w:val="16"/>
                <w:szCs w:val="16"/>
                <w:color w:val="auto"/>
              </w:rPr>
              <w:t>70</w:t>
            </w:r>
          </w:p>
        </w:tc>
        <w:tc>
          <w:tcPr>
            <w:tcW w:w="640" w:type="dxa"/>
            <w:vAlign w:val="bottom"/>
          </w:tcPr>
          <w:p>
            <w:pPr>
              <w:jc w:val="center"/>
              <w:spacing w:after="0"/>
              <w:rPr>
                <w:sz w:val="20"/>
                <w:szCs w:val="20"/>
                <w:color w:val="auto"/>
              </w:rPr>
            </w:pPr>
            <w:r>
              <w:rPr>
                <w:rFonts w:ascii="Arial" w:cs="Arial" w:eastAsia="Arial" w:hAnsi="Arial"/>
                <w:sz w:val="16"/>
                <w:szCs w:val="16"/>
                <w:color w:val="auto"/>
              </w:rPr>
              <w:t>61</w:t>
            </w:r>
          </w:p>
        </w:tc>
        <w:tc>
          <w:tcPr>
            <w:tcW w:w="620" w:type="dxa"/>
            <w:vAlign w:val="bottom"/>
          </w:tcPr>
          <w:p>
            <w:pPr>
              <w:jc w:val="center"/>
              <w:spacing w:after="0"/>
              <w:rPr>
                <w:sz w:val="20"/>
                <w:szCs w:val="20"/>
                <w:color w:val="auto"/>
              </w:rPr>
            </w:pPr>
            <w:r>
              <w:rPr>
                <w:rFonts w:ascii="Arial" w:cs="Arial" w:eastAsia="Arial" w:hAnsi="Arial"/>
                <w:sz w:val="16"/>
                <w:szCs w:val="16"/>
                <w:color w:val="auto"/>
              </w:rPr>
              <w:t>69</w:t>
            </w:r>
          </w:p>
        </w:tc>
        <w:tc>
          <w:tcPr>
            <w:tcW w:w="640" w:type="dxa"/>
            <w:vAlign w:val="bottom"/>
          </w:tcPr>
          <w:p>
            <w:pPr>
              <w:jc w:val="center"/>
              <w:spacing w:after="0"/>
              <w:rPr>
                <w:sz w:val="20"/>
                <w:szCs w:val="20"/>
                <w:color w:val="auto"/>
              </w:rPr>
            </w:pPr>
            <w:r>
              <w:rPr>
                <w:rFonts w:ascii="Arial" w:cs="Arial" w:eastAsia="Arial" w:hAnsi="Arial"/>
                <w:sz w:val="16"/>
                <w:szCs w:val="16"/>
                <w:color w:val="auto"/>
              </w:rPr>
              <w:t>64</w:t>
            </w:r>
          </w:p>
        </w:tc>
        <w:tc>
          <w:tcPr>
            <w:tcW w:w="620" w:type="dxa"/>
            <w:vAlign w:val="bottom"/>
          </w:tcPr>
          <w:p>
            <w:pPr>
              <w:jc w:val="center"/>
              <w:spacing w:after="0"/>
              <w:rPr>
                <w:sz w:val="20"/>
                <w:szCs w:val="20"/>
                <w:color w:val="auto"/>
              </w:rPr>
            </w:pPr>
            <w:r>
              <w:rPr>
                <w:rFonts w:ascii="Arial" w:cs="Arial" w:eastAsia="Arial" w:hAnsi="Arial"/>
                <w:sz w:val="16"/>
                <w:szCs w:val="16"/>
                <w:color w:val="auto"/>
              </w:rPr>
              <w:t>65</w:t>
            </w:r>
          </w:p>
        </w:tc>
        <w:tc>
          <w:tcPr>
            <w:tcW w:w="760" w:type="dxa"/>
            <w:vAlign w:val="bottom"/>
          </w:tcPr>
          <w:p>
            <w:pPr>
              <w:jc w:val="center"/>
              <w:spacing w:after="0"/>
              <w:rPr>
                <w:sz w:val="20"/>
                <w:szCs w:val="20"/>
                <w:color w:val="auto"/>
              </w:rPr>
            </w:pPr>
            <w:r>
              <w:rPr>
                <w:rFonts w:ascii="Arial" w:cs="Arial" w:eastAsia="Arial" w:hAnsi="Arial"/>
                <w:sz w:val="16"/>
                <w:szCs w:val="16"/>
                <w:color w:val="auto"/>
              </w:rPr>
              <w:t>48</w:t>
            </w:r>
          </w:p>
        </w:tc>
        <w:tc>
          <w:tcPr>
            <w:tcW w:w="720" w:type="dxa"/>
            <w:vAlign w:val="bottom"/>
          </w:tcPr>
          <w:p>
            <w:pPr>
              <w:jc w:val="center"/>
              <w:spacing w:after="0"/>
              <w:rPr>
                <w:sz w:val="20"/>
                <w:szCs w:val="20"/>
                <w:color w:val="auto"/>
              </w:rPr>
            </w:pPr>
            <w:r>
              <w:rPr>
                <w:rFonts w:ascii="Arial" w:cs="Arial" w:eastAsia="Arial" w:hAnsi="Arial"/>
                <w:sz w:val="16"/>
                <w:szCs w:val="16"/>
                <w:color w:val="auto"/>
              </w:rPr>
              <w:t>58</w:t>
            </w:r>
          </w:p>
        </w:tc>
        <w:tc>
          <w:tcPr>
            <w:tcW w:w="560" w:type="dxa"/>
            <w:vAlign w:val="bottom"/>
          </w:tcPr>
          <w:p>
            <w:pPr>
              <w:jc w:val="center"/>
              <w:spacing w:after="0"/>
              <w:rPr>
                <w:sz w:val="20"/>
                <w:szCs w:val="20"/>
                <w:color w:val="auto"/>
              </w:rPr>
            </w:pPr>
            <w:r>
              <w:rPr>
                <w:rFonts w:ascii="Arial" w:cs="Arial" w:eastAsia="Arial" w:hAnsi="Arial"/>
                <w:sz w:val="16"/>
                <w:szCs w:val="16"/>
                <w:color w:val="auto"/>
              </w:rPr>
              <w:t>68</w:t>
            </w:r>
          </w:p>
        </w:tc>
        <w:tc>
          <w:tcPr>
            <w:tcW w:w="560" w:type="dxa"/>
            <w:vAlign w:val="bottom"/>
          </w:tcPr>
          <w:p>
            <w:pPr>
              <w:jc w:val="center"/>
              <w:ind w:left="34"/>
              <w:spacing w:after="0"/>
              <w:rPr>
                <w:sz w:val="20"/>
                <w:szCs w:val="20"/>
                <w:color w:val="auto"/>
              </w:rPr>
            </w:pPr>
            <w:r>
              <w:rPr>
                <w:rFonts w:ascii="Arial" w:cs="Arial" w:eastAsia="Arial" w:hAnsi="Arial"/>
                <w:sz w:val="16"/>
                <w:szCs w:val="16"/>
                <w:color w:val="auto"/>
              </w:rPr>
              <w:t>71</w:t>
            </w:r>
          </w:p>
        </w:tc>
      </w:tr>
      <w:tr>
        <w:trPr>
          <w:trHeight w:val="56"/>
        </w:trPr>
        <w:tc>
          <w:tcPr>
            <w:tcW w:w="5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264"/>
        </w:trPr>
        <w:tc>
          <w:tcPr>
            <w:tcW w:w="524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color w:val="auto"/>
              </w:rPr>
              <w:t>Gender Identity</w:t>
            </w:r>
          </w:p>
        </w:tc>
        <w:tc>
          <w:tcPr>
            <w:tcW w:w="660" w:type="dxa"/>
            <w:vAlign w:val="bottom"/>
            <w:tcBorders>
              <w:bottom w:val="single" w:sz="8" w:color="EDEDED"/>
            </w:tcBorders>
            <w:shd w:val="clear" w:color="auto" w:fill="EDEDED"/>
          </w:tcPr>
          <w:p>
            <w:pPr>
              <w:jc w:val="center"/>
              <w:ind w:left="33"/>
              <w:spacing w:after="0"/>
              <w:rPr>
                <w:sz w:val="20"/>
                <w:szCs w:val="20"/>
                <w:color w:val="auto"/>
              </w:rPr>
            </w:pPr>
            <w:r>
              <w:rPr>
                <w:rFonts w:ascii="Arial" w:cs="Arial" w:eastAsia="Arial" w:hAnsi="Arial"/>
                <w:sz w:val="16"/>
                <w:szCs w:val="16"/>
                <w:color w:val="auto"/>
                <w:w w:val="89"/>
              </w:rPr>
              <w:t>M</w:t>
            </w:r>
          </w:p>
        </w:tc>
        <w:tc>
          <w:tcPr>
            <w:tcW w:w="64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w w:val="89"/>
              </w:rPr>
              <w:t>M</w:t>
            </w:r>
          </w:p>
        </w:tc>
        <w:tc>
          <w:tcPr>
            <w:tcW w:w="6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M</w:t>
            </w:r>
          </w:p>
        </w:tc>
        <w:tc>
          <w:tcPr>
            <w:tcW w:w="64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w w:val="89"/>
              </w:rPr>
              <w:t>M</w:t>
            </w:r>
          </w:p>
        </w:tc>
        <w:tc>
          <w:tcPr>
            <w:tcW w:w="6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M</w:t>
            </w:r>
          </w:p>
        </w:tc>
        <w:tc>
          <w:tcPr>
            <w:tcW w:w="76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F</w:t>
            </w:r>
          </w:p>
        </w:tc>
        <w:tc>
          <w:tcPr>
            <w:tcW w:w="7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F</w:t>
            </w:r>
          </w:p>
        </w:tc>
        <w:tc>
          <w:tcPr>
            <w:tcW w:w="56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M</w:t>
            </w:r>
          </w:p>
        </w:tc>
        <w:tc>
          <w:tcPr>
            <w:tcW w:w="560" w:type="dxa"/>
            <w:vAlign w:val="bottom"/>
            <w:tcBorders>
              <w:bottom w:val="single" w:sz="8" w:color="EDEDED"/>
            </w:tcBorders>
            <w:shd w:val="clear" w:color="auto" w:fill="EDEDED"/>
          </w:tcPr>
          <w:p>
            <w:pPr>
              <w:jc w:val="center"/>
              <w:ind w:left="34"/>
              <w:spacing w:after="0"/>
              <w:rPr>
                <w:sz w:val="20"/>
                <w:szCs w:val="20"/>
                <w:color w:val="auto"/>
              </w:rPr>
            </w:pPr>
            <w:r>
              <w:rPr>
                <w:rFonts w:ascii="Arial" w:cs="Arial" w:eastAsia="Arial" w:hAnsi="Arial"/>
                <w:sz w:val="16"/>
                <w:szCs w:val="16"/>
                <w:color w:val="auto"/>
              </w:rPr>
              <w:t>F</w:t>
            </w:r>
          </w:p>
        </w:tc>
      </w:tr>
      <w:tr>
        <w:trPr>
          <w:trHeight w:val="228"/>
        </w:trPr>
        <w:tc>
          <w:tcPr>
            <w:tcW w:w="5240" w:type="dxa"/>
            <w:vAlign w:val="bottom"/>
          </w:tcPr>
          <w:p>
            <w:pPr>
              <w:ind w:left="80"/>
              <w:spacing w:after="0"/>
              <w:rPr>
                <w:sz w:val="20"/>
                <w:szCs w:val="20"/>
                <w:color w:val="auto"/>
              </w:rPr>
            </w:pPr>
            <w:r>
              <w:rPr>
                <w:rFonts w:ascii="Arial" w:cs="Arial" w:eastAsia="Arial" w:hAnsi="Arial"/>
                <w:sz w:val="16"/>
                <w:szCs w:val="16"/>
                <w:color w:val="auto"/>
              </w:rPr>
              <w:t>African American or Black</w:t>
            </w: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56"/>
        </w:trPr>
        <w:tc>
          <w:tcPr>
            <w:tcW w:w="5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264"/>
        </w:trPr>
        <w:tc>
          <w:tcPr>
            <w:tcW w:w="524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color w:val="auto"/>
              </w:rPr>
              <w:t>Alaskan Native or American Indian</w:t>
            </w:r>
          </w:p>
        </w:tc>
        <w:tc>
          <w:tcPr>
            <w:tcW w:w="660" w:type="dxa"/>
            <w:vAlign w:val="bottom"/>
            <w:tcBorders>
              <w:bottom w:val="single" w:sz="8" w:color="EDEDED"/>
            </w:tcBorders>
            <w:shd w:val="clear" w:color="auto" w:fill="EDEDED"/>
          </w:tcPr>
          <w:p>
            <w:pPr>
              <w:spacing w:after="0"/>
              <w:rPr>
                <w:sz w:val="22"/>
                <w:szCs w:val="22"/>
                <w:color w:val="auto"/>
              </w:rPr>
            </w:pPr>
          </w:p>
        </w:tc>
        <w:tc>
          <w:tcPr>
            <w:tcW w:w="640" w:type="dxa"/>
            <w:vAlign w:val="bottom"/>
            <w:tcBorders>
              <w:bottom w:val="single" w:sz="8" w:color="EDEDED"/>
            </w:tcBorders>
            <w:shd w:val="clear" w:color="auto" w:fill="EDEDED"/>
          </w:tcPr>
          <w:p>
            <w:pPr>
              <w:spacing w:after="0"/>
              <w:rPr>
                <w:sz w:val="22"/>
                <w:szCs w:val="22"/>
                <w:color w:val="auto"/>
              </w:rPr>
            </w:pPr>
          </w:p>
        </w:tc>
        <w:tc>
          <w:tcPr>
            <w:tcW w:w="620" w:type="dxa"/>
            <w:vAlign w:val="bottom"/>
            <w:tcBorders>
              <w:bottom w:val="single" w:sz="8" w:color="EDEDED"/>
            </w:tcBorders>
            <w:shd w:val="clear" w:color="auto" w:fill="EDEDED"/>
          </w:tcPr>
          <w:p>
            <w:pPr>
              <w:spacing w:after="0"/>
              <w:rPr>
                <w:sz w:val="22"/>
                <w:szCs w:val="22"/>
                <w:color w:val="auto"/>
              </w:rPr>
            </w:pPr>
          </w:p>
        </w:tc>
        <w:tc>
          <w:tcPr>
            <w:tcW w:w="640" w:type="dxa"/>
            <w:vAlign w:val="bottom"/>
            <w:tcBorders>
              <w:bottom w:val="single" w:sz="8" w:color="EDEDED"/>
            </w:tcBorders>
            <w:shd w:val="clear" w:color="auto" w:fill="EDEDED"/>
          </w:tcPr>
          <w:p>
            <w:pPr>
              <w:spacing w:after="0"/>
              <w:rPr>
                <w:sz w:val="22"/>
                <w:szCs w:val="22"/>
                <w:color w:val="auto"/>
              </w:rPr>
            </w:pPr>
          </w:p>
        </w:tc>
        <w:tc>
          <w:tcPr>
            <w:tcW w:w="620" w:type="dxa"/>
            <w:vAlign w:val="bottom"/>
            <w:tcBorders>
              <w:bottom w:val="single" w:sz="8" w:color="EDEDED"/>
            </w:tcBorders>
            <w:shd w:val="clear" w:color="auto" w:fill="EDEDED"/>
          </w:tcPr>
          <w:p>
            <w:pPr>
              <w:spacing w:after="0"/>
              <w:rPr>
                <w:sz w:val="22"/>
                <w:szCs w:val="22"/>
                <w:color w:val="auto"/>
              </w:rPr>
            </w:pPr>
          </w:p>
        </w:tc>
        <w:tc>
          <w:tcPr>
            <w:tcW w:w="760" w:type="dxa"/>
            <w:vAlign w:val="bottom"/>
            <w:tcBorders>
              <w:bottom w:val="single" w:sz="8" w:color="EDEDED"/>
            </w:tcBorders>
            <w:shd w:val="clear" w:color="auto" w:fill="EDEDED"/>
          </w:tcPr>
          <w:p>
            <w:pPr>
              <w:spacing w:after="0"/>
              <w:rPr>
                <w:sz w:val="22"/>
                <w:szCs w:val="22"/>
                <w:color w:val="auto"/>
              </w:rPr>
            </w:pPr>
          </w:p>
        </w:tc>
        <w:tc>
          <w:tcPr>
            <w:tcW w:w="720" w:type="dxa"/>
            <w:vAlign w:val="bottom"/>
            <w:tcBorders>
              <w:bottom w:val="single" w:sz="8" w:color="EDEDED"/>
            </w:tcBorders>
            <w:shd w:val="clear" w:color="auto" w:fill="EDEDED"/>
          </w:tcPr>
          <w:p>
            <w:pPr>
              <w:spacing w:after="0"/>
              <w:rPr>
                <w:sz w:val="22"/>
                <w:szCs w:val="22"/>
                <w:color w:val="auto"/>
              </w:rPr>
            </w:pPr>
          </w:p>
        </w:tc>
        <w:tc>
          <w:tcPr>
            <w:tcW w:w="560" w:type="dxa"/>
            <w:vAlign w:val="bottom"/>
            <w:tcBorders>
              <w:bottom w:val="single" w:sz="8" w:color="EDEDED"/>
            </w:tcBorders>
            <w:shd w:val="clear" w:color="auto" w:fill="EDEDED"/>
          </w:tcPr>
          <w:p>
            <w:pPr>
              <w:spacing w:after="0"/>
              <w:rPr>
                <w:sz w:val="22"/>
                <w:szCs w:val="22"/>
                <w:color w:val="auto"/>
              </w:rPr>
            </w:pPr>
          </w:p>
        </w:tc>
        <w:tc>
          <w:tcPr>
            <w:tcW w:w="560" w:type="dxa"/>
            <w:vAlign w:val="bottom"/>
            <w:tcBorders>
              <w:bottom w:val="single" w:sz="8" w:color="EDEDED"/>
            </w:tcBorders>
            <w:shd w:val="clear" w:color="auto" w:fill="EDEDED"/>
          </w:tcPr>
          <w:p>
            <w:pPr>
              <w:spacing w:after="0"/>
              <w:rPr>
                <w:sz w:val="22"/>
                <w:szCs w:val="22"/>
                <w:color w:val="auto"/>
              </w:rPr>
            </w:pPr>
          </w:p>
        </w:tc>
      </w:tr>
      <w:tr>
        <w:trPr>
          <w:trHeight w:val="228"/>
        </w:trPr>
        <w:tc>
          <w:tcPr>
            <w:tcW w:w="5240" w:type="dxa"/>
            <w:vAlign w:val="bottom"/>
          </w:tcPr>
          <w:p>
            <w:pPr>
              <w:ind w:left="80"/>
              <w:spacing w:after="0"/>
              <w:rPr>
                <w:sz w:val="20"/>
                <w:szCs w:val="20"/>
                <w:color w:val="auto"/>
              </w:rPr>
            </w:pPr>
            <w:r>
              <w:rPr>
                <w:rFonts w:ascii="Arial" w:cs="Arial" w:eastAsia="Arial" w:hAnsi="Arial"/>
                <w:sz w:val="16"/>
                <w:szCs w:val="16"/>
                <w:color w:val="auto"/>
              </w:rPr>
              <w:t>Asian</w:t>
            </w: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56"/>
        </w:trPr>
        <w:tc>
          <w:tcPr>
            <w:tcW w:w="5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263"/>
        </w:trPr>
        <w:tc>
          <w:tcPr>
            <w:tcW w:w="524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color w:val="auto"/>
              </w:rPr>
              <w:t>Hispanic or Latinx</w:t>
            </w:r>
          </w:p>
        </w:tc>
        <w:tc>
          <w:tcPr>
            <w:tcW w:w="660" w:type="dxa"/>
            <w:vAlign w:val="bottom"/>
            <w:tcBorders>
              <w:bottom w:val="single" w:sz="8" w:color="EDEDED"/>
            </w:tcBorders>
            <w:shd w:val="clear" w:color="auto" w:fill="EDEDED"/>
          </w:tcPr>
          <w:p>
            <w:pPr>
              <w:spacing w:after="0"/>
              <w:rPr>
                <w:sz w:val="22"/>
                <w:szCs w:val="22"/>
                <w:color w:val="auto"/>
              </w:rPr>
            </w:pPr>
          </w:p>
        </w:tc>
        <w:tc>
          <w:tcPr>
            <w:tcW w:w="640" w:type="dxa"/>
            <w:vAlign w:val="bottom"/>
            <w:tcBorders>
              <w:bottom w:val="single" w:sz="8" w:color="EDEDED"/>
            </w:tcBorders>
            <w:shd w:val="clear" w:color="auto" w:fill="EDEDED"/>
          </w:tcPr>
          <w:p>
            <w:pPr>
              <w:spacing w:after="0"/>
              <w:rPr>
                <w:sz w:val="22"/>
                <w:szCs w:val="22"/>
                <w:color w:val="auto"/>
              </w:rPr>
            </w:pPr>
          </w:p>
        </w:tc>
        <w:tc>
          <w:tcPr>
            <w:tcW w:w="620" w:type="dxa"/>
            <w:vAlign w:val="bottom"/>
            <w:tcBorders>
              <w:bottom w:val="single" w:sz="8" w:color="EDEDED"/>
            </w:tcBorders>
            <w:shd w:val="clear" w:color="auto" w:fill="EDEDED"/>
          </w:tcPr>
          <w:p>
            <w:pPr>
              <w:spacing w:after="0"/>
              <w:rPr>
                <w:sz w:val="22"/>
                <w:szCs w:val="22"/>
                <w:color w:val="auto"/>
              </w:rPr>
            </w:pPr>
          </w:p>
        </w:tc>
        <w:tc>
          <w:tcPr>
            <w:tcW w:w="640" w:type="dxa"/>
            <w:vAlign w:val="bottom"/>
            <w:tcBorders>
              <w:bottom w:val="single" w:sz="8" w:color="EDEDED"/>
            </w:tcBorders>
            <w:shd w:val="clear" w:color="auto" w:fill="EDEDED"/>
          </w:tcPr>
          <w:p>
            <w:pPr>
              <w:spacing w:after="0"/>
              <w:rPr>
                <w:sz w:val="22"/>
                <w:szCs w:val="22"/>
                <w:color w:val="auto"/>
              </w:rPr>
            </w:pPr>
          </w:p>
        </w:tc>
        <w:tc>
          <w:tcPr>
            <w:tcW w:w="620" w:type="dxa"/>
            <w:vAlign w:val="bottom"/>
            <w:tcBorders>
              <w:bottom w:val="single" w:sz="8" w:color="EDEDED"/>
            </w:tcBorders>
            <w:shd w:val="clear" w:color="auto" w:fill="EDEDED"/>
          </w:tcPr>
          <w:p>
            <w:pPr>
              <w:spacing w:after="0"/>
              <w:rPr>
                <w:sz w:val="22"/>
                <w:szCs w:val="22"/>
                <w:color w:val="auto"/>
              </w:rPr>
            </w:pPr>
          </w:p>
        </w:tc>
        <w:tc>
          <w:tcPr>
            <w:tcW w:w="760" w:type="dxa"/>
            <w:vAlign w:val="bottom"/>
            <w:tcBorders>
              <w:bottom w:val="single" w:sz="8" w:color="EDEDED"/>
            </w:tcBorders>
            <w:shd w:val="clear" w:color="auto" w:fill="EDEDED"/>
          </w:tcPr>
          <w:p>
            <w:pPr>
              <w:spacing w:after="0"/>
              <w:rPr>
                <w:sz w:val="22"/>
                <w:szCs w:val="22"/>
                <w:color w:val="auto"/>
              </w:rPr>
            </w:pPr>
          </w:p>
        </w:tc>
        <w:tc>
          <w:tcPr>
            <w:tcW w:w="720" w:type="dxa"/>
            <w:vAlign w:val="bottom"/>
            <w:tcBorders>
              <w:bottom w:val="single" w:sz="8" w:color="EDEDED"/>
            </w:tcBorders>
            <w:shd w:val="clear" w:color="auto" w:fill="EDEDED"/>
          </w:tcPr>
          <w:p>
            <w:pPr>
              <w:spacing w:after="0"/>
              <w:rPr>
                <w:sz w:val="22"/>
                <w:szCs w:val="22"/>
                <w:color w:val="auto"/>
              </w:rPr>
            </w:pPr>
          </w:p>
        </w:tc>
        <w:tc>
          <w:tcPr>
            <w:tcW w:w="560" w:type="dxa"/>
            <w:vAlign w:val="bottom"/>
            <w:tcBorders>
              <w:bottom w:val="single" w:sz="8" w:color="EDEDED"/>
            </w:tcBorders>
            <w:shd w:val="clear" w:color="auto" w:fill="EDEDED"/>
          </w:tcPr>
          <w:p>
            <w:pPr>
              <w:spacing w:after="0"/>
              <w:rPr>
                <w:sz w:val="22"/>
                <w:szCs w:val="22"/>
                <w:color w:val="auto"/>
              </w:rPr>
            </w:pPr>
          </w:p>
        </w:tc>
        <w:tc>
          <w:tcPr>
            <w:tcW w:w="560" w:type="dxa"/>
            <w:vAlign w:val="bottom"/>
            <w:tcBorders>
              <w:bottom w:val="single" w:sz="8" w:color="EDEDED"/>
            </w:tcBorders>
            <w:shd w:val="clear" w:color="auto" w:fill="EDEDED"/>
          </w:tcPr>
          <w:p>
            <w:pPr>
              <w:spacing w:after="0"/>
              <w:rPr>
                <w:sz w:val="22"/>
                <w:szCs w:val="22"/>
                <w:color w:val="auto"/>
              </w:rPr>
            </w:pPr>
          </w:p>
        </w:tc>
      </w:tr>
      <w:tr>
        <w:trPr>
          <w:trHeight w:val="228"/>
        </w:trPr>
        <w:tc>
          <w:tcPr>
            <w:tcW w:w="5240" w:type="dxa"/>
            <w:vAlign w:val="bottom"/>
          </w:tcPr>
          <w:p>
            <w:pPr>
              <w:ind w:left="80"/>
              <w:spacing w:after="0"/>
              <w:rPr>
                <w:sz w:val="20"/>
                <w:szCs w:val="20"/>
                <w:color w:val="auto"/>
              </w:rPr>
            </w:pPr>
            <w:r>
              <w:rPr>
                <w:rFonts w:ascii="Arial" w:cs="Arial" w:eastAsia="Arial" w:hAnsi="Arial"/>
                <w:sz w:val="16"/>
                <w:szCs w:val="16"/>
                <w:color w:val="auto"/>
              </w:rPr>
              <w:t>Native Hawaiian or Pacific Islander</w:t>
            </w: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56"/>
        </w:trPr>
        <w:tc>
          <w:tcPr>
            <w:tcW w:w="5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263"/>
        </w:trPr>
        <w:tc>
          <w:tcPr>
            <w:tcW w:w="524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color w:val="auto"/>
              </w:rPr>
              <w:t>White</w:t>
            </w:r>
          </w:p>
        </w:tc>
        <w:tc>
          <w:tcPr>
            <w:tcW w:w="660" w:type="dxa"/>
            <w:vAlign w:val="bottom"/>
            <w:tcBorders>
              <w:bottom w:val="single" w:sz="8" w:color="EDEDED"/>
            </w:tcBorders>
            <w:shd w:val="clear" w:color="auto" w:fill="EDEDED"/>
          </w:tcPr>
          <w:p>
            <w:pPr>
              <w:jc w:val="center"/>
              <w:ind w:left="3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EDEDED"/>
            </w:tcBorders>
            <w:shd w:val="clear" w:color="auto" w:fill="EDEDED"/>
          </w:tcPr>
          <w:p>
            <w:pPr>
              <w:spacing w:after="0"/>
              <w:rPr>
                <w:sz w:val="22"/>
                <w:szCs w:val="22"/>
                <w:color w:val="auto"/>
              </w:rPr>
            </w:pPr>
          </w:p>
        </w:tc>
        <w:tc>
          <w:tcPr>
            <w:tcW w:w="64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w w:val="75"/>
              </w:rPr>
              <w:t>●</w:t>
            </w:r>
          </w:p>
        </w:tc>
        <w:tc>
          <w:tcPr>
            <w:tcW w:w="760" w:type="dxa"/>
            <w:vAlign w:val="bottom"/>
            <w:tcBorders>
              <w:bottom w:val="single" w:sz="8" w:color="EDEDED"/>
            </w:tcBorders>
            <w:shd w:val="clear" w:color="auto" w:fill="EDEDED"/>
          </w:tcPr>
          <w:p>
            <w:pPr>
              <w:spacing w:after="0"/>
              <w:rPr>
                <w:sz w:val="22"/>
                <w:szCs w:val="22"/>
                <w:color w:val="auto"/>
              </w:rPr>
            </w:pPr>
          </w:p>
        </w:tc>
        <w:tc>
          <w:tcPr>
            <w:tcW w:w="720" w:type="dxa"/>
            <w:vAlign w:val="bottom"/>
            <w:tcBorders>
              <w:bottom w:val="single" w:sz="8" w:color="EDEDED"/>
            </w:tcBorders>
            <w:shd w:val="clear" w:color="auto" w:fill="EDEDED"/>
          </w:tcPr>
          <w:p>
            <w:pPr>
              <w:spacing w:after="0"/>
              <w:rPr>
                <w:sz w:val="22"/>
                <w:szCs w:val="22"/>
                <w:color w:val="auto"/>
              </w:rPr>
            </w:pPr>
          </w:p>
        </w:tc>
        <w:tc>
          <w:tcPr>
            <w:tcW w:w="560" w:type="dxa"/>
            <w:vAlign w:val="bottom"/>
            <w:tcBorders>
              <w:bottom w:val="single" w:sz="8" w:color="EDEDED"/>
            </w:tcBorders>
            <w:shd w:val="clear" w:color="auto" w:fill="EDEDED"/>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EDEDED"/>
            </w:tcBorders>
            <w:shd w:val="clear" w:color="auto" w:fill="EDEDED"/>
          </w:tcPr>
          <w:p>
            <w:pPr>
              <w:jc w:val="center"/>
              <w:ind w:left="14"/>
              <w:spacing w:after="0"/>
              <w:rPr>
                <w:sz w:val="20"/>
                <w:szCs w:val="20"/>
                <w:color w:val="auto"/>
              </w:rPr>
            </w:pPr>
            <w:r>
              <w:rPr>
                <w:rFonts w:ascii="Times New Roman" w:cs="Times New Roman" w:eastAsia="Times New Roman" w:hAnsi="Times New Roman"/>
                <w:sz w:val="13"/>
                <w:szCs w:val="13"/>
                <w:color w:val="auto"/>
              </w:rPr>
              <w:t>●</w:t>
            </w:r>
          </w:p>
        </w:tc>
      </w:tr>
      <w:tr>
        <w:trPr>
          <w:trHeight w:val="228"/>
        </w:trPr>
        <w:tc>
          <w:tcPr>
            <w:tcW w:w="5240" w:type="dxa"/>
            <w:vAlign w:val="bottom"/>
          </w:tcPr>
          <w:p>
            <w:pPr>
              <w:ind w:left="80"/>
              <w:spacing w:after="0"/>
              <w:rPr>
                <w:sz w:val="20"/>
                <w:szCs w:val="20"/>
                <w:color w:val="auto"/>
              </w:rPr>
            </w:pPr>
            <w:r>
              <w:rPr>
                <w:rFonts w:ascii="Arial" w:cs="Arial" w:eastAsia="Arial" w:hAnsi="Arial"/>
                <w:sz w:val="16"/>
                <w:szCs w:val="16"/>
                <w:color w:val="auto"/>
              </w:rPr>
              <w:t>Two or More Races or Ethnicities</w:t>
            </w: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56"/>
        </w:trPr>
        <w:tc>
          <w:tcPr>
            <w:tcW w:w="5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r>
      <w:tr>
        <w:trPr>
          <w:trHeight w:val="264"/>
        </w:trPr>
        <w:tc>
          <w:tcPr>
            <w:tcW w:w="524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color w:val="auto"/>
              </w:rPr>
              <w:t>LGBTQ+</w:t>
            </w:r>
          </w:p>
        </w:tc>
        <w:tc>
          <w:tcPr>
            <w:tcW w:w="660" w:type="dxa"/>
            <w:vAlign w:val="bottom"/>
            <w:tcBorders>
              <w:bottom w:val="single" w:sz="8" w:color="EDEDED"/>
            </w:tcBorders>
            <w:shd w:val="clear" w:color="auto" w:fill="EDEDED"/>
          </w:tcPr>
          <w:p>
            <w:pPr>
              <w:spacing w:after="0"/>
              <w:rPr>
                <w:sz w:val="22"/>
                <w:szCs w:val="22"/>
                <w:color w:val="auto"/>
              </w:rPr>
            </w:pPr>
          </w:p>
        </w:tc>
        <w:tc>
          <w:tcPr>
            <w:tcW w:w="640" w:type="dxa"/>
            <w:vAlign w:val="bottom"/>
            <w:tcBorders>
              <w:bottom w:val="single" w:sz="8" w:color="EDEDED"/>
            </w:tcBorders>
            <w:shd w:val="clear" w:color="auto" w:fill="EDEDED"/>
          </w:tcPr>
          <w:p>
            <w:pPr>
              <w:spacing w:after="0"/>
              <w:rPr>
                <w:sz w:val="22"/>
                <w:szCs w:val="22"/>
                <w:color w:val="auto"/>
              </w:rPr>
            </w:pPr>
          </w:p>
        </w:tc>
        <w:tc>
          <w:tcPr>
            <w:tcW w:w="620" w:type="dxa"/>
            <w:vAlign w:val="bottom"/>
            <w:tcBorders>
              <w:bottom w:val="single" w:sz="8" w:color="EDEDED"/>
            </w:tcBorders>
            <w:shd w:val="clear" w:color="auto" w:fill="EDEDED"/>
          </w:tcPr>
          <w:p>
            <w:pPr>
              <w:spacing w:after="0"/>
              <w:rPr>
                <w:sz w:val="22"/>
                <w:szCs w:val="22"/>
                <w:color w:val="auto"/>
              </w:rPr>
            </w:pPr>
          </w:p>
        </w:tc>
        <w:tc>
          <w:tcPr>
            <w:tcW w:w="640" w:type="dxa"/>
            <w:vAlign w:val="bottom"/>
            <w:tcBorders>
              <w:bottom w:val="single" w:sz="8" w:color="EDEDED"/>
            </w:tcBorders>
            <w:shd w:val="clear" w:color="auto" w:fill="EDEDED"/>
          </w:tcPr>
          <w:p>
            <w:pPr>
              <w:spacing w:after="0"/>
              <w:rPr>
                <w:sz w:val="22"/>
                <w:szCs w:val="22"/>
                <w:color w:val="auto"/>
              </w:rPr>
            </w:pPr>
          </w:p>
        </w:tc>
        <w:tc>
          <w:tcPr>
            <w:tcW w:w="620" w:type="dxa"/>
            <w:vAlign w:val="bottom"/>
            <w:tcBorders>
              <w:bottom w:val="single" w:sz="8" w:color="EDEDED"/>
            </w:tcBorders>
            <w:shd w:val="clear" w:color="auto" w:fill="EDEDED"/>
          </w:tcPr>
          <w:p>
            <w:pPr>
              <w:spacing w:after="0"/>
              <w:rPr>
                <w:sz w:val="22"/>
                <w:szCs w:val="22"/>
                <w:color w:val="auto"/>
              </w:rPr>
            </w:pPr>
          </w:p>
        </w:tc>
        <w:tc>
          <w:tcPr>
            <w:tcW w:w="760" w:type="dxa"/>
            <w:vAlign w:val="bottom"/>
            <w:tcBorders>
              <w:bottom w:val="single" w:sz="8" w:color="EDEDED"/>
            </w:tcBorders>
            <w:shd w:val="clear" w:color="auto" w:fill="EDEDED"/>
          </w:tcPr>
          <w:p>
            <w:pPr>
              <w:spacing w:after="0"/>
              <w:rPr>
                <w:sz w:val="22"/>
                <w:szCs w:val="22"/>
                <w:color w:val="auto"/>
              </w:rPr>
            </w:pPr>
          </w:p>
        </w:tc>
        <w:tc>
          <w:tcPr>
            <w:tcW w:w="720" w:type="dxa"/>
            <w:vAlign w:val="bottom"/>
            <w:tcBorders>
              <w:bottom w:val="single" w:sz="8" w:color="EDEDED"/>
            </w:tcBorders>
            <w:shd w:val="clear" w:color="auto" w:fill="EDEDED"/>
          </w:tcPr>
          <w:p>
            <w:pPr>
              <w:spacing w:after="0"/>
              <w:rPr>
                <w:sz w:val="22"/>
                <w:szCs w:val="22"/>
                <w:color w:val="auto"/>
              </w:rPr>
            </w:pPr>
          </w:p>
        </w:tc>
        <w:tc>
          <w:tcPr>
            <w:tcW w:w="560" w:type="dxa"/>
            <w:vAlign w:val="bottom"/>
            <w:tcBorders>
              <w:bottom w:val="single" w:sz="8" w:color="EDEDED"/>
            </w:tcBorders>
            <w:shd w:val="clear" w:color="auto" w:fill="EDEDED"/>
          </w:tcPr>
          <w:p>
            <w:pPr>
              <w:spacing w:after="0"/>
              <w:rPr>
                <w:sz w:val="22"/>
                <w:szCs w:val="22"/>
                <w:color w:val="auto"/>
              </w:rPr>
            </w:pPr>
          </w:p>
        </w:tc>
        <w:tc>
          <w:tcPr>
            <w:tcW w:w="560" w:type="dxa"/>
            <w:vAlign w:val="bottom"/>
            <w:tcBorders>
              <w:bottom w:val="single" w:sz="8" w:color="EDEDED"/>
            </w:tcBorders>
            <w:shd w:val="clear" w:color="auto" w:fill="EDEDED"/>
          </w:tcPr>
          <w:p>
            <w:pPr>
              <w:spacing w:after="0"/>
              <w:rPr>
                <w:sz w:val="22"/>
                <w:szCs w:val="22"/>
                <w:color w:val="auto"/>
              </w:rPr>
            </w:pPr>
          </w:p>
        </w:tc>
      </w:tr>
      <w:tr>
        <w:trPr>
          <w:trHeight w:val="228"/>
        </w:trPr>
        <w:tc>
          <w:tcPr>
            <w:tcW w:w="5240" w:type="dxa"/>
            <w:vAlign w:val="bottom"/>
          </w:tcPr>
          <w:p>
            <w:pPr>
              <w:ind w:left="80"/>
              <w:spacing w:after="0"/>
              <w:rPr>
                <w:sz w:val="20"/>
                <w:szCs w:val="20"/>
                <w:color w:val="auto"/>
              </w:rPr>
            </w:pPr>
            <w:r>
              <w:rPr>
                <w:rFonts w:ascii="Arial" w:cs="Arial" w:eastAsia="Arial" w:hAnsi="Arial"/>
                <w:sz w:val="16"/>
                <w:szCs w:val="16"/>
                <w:color w:val="auto"/>
              </w:rPr>
              <w:t>Did Not Disclose Demographic Background</w:t>
            </w: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56"/>
        </w:trPr>
        <w:tc>
          <w:tcPr>
            <w:tcW w:w="5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bl>
    <w:p>
      <w:pPr>
        <w:spacing w:after="0" w:line="1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1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-143510</wp:posOffset>
            </wp:positionV>
            <wp:extent cx="411480" cy="1968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Proposal 1: Election of Directors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166370</wp:posOffset>
            </wp:positionV>
            <wp:extent cx="6480810" cy="33947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80810" cy="3394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Qualifications and Experience</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5120" w:type="dxa"/>
            <w:vAlign w:val="bottom"/>
            <w:gridSpan w:val="5"/>
          </w:tcPr>
          <w:p>
            <w:pPr>
              <w:spacing w:after="0"/>
              <w:rPr>
                <w:sz w:val="20"/>
                <w:szCs w:val="20"/>
                <w:color w:val="auto"/>
              </w:rPr>
            </w:pPr>
            <w:r>
              <w:rPr>
                <w:rFonts w:ascii="Arial" w:cs="Arial" w:eastAsia="Arial" w:hAnsi="Arial"/>
                <w:sz w:val="16"/>
                <w:szCs w:val="16"/>
                <w:color w:val="auto"/>
              </w:rPr>
              <w:t>Executive Leadership</w:t>
            </w:r>
          </w:p>
        </w:tc>
        <w:tc>
          <w:tcPr>
            <w:tcW w:w="5140" w:type="dxa"/>
            <w:vAlign w:val="bottom"/>
            <w:gridSpan w:val="6"/>
          </w:tcPr>
          <w:p>
            <w:pPr>
              <w:ind w:left="500"/>
              <w:spacing w:after="0"/>
              <w:rPr>
                <w:sz w:val="20"/>
                <w:szCs w:val="20"/>
                <w:color w:val="auto"/>
              </w:rPr>
            </w:pPr>
            <w:r>
              <w:rPr>
                <w:rFonts w:ascii="Arial" w:cs="Arial" w:eastAsia="Arial" w:hAnsi="Arial"/>
                <w:sz w:val="16"/>
                <w:szCs w:val="16"/>
                <w:color w:val="auto"/>
              </w:rPr>
              <w:t>Financial Expert</w:t>
            </w:r>
          </w:p>
        </w:tc>
        <w:tc>
          <w:tcPr>
            <w:tcW w:w="0" w:type="dxa"/>
            <w:vAlign w:val="bottom"/>
          </w:tcPr>
          <w:p>
            <w:pPr>
              <w:spacing w:after="0"/>
              <w:rPr>
                <w:sz w:val="1"/>
                <w:szCs w:val="1"/>
                <w:color w:val="auto"/>
              </w:rPr>
            </w:pPr>
          </w:p>
        </w:tc>
      </w:tr>
      <w:tr>
        <w:trPr>
          <w:trHeight w:val="83"/>
        </w:trPr>
        <w:tc>
          <w:tcPr>
            <w:tcW w:w="2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7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9 of 9 directors</w:t>
            </w:r>
          </w:p>
        </w:tc>
        <w:tc>
          <w:tcPr>
            <w:tcW w:w="500" w:type="dxa"/>
            <w:vAlign w:val="bottom"/>
            <w:vMerge w:val="restart"/>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99"/>
              </w:rPr>
              <w:t>2 of 9 directors</w:t>
            </w:r>
          </w:p>
        </w:tc>
        <w:tc>
          <w:tcPr>
            <w:tcW w:w="0" w:type="dxa"/>
            <w:vAlign w:val="bottom"/>
          </w:tcPr>
          <w:p>
            <w:pPr>
              <w:spacing w:after="0"/>
              <w:rPr>
                <w:sz w:val="1"/>
                <w:szCs w:val="1"/>
                <w:color w:val="auto"/>
              </w:rPr>
            </w:pPr>
          </w:p>
        </w:tc>
      </w:tr>
      <w:tr>
        <w:trPr>
          <w:trHeight w:val="189"/>
        </w:trPr>
        <w:tc>
          <w:tcPr>
            <w:tcW w:w="2280" w:type="dxa"/>
            <w:vAlign w:val="bottom"/>
            <w:shd w:val="clear" w:color="auto" w:fill="00AF41"/>
          </w:tcPr>
          <w:p>
            <w:pPr>
              <w:spacing w:after="0"/>
              <w:rPr>
                <w:sz w:val="16"/>
                <w:szCs w:val="16"/>
                <w:color w:val="auto"/>
              </w:rPr>
            </w:pPr>
          </w:p>
        </w:tc>
        <w:tc>
          <w:tcPr>
            <w:tcW w:w="380" w:type="dxa"/>
            <w:vAlign w:val="bottom"/>
            <w:shd w:val="clear" w:color="auto" w:fill="00AF41"/>
          </w:tcPr>
          <w:p>
            <w:pPr>
              <w:spacing w:after="0"/>
              <w:rPr>
                <w:sz w:val="16"/>
                <w:szCs w:val="16"/>
                <w:color w:val="auto"/>
              </w:rPr>
            </w:pPr>
          </w:p>
        </w:tc>
        <w:tc>
          <w:tcPr>
            <w:tcW w:w="380" w:type="dxa"/>
            <w:vAlign w:val="bottom"/>
            <w:shd w:val="clear" w:color="auto" w:fill="00AF41"/>
          </w:tcPr>
          <w:p>
            <w:pPr>
              <w:spacing w:after="0"/>
              <w:rPr>
                <w:sz w:val="16"/>
                <w:szCs w:val="16"/>
                <w:color w:val="auto"/>
              </w:rPr>
            </w:pPr>
          </w:p>
        </w:tc>
        <w:tc>
          <w:tcPr>
            <w:tcW w:w="380" w:type="dxa"/>
            <w:vAlign w:val="bottom"/>
            <w:shd w:val="clear" w:color="auto" w:fill="00AF41"/>
          </w:tcPr>
          <w:p>
            <w:pPr>
              <w:spacing w:after="0"/>
              <w:rPr>
                <w:sz w:val="16"/>
                <w:szCs w:val="16"/>
                <w:color w:val="auto"/>
              </w:rPr>
            </w:pPr>
          </w:p>
        </w:tc>
        <w:tc>
          <w:tcPr>
            <w:tcW w:w="170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800" w:type="dxa"/>
            <w:vAlign w:val="bottom"/>
            <w:shd w:val="clear" w:color="auto" w:fill="00AF41"/>
          </w:tcPr>
          <w:p>
            <w:pPr>
              <w:spacing w:after="0"/>
              <w:rPr>
                <w:sz w:val="16"/>
                <w:szCs w:val="16"/>
                <w:color w:val="auto"/>
              </w:rPr>
            </w:pPr>
          </w:p>
        </w:tc>
        <w:tc>
          <w:tcPr>
            <w:tcW w:w="740" w:type="dxa"/>
            <w:vAlign w:val="bottom"/>
            <w:shd w:val="clear" w:color="auto" w:fill="7F7F7F"/>
          </w:tcPr>
          <w:p>
            <w:pPr>
              <w:spacing w:after="0"/>
              <w:rPr>
                <w:sz w:val="16"/>
                <w:szCs w:val="16"/>
                <w:color w:val="auto"/>
              </w:rPr>
            </w:pPr>
          </w:p>
        </w:tc>
        <w:tc>
          <w:tcPr>
            <w:tcW w:w="1140" w:type="dxa"/>
            <w:vAlign w:val="bottom"/>
            <w:shd w:val="clear" w:color="auto" w:fill="7F7F7F"/>
          </w:tcPr>
          <w:p>
            <w:pPr>
              <w:spacing w:after="0"/>
              <w:rPr>
                <w:sz w:val="16"/>
                <w:szCs w:val="16"/>
                <w:color w:val="auto"/>
              </w:rPr>
            </w:pPr>
          </w:p>
        </w:tc>
        <w:tc>
          <w:tcPr>
            <w:tcW w:w="760" w:type="dxa"/>
            <w:vAlign w:val="bottom"/>
            <w:shd w:val="clear" w:color="auto" w:fill="7F7F7F"/>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6"/>
        </w:trPr>
        <w:tc>
          <w:tcPr>
            <w:tcW w:w="5120" w:type="dxa"/>
            <w:vAlign w:val="bottom"/>
            <w:gridSpan w:val="5"/>
          </w:tcPr>
          <w:p>
            <w:pPr>
              <w:spacing w:after="0"/>
              <w:rPr>
                <w:sz w:val="20"/>
                <w:szCs w:val="20"/>
                <w:color w:val="auto"/>
              </w:rPr>
            </w:pPr>
            <w:r>
              <w:rPr>
                <w:rFonts w:ascii="Arial" w:cs="Arial" w:eastAsia="Arial" w:hAnsi="Arial"/>
                <w:sz w:val="16"/>
                <w:szCs w:val="16"/>
                <w:color w:val="auto"/>
              </w:rPr>
              <w:t>Transformations</w:t>
            </w:r>
          </w:p>
        </w:tc>
        <w:tc>
          <w:tcPr>
            <w:tcW w:w="5140" w:type="dxa"/>
            <w:vAlign w:val="bottom"/>
            <w:gridSpan w:val="6"/>
          </w:tcPr>
          <w:p>
            <w:pPr>
              <w:ind w:left="500"/>
              <w:spacing w:after="0"/>
              <w:rPr>
                <w:sz w:val="20"/>
                <w:szCs w:val="20"/>
                <w:color w:val="auto"/>
              </w:rPr>
            </w:pPr>
            <w:r>
              <w:rPr>
                <w:rFonts w:ascii="Arial" w:cs="Arial" w:eastAsia="Arial" w:hAnsi="Arial"/>
                <w:sz w:val="16"/>
                <w:szCs w:val="16"/>
                <w:color w:val="auto"/>
              </w:rPr>
              <w:t>Risk Management</w:t>
            </w:r>
          </w:p>
        </w:tc>
        <w:tc>
          <w:tcPr>
            <w:tcW w:w="0" w:type="dxa"/>
            <w:vAlign w:val="bottom"/>
          </w:tcPr>
          <w:p>
            <w:pPr>
              <w:spacing w:after="0"/>
              <w:rPr>
                <w:sz w:val="1"/>
                <w:szCs w:val="1"/>
                <w:color w:val="auto"/>
              </w:rPr>
            </w:pPr>
          </w:p>
        </w:tc>
      </w:tr>
      <w:tr>
        <w:trPr>
          <w:trHeight w:val="83"/>
        </w:trPr>
        <w:tc>
          <w:tcPr>
            <w:tcW w:w="2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7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8 of 9 directors</w:t>
            </w:r>
          </w:p>
        </w:tc>
        <w:tc>
          <w:tcPr>
            <w:tcW w:w="500" w:type="dxa"/>
            <w:vAlign w:val="bottom"/>
            <w:vMerge w:val="restart"/>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99"/>
              </w:rPr>
              <w:t>7 of 9 directors</w:t>
            </w:r>
          </w:p>
        </w:tc>
        <w:tc>
          <w:tcPr>
            <w:tcW w:w="0" w:type="dxa"/>
            <w:vAlign w:val="bottom"/>
          </w:tcPr>
          <w:p>
            <w:pPr>
              <w:spacing w:after="0"/>
              <w:rPr>
                <w:sz w:val="1"/>
                <w:szCs w:val="1"/>
                <w:color w:val="auto"/>
              </w:rPr>
            </w:pPr>
          </w:p>
        </w:tc>
      </w:tr>
      <w:tr>
        <w:trPr>
          <w:trHeight w:val="189"/>
        </w:trPr>
        <w:tc>
          <w:tcPr>
            <w:tcW w:w="2280" w:type="dxa"/>
            <w:vAlign w:val="bottom"/>
            <w:shd w:val="clear" w:color="auto" w:fill="00AF41"/>
          </w:tcPr>
          <w:p>
            <w:pPr>
              <w:spacing w:after="0"/>
              <w:rPr>
                <w:sz w:val="16"/>
                <w:szCs w:val="16"/>
                <w:color w:val="auto"/>
              </w:rPr>
            </w:pPr>
          </w:p>
        </w:tc>
        <w:tc>
          <w:tcPr>
            <w:tcW w:w="380" w:type="dxa"/>
            <w:vAlign w:val="bottom"/>
            <w:shd w:val="clear" w:color="auto" w:fill="00AF41"/>
          </w:tcPr>
          <w:p>
            <w:pPr>
              <w:spacing w:after="0"/>
              <w:rPr>
                <w:sz w:val="16"/>
                <w:szCs w:val="16"/>
                <w:color w:val="auto"/>
              </w:rPr>
            </w:pPr>
          </w:p>
        </w:tc>
        <w:tc>
          <w:tcPr>
            <w:tcW w:w="380" w:type="dxa"/>
            <w:vAlign w:val="bottom"/>
            <w:shd w:val="clear" w:color="auto" w:fill="00AF41"/>
          </w:tcPr>
          <w:p>
            <w:pPr>
              <w:spacing w:after="0"/>
              <w:rPr>
                <w:sz w:val="16"/>
                <w:szCs w:val="16"/>
                <w:color w:val="auto"/>
              </w:rPr>
            </w:pPr>
          </w:p>
        </w:tc>
        <w:tc>
          <w:tcPr>
            <w:tcW w:w="380" w:type="dxa"/>
            <w:vAlign w:val="bottom"/>
            <w:shd w:val="clear" w:color="auto" w:fill="7F7F7F"/>
          </w:tcPr>
          <w:p>
            <w:pPr>
              <w:spacing w:after="0"/>
              <w:rPr>
                <w:sz w:val="16"/>
                <w:szCs w:val="16"/>
                <w:color w:val="auto"/>
              </w:rPr>
            </w:pPr>
          </w:p>
        </w:tc>
        <w:tc>
          <w:tcPr>
            <w:tcW w:w="170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800" w:type="dxa"/>
            <w:vAlign w:val="bottom"/>
            <w:shd w:val="clear" w:color="auto" w:fill="00AF41"/>
          </w:tcPr>
          <w:p>
            <w:pPr>
              <w:spacing w:after="0"/>
              <w:rPr>
                <w:sz w:val="16"/>
                <w:szCs w:val="16"/>
                <w:color w:val="auto"/>
              </w:rPr>
            </w:pPr>
          </w:p>
        </w:tc>
        <w:tc>
          <w:tcPr>
            <w:tcW w:w="740" w:type="dxa"/>
            <w:vAlign w:val="bottom"/>
            <w:shd w:val="clear" w:color="auto" w:fill="00AF41"/>
          </w:tcPr>
          <w:p>
            <w:pPr>
              <w:spacing w:after="0"/>
              <w:rPr>
                <w:sz w:val="16"/>
                <w:szCs w:val="16"/>
                <w:color w:val="auto"/>
              </w:rPr>
            </w:pPr>
          </w:p>
        </w:tc>
        <w:tc>
          <w:tcPr>
            <w:tcW w:w="1140" w:type="dxa"/>
            <w:vAlign w:val="bottom"/>
            <w:shd w:val="clear" w:color="auto" w:fill="00AF41"/>
          </w:tcPr>
          <w:p>
            <w:pPr>
              <w:spacing w:after="0"/>
              <w:rPr>
                <w:sz w:val="16"/>
                <w:szCs w:val="16"/>
                <w:color w:val="auto"/>
              </w:rPr>
            </w:pPr>
          </w:p>
        </w:tc>
        <w:tc>
          <w:tcPr>
            <w:tcW w:w="760" w:type="dxa"/>
            <w:vAlign w:val="bottom"/>
            <w:shd w:val="clear" w:color="auto" w:fill="7F7F7F"/>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6"/>
        </w:trPr>
        <w:tc>
          <w:tcPr>
            <w:tcW w:w="5120" w:type="dxa"/>
            <w:vAlign w:val="bottom"/>
            <w:gridSpan w:val="5"/>
          </w:tcPr>
          <w:p>
            <w:pPr>
              <w:spacing w:after="0"/>
              <w:rPr>
                <w:sz w:val="20"/>
                <w:szCs w:val="20"/>
                <w:color w:val="auto"/>
              </w:rPr>
            </w:pPr>
            <w:r>
              <w:rPr>
                <w:rFonts w:ascii="Arial" w:cs="Arial" w:eastAsia="Arial" w:hAnsi="Arial"/>
                <w:sz w:val="16"/>
                <w:szCs w:val="16"/>
                <w:color w:val="auto"/>
              </w:rPr>
              <w:t>Innovation</w:t>
            </w:r>
          </w:p>
        </w:tc>
        <w:tc>
          <w:tcPr>
            <w:tcW w:w="5140" w:type="dxa"/>
            <w:vAlign w:val="bottom"/>
            <w:gridSpan w:val="6"/>
          </w:tcPr>
          <w:p>
            <w:pPr>
              <w:ind w:left="500"/>
              <w:spacing w:after="0"/>
              <w:rPr>
                <w:sz w:val="20"/>
                <w:szCs w:val="20"/>
                <w:color w:val="auto"/>
              </w:rPr>
            </w:pPr>
            <w:r>
              <w:rPr>
                <w:rFonts w:ascii="Arial" w:cs="Arial" w:eastAsia="Arial" w:hAnsi="Arial"/>
                <w:sz w:val="16"/>
                <w:szCs w:val="16"/>
                <w:color w:val="auto"/>
              </w:rPr>
              <w:t>Legal or Corporate Governance</w:t>
            </w:r>
          </w:p>
        </w:tc>
        <w:tc>
          <w:tcPr>
            <w:tcW w:w="0" w:type="dxa"/>
            <w:vAlign w:val="bottom"/>
          </w:tcPr>
          <w:p>
            <w:pPr>
              <w:spacing w:after="0"/>
              <w:rPr>
                <w:sz w:val="1"/>
                <w:szCs w:val="1"/>
                <w:color w:val="auto"/>
              </w:rPr>
            </w:pPr>
          </w:p>
        </w:tc>
      </w:tr>
      <w:tr>
        <w:trPr>
          <w:trHeight w:val="83"/>
        </w:trPr>
        <w:tc>
          <w:tcPr>
            <w:tcW w:w="2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7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7 of 9 directors</w:t>
            </w:r>
          </w:p>
        </w:tc>
        <w:tc>
          <w:tcPr>
            <w:tcW w:w="500" w:type="dxa"/>
            <w:vAlign w:val="bottom"/>
            <w:vMerge w:val="restart"/>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99"/>
              </w:rPr>
              <w:t>7 of 9 directors</w:t>
            </w:r>
          </w:p>
        </w:tc>
        <w:tc>
          <w:tcPr>
            <w:tcW w:w="0" w:type="dxa"/>
            <w:vAlign w:val="bottom"/>
          </w:tcPr>
          <w:p>
            <w:pPr>
              <w:spacing w:after="0"/>
              <w:rPr>
                <w:sz w:val="1"/>
                <w:szCs w:val="1"/>
                <w:color w:val="auto"/>
              </w:rPr>
            </w:pPr>
          </w:p>
        </w:tc>
      </w:tr>
      <w:tr>
        <w:trPr>
          <w:trHeight w:val="189"/>
        </w:trPr>
        <w:tc>
          <w:tcPr>
            <w:tcW w:w="2280" w:type="dxa"/>
            <w:vAlign w:val="bottom"/>
            <w:shd w:val="clear" w:color="auto" w:fill="00AF41"/>
          </w:tcPr>
          <w:p>
            <w:pPr>
              <w:spacing w:after="0"/>
              <w:rPr>
                <w:sz w:val="16"/>
                <w:szCs w:val="16"/>
                <w:color w:val="auto"/>
              </w:rPr>
            </w:pPr>
          </w:p>
        </w:tc>
        <w:tc>
          <w:tcPr>
            <w:tcW w:w="380" w:type="dxa"/>
            <w:vAlign w:val="bottom"/>
            <w:shd w:val="clear" w:color="auto" w:fill="00AF41"/>
          </w:tcPr>
          <w:p>
            <w:pPr>
              <w:spacing w:after="0"/>
              <w:rPr>
                <w:sz w:val="16"/>
                <w:szCs w:val="16"/>
                <w:color w:val="auto"/>
              </w:rPr>
            </w:pPr>
          </w:p>
        </w:tc>
        <w:tc>
          <w:tcPr>
            <w:tcW w:w="380" w:type="dxa"/>
            <w:vAlign w:val="bottom"/>
            <w:shd w:val="clear" w:color="auto" w:fill="7F7F7F"/>
          </w:tcPr>
          <w:p>
            <w:pPr>
              <w:spacing w:after="0"/>
              <w:rPr>
                <w:sz w:val="16"/>
                <w:szCs w:val="16"/>
                <w:color w:val="auto"/>
              </w:rPr>
            </w:pPr>
          </w:p>
        </w:tc>
        <w:tc>
          <w:tcPr>
            <w:tcW w:w="380" w:type="dxa"/>
            <w:vAlign w:val="bottom"/>
            <w:shd w:val="clear" w:color="auto" w:fill="7F7F7F"/>
          </w:tcPr>
          <w:p>
            <w:pPr>
              <w:spacing w:after="0"/>
              <w:rPr>
                <w:sz w:val="16"/>
                <w:szCs w:val="16"/>
                <w:color w:val="auto"/>
              </w:rPr>
            </w:pPr>
          </w:p>
        </w:tc>
        <w:tc>
          <w:tcPr>
            <w:tcW w:w="170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800" w:type="dxa"/>
            <w:vAlign w:val="bottom"/>
            <w:shd w:val="clear" w:color="auto" w:fill="00AF41"/>
          </w:tcPr>
          <w:p>
            <w:pPr>
              <w:spacing w:after="0"/>
              <w:rPr>
                <w:sz w:val="16"/>
                <w:szCs w:val="16"/>
                <w:color w:val="auto"/>
              </w:rPr>
            </w:pPr>
          </w:p>
        </w:tc>
        <w:tc>
          <w:tcPr>
            <w:tcW w:w="740" w:type="dxa"/>
            <w:vAlign w:val="bottom"/>
            <w:shd w:val="clear" w:color="auto" w:fill="00AF41"/>
          </w:tcPr>
          <w:p>
            <w:pPr>
              <w:spacing w:after="0"/>
              <w:rPr>
                <w:sz w:val="16"/>
                <w:szCs w:val="16"/>
                <w:color w:val="auto"/>
              </w:rPr>
            </w:pPr>
          </w:p>
        </w:tc>
        <w:tc>
          <w:tcPr>
            <w:tcW w:w="1140" w:type="dxa"/>
            <w:vAlign w:val="bottom"/>
            <w:shd w:val="clear" w:color="auto" w:fill="00AF41"/>
          </w:tcPr>
          <w:p>
            <w:pPr>
              <w:spacing w:after="0"/>
              <w:rPr>
                <w:sz w:val="16"/>
                <w:szCs w:val="16"/>
                <w:color w:val="auto"/>
              </w:rPr>
            </w:pPr>
          </w:p>
        </w:tc>
        <w:tc>
          <w:tcPr>
            <w:tcW w:w="760" w:type="dxa"/>
            <w:vAlign w:val="bottom"/>
            <w:shd w:val="clear" w:color="auto" w:fill="7F7F7F"/>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6"/>
        </w:trPr>
        <w:tc>
          <w:tcPr>
            <w:tcW w:w="5120" w:type="dxa"/>
            <w:vAlign w:val="bottom"/>
            <w:gridSpan w:val="5"/>
          </w:tcPr>
          <w:p>
            <w:pPr>
              <w:spacing w:after="0"/>
              <w:rPr>
                <w:sz w:val="20"/>
                <w:szCs w:val="20"/>
                <w:color w:val="auto"/>
              </w:rPr>
            </w:pPr>
            <w:r>
              <w:rPr>
                <w:rFonts w:ascii="Arial" w:cs="Arial" w:eastAsia="Arial" w:hAnsi="Arial"/>
                <w:sz w:val="16"/>
                <w:szCs w:val="16"/>
                <w:color w:val="auto"/>
              </w:rPr>
              <w:t>Industry</w:t>
            </w:r>
          </w:p>
        </w:tc>
        <w:tc>
          <w:tcPr>
            <w:tcW w:w="5140" w:type="dxa"/>
            <w:vAlign w:val="bottom"/>
            <w:gridSpan w:val="6"/>
          </w:tcPr>
          <w:p>
            <w:pPr>
              <w:ind w:left="500"/>
              <w:spacing w:after="0"/>
              <w:rPr>
                <w:sz w:val="20"/>
                <w:szCs w:val="20"/>
                <w:color w:val="auto"/>
              </w:rPr>
            </w:pPr>
            <w:r>
              <w:rPr>
                <w:rFonts w:ascii="Arial" w:cs="Arial" w:eastAsia="Arial" w:hAnsi="Arial"/>
                <w:sz w:val="16"/>
                <w:szCs w:val="16"/>
                <w:color w:val="auto"/>
              </w:rPr>
              <w:t>ESG &amp; Sustainability</w:t>
            </w:r>
          </w:p>
        </w:tc>
        <w:tc>
          <w:tcPr>
            <w:tcW w:w="0" w:type="dxa"/>
            <w:vAlign w:val="bottom"/>
          </w:tcPr>
          <w:p>
            <w:pPr>
              <w:spacing w:after="0"/>
              <w:rPr>
                <w:sz w:val="1"/>
                <w:szCs w:val="1"/>
                <w:color w:val="auto"/>
              </w:rPr>
            </w:pPr>
          </w:p>
        </w:tc>
      </w:tr>
      <w:tr>
        <w:trPr>
          <w:trHeight w:val="83"/>
        </w:trPr>
        <w:tc>
          <w:tcPr>
            <w:tcW w:w="2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7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8 of 9 directors</w:t>
            </w:r>
          </w:p>
        </w:tc>
        <w:tc>
          <w:tcPr>
            <w:tcW w:w="500" w:type="dxa"/>
            <w:vAlign w:val="bottom"/>
            <w:vMerge w:val="restart"/>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99"/>
              </w:rPr>
              <w:t>4 of 9 directors</w:t>
            </w:r>
          </w:p>
        </w:tc>
        <w:tc>
          <w:tcPr>
            <w:tcW w:w="0" w:type="dxa"/>
            <w:vAlign w:val="bottom"/>
          </w:tcPr>
          <w:p>
            <w:pPr>
              <w:spacing w:after="0"/>
              <w:rPr>
                <w:sz w:val="1"/>
                <w:szCs w:val="1"/>
                <w:color w:val="auto"/>
              </w:rPr>
            </w:pPr>
          </w:p>
        </w:tc>
      </w:tr>
      <w:tr>
        <w:trPr>
          <w:trHeight w:val="189"/>
        </w:trPr>
        <w:tc>
          <w:tcPr>
            <w:tcW w:w="2280" w:type="dxa"/>
            <w:vAlign w:val="bottom"/>
            <w:shd w:val="clear" w:color="auto" w:fill="00AF41"/>
          </w:tcPr>
          <w:p>
            <w:pPr>
              <w:spacing w:after="0"/>
              <w:rPr>
                <w:sz w:val="16"/>
                <w:szCs w:val="16"/>
                <w:color w:val="auto"/>
              </w:rPr>
            </w:pPr>
          </w:p>
        </w:tc>
        <w:tc>
          <w:tcPr>
            <w:tcW w:w="380" w:type="dxa"/>
            <w:vAlign w:val="bottom"/>
            <w:shd w:val="clear" w:color="auto" w:fill="00AF41"/>
          </w:tcPr>
          <w:p>
            <w:pPr>
              <w:spacing w:after="0"/>
              <w:rPr>
                <w:sz w:val="16"/>
                <w:szCs w:val="16"/>
                <w:color w:val="auto"/>
              </w:rPr>
            </w:pPr>
          </w:p>
        </w:tc>
        <w:tc>
          <w:tcPr>
            <w:tcW w:w="380" w:type="dxa"/>
            <w:vAlign w:val="bottom"/>
            <w:shd w:val="clear" w:color="auto" w:fill="00AF41"/>
          </w:tcPr>
          <w:p>
            <w:pPr>
              <w:spacing w:after="0"/>
              <w:rPr>
                <w:sz w:val="16"/>
                <w:szCs w:val="16"/>
                <w:color w:val="auto"/>
              </w:rPr>
            </w:pPr>
          </w:p>
        </w:tc>
        <w:tc>
          <w:tcPr>
            <w:tcW w:w="380" w:type="dxa"/>
            <w:vAlign w:val="bottom"/>
            <w:shd w:val="clear" w:color="auto" w:fill="7F7F7F"/>
          </w:tcPr>
          <w:p>
            <w:pPr>
              <w:spacing w:after="0"/>
              <w:rPr>
                <w:sz w:val="16"/>
                <w:szCs w:val="16"/>
                <w:color w:val="auto"/>
              </w:rPr>
            </w:pPr>
          </w:p>
        </w:tc>
        <w:tc>
          <w:tcPr>
            <w:tcW w:w="170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800" w:type="dxa"/>
            <w:vAlign w:val="bottom"/>
            <w:shd w:val="clear" w:color="auto" w:fill="00AF41"/>
          </w:tcPr>
          <w:p>
            <w:pPr>
              <w:spacing w:after="0"/>
              <w:rPr>
                <w:sz w:val="16"/>
                <w:szCs w:val="16"/>
                <w:color w:val="auto"/>
              </w:rPr>
            </w:pPr>
          </w:p>
        </w:tc>
        <w:tc>
          <w:tcPr>
            <w:tcW w:w="740" w:type="dxa"/>
            <w:vAlign w:val="bottom"/>
            <w:shd w:val="clear" w:color="auto" w:fill="00AF41"/>
          </w:tcPr>
          <w:p>
            <w:pPr>
              <w:spacing w:after="0"/>
              <w:rPr>
                <w:sz w:val="16"/>
                <w:szCs w:val="16"/>
                <w:color w:val="auto"/>
              </w:rPr>
            </w:pPr>
          </w:p>
        </w:tc>
        <w:tc>
          <w:tcPr>
            <w:tcW w:w="1140" w:type="dxa"/>
            <w:vAlign w:val="bottom"/>
            <w:shd w:val="clear" w:color="auto" w:fill="7F7F7F"/>
          </w:tcPr>
          <w:p>
            <w:pPr>
              <w:spacing w:after="0"/>
              <w:rPr>
                <w:sz w:val="16"/>
                <w:szCs w:val="16"/>
                <w:color w:val="auto"/>
              </w:rPr>
            </w:pPr>
          </w:p>
        </w:tc>
        <w:tc>
          <w:tcPr>
            <w:tcW w:w="760" w:type="dxa"/>
            <w:vAlign w:val="bottom"/>
            <w:shd w:val="clear" w:color="auto" w:fill="7F7F7F"/>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6"/>
        </w:trPr>
        <w:tc>
          <w:tcPr>
            <w:tcW w:w="5120" w:type="dxa"/>
            <w:vAlign w:val="bottom"/>
            <w:gridSpan w:val="5"/>
          </w:tcPr>
          <w:p>
            <w:pPr>
              <w:spacing w:after="0"/>
              <w:rPr>
                <w:sz w:val="20"/>
                <w:szCs w:val="20"/>
                <w:color w:val="auto"/>
              </w:rPr>
            </w:pPr>
            <w:r>
              <w:rPr>
                <w:rFonts w:ascii="Arial" w:cs="Arial" w:eastAsia="Arial" w:hAnsi="Arial"/>
                <w:sz w:val="16"/>
                <w:szCs w:val="16"/>
                <w:color w:val="auto"/>
              </w:rPr>
              <w:t>Technology, Digitization, and Cybersecurity</w:t>
            </w:r>
          </w:p>
        </w:tc>
        <w:tc>
          <w:tcPr>
            <w:tcW w:w="5140" w:type="dxa"/>
            <w:vAlign w:val="bottom"/>
            <w:gridSpan w:val="6"/>
          </w:tcPr>
          <w:p>
            <w:pPr>
              <w:ind w:left="500"/>
              <w:spacing w:after="0"/>
              <w:rPr>
                <w:sz w:val="20"/>
                <w:szCs w:val="20"/>
                <w:color w:val="auto"/>
              </w:rPr>
            </w:pPr>
            <w:r>
              <w:rPr>
                <w:rFonts w:ascii="Arial" w:cs="Arial" w:eastAsia="Arial" w:hAnsi="Arial"/>
                <w:sz w:val="16"/>
                <w:szCs w:val="16"/>
                <w:color w:val="auto"/>
              </w:rPr>
              <w:t>Mergers &amp; Acquisitions</w:t>
            </w:r>
          </w:p>
        </w:tc>
        <w:tc>
          <w:tcPr>
            <w:tcW w:w="0" w:type="dxa"/>
            <w:vAlign w:val="bottom"/>
          </w:tcPr>
          <w:p>
            <w:pPr>
              <w:spacing w:after="0"/>
              <w:rPr>
                <w:sz w:val="1"/>
                <w:szCs w:val="1"/>
                <w:color w:val="auto"/>
              </w:rPr>
            </w:pPr>
          </w:p>
        </w:tc>
      </w:tr>
      <w:tr>
        <w:trPr>
          <w:trHeight w:val="83"/>
        </w:trPr>
        <w:tc>
          <w:tcPr>
            <w:tcW w:w="2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7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6 of 9 directors</w:t>
            </w:r>
          </w:p>
        </w:tc>
        <w:tc>
          <w:tcPr>
            <w:tcW w:w="500" w:type="dxa"/>
            <w:vAlign w:val="bottom"/>
            <w:vMerge w:val="restart"/>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99"/>
              </w:rPr>
              <w:t>9 of 9 directors</w:t>
            </w:r>
          </w:p>
        </w:tc>
        <w:tc>
          <w:tcPr>
            <w:tcW w:w="0" w:type="dxa"/>
            <w:vAlign w:val="bottom"/>
          </w:tcPr>
          <w:p>
            <w:pPr>
              <w:spacing w:after="0"/>
              <w:rPr>
                <w:sz w:val="1"/>
                <w:szCs w:val="1"/>
                <w:color w:val="auto"/>
              </w:rPr>
            </w:pPr>
          </w:p>
        </w:tc>
      </w:tr>
      <w:tr>
        <w:trPr>
          <w:trHeight w:val="189"/>
        </w:trPr>
        <w:tc>
          <w:tcPr>
            <w:tcW w:w="2280" w:type="dxa"/>
            <w:vAlign w:val="bottom"/>
            <w:shd w:val="clear" w:color="auto" w:fill="00AF41"/>
          </w:tcPr>
          <w:p>
            <w:pPr>
              <w:spacing w:after="0"/>
              <w:rPr>
                <w:sz w:val="16"/>
                <w:szCs w:val="16"/>
                <w:color w:val="auto"/>
              </w:rPr>
            </w:pPr>
          </w:p>
        </w:tc>
        <w:tc>
          <w:tcPr>
            <w:tcW w:w="380" w:type="dxa"/>
            <w:vAlign w:val="bottom"/>
            <w:shd w:val="clear" w:color="auto" w:fill="7F7F7F"/>
          </w:tcPr>
          <w:p>
            <w:pPr>
              <w:spacing w:after="0"/>
              <w:rPr>
                <w:sz w:val="16"/>
                <w:szCs w:val="16"/>
                <w:color w:val="auto"/>
              </w:rPr>
            </w:pPr>
          </w:p>
        </w:tc>
        <w:tc>
          <w:tcPr>
            <w:tcW w:w="380" w:type="dxa"/>
            <w:vAlign w:val="bottom"/>
            <w:shd w:val="clear" w:color="auto" w:fill="7F7F7F"/>
          </w:tcPr>
          <w:p>
            <w:pPr>
              <w:spacing w:after="0"/>
              <w:rPr>
                <w:sz w:val="16"/>
                <w:szCs w:val="16"/>
                <w:color w:val="auto"/>
              </w:rPr>
            </w:pPr>
          </w:p>
        </w:tc>
        <w:tc>
          <w:tcPr>
            <w:tcW w:w="380" w:type="dxa"/>
            <w:vAlign w:val="bottom"/>
            <w:shd w:val="clear" w:color="auto" w:fill="7F7F7F"/>
          </w:tcPr>
          <w:p>
            <w:pPr>
              <w:spacing w:after="0"/>
              <w:rPr>
                <w:sz w:val="16"/>
                <w:szCs w:val="16"/>
                <w:color w:val="auto"/>
              </w:rPr>
            </w:pPr>
          </w:p>
        </w:tc>
        <w:tc>
          <w:tcPr>
            <w:tcW w:w="170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800" w:type="dxa"/>
            <w:vAlign w:val="bottom"/>
            <w:shd w:val="clear" w:color="auto" w:fill="00AF41"/>
          </w:tcPr>
          <w:p>
            <w:pPr>
              <w:spacing w:after="0"/>
              <w:rPr>
                <w:sz w:val="16"/>
                <w:szCs w:val="16"/>
                <w:color w:val="auto"/>
              </w:rPr>
            </w:pPr>
          </w:p>
        </w:tc>
        <w:tc>
          <w:tcPr>
            <w:tcW w:w="740" w:type="dxa"/>
            <w:vAlign w:val="bottom"/>
            <w:shd w:val="clear" w:color="auto" w:fill="00AF41"/>
          </w:tcPr>
          <w:p>
            <w:pPr>
              <w:spacing w:after="0"/>
              <w:rPr>
                <w:sz w:val="16"/>
                <w:szCs w:val="16"/>
                <w:color w:val="auto"/>
              </w:rPr>
            </w:pPr>
          </w:p>
        </w:tc>
        <w:tc>
          <w:tcPr>
            <w:tcW w:w="1140" w:type="dxa"/>
            <w:vAlign w:val="bottom"/>
            <w:shd w:val="clear" w:color="auto" w:fill="00AF41"/>
          </w:tcPr>
          <w:p>
            <w:pPr>
              <w:spacing w:after="0"/>
              <w:rPr>
                <w:sz w:val="16"/>
                <w:szCs w:val="16"/>
                <w:color w:val="auto"/>
              </w:rPr>
            </w:pPr>
          </w:p>
        </w:tc>
        <w:tc>
          <w:tcPr>
            <w:tcW w:w="760" w:type="dxa"/>
            <w:vAlign w:val="bottom"/>
            <w:shd w:val="clear" w:color="auto" w:fill="00AF41"/>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6"/>
        </w:trPr>
        <w:tc>
          <w:tcPr>
            <w:tcW w:w="5120" w:type="dxa"/>
            <w:vAlign w:val="bottom"/>
            <w:gridSpan w:val="5"/>
          </w:tcPr>
          <w:p>
            <w:pPr>
              <w:spacing w:after="0"/>
              <w:rPr>
                <w:sz w:val="20"/>
                <w:szCs w:val="20"/>
                <w:color w:val="auto"/>
              </w:rPr>
            </w:pPr>
            <w:r>
              <w:rPr>
                <w:rFonts w:ascii="Arial" w:cs="Arial" w:eastAsia="Arial" w:hAnsi="Arial"/>
                <w:sz w:val="16"/>
                <w:szCs w:val="16"/>
                <w:color w:val="auto"/>
              </w:rPr>
              <w:t>Financial Acumen</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2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70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9 of 9 directors</w:t>
            </w:r>
          </w:p>
        </w:tc>
        <w:tc>
          <w:tcPr>
            <w:tcW w:w="5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280" w:type="dxa"/>
            <w:vAlign w:val="bottom"/>
            <w:shd w:val="clear" w:color="auto" w:fill="00AF41"/>
          </w:tcPr>
          <w:p>
            <w:pPr>
              <w:spacing w:after="0"/>
              <w:rPr>
                <w:sz w:val="16"/>
                <w:szCs w:val="16"/>
                <w:color w:val="auto"/>
              </w:rPr>
            </w:pPr>
          </w:p>
        </w:tc>
        <w:tc>
          <w:tcPr>
            <w:tcW w:w="380" w:type="dxa"/>
            <w:vAlign w:val="bottom"/>
            <w:shd w:val="clear" w:color="auto" w:fill="00AF41"/>
          </w:tcPr>
          <w:p>
            <w:pPr>
              <w:spacing w:after="0"/>
              <w:rPr>
                <w:sz w:val="16"/>
                <w:szCs w:val="16"/>
                <w:color w:val="auto"/>
              </w:rPr>
            </w:pPr>
          </w:p>
        </w:tc>
        <w:tc>
          <w:tcPr>
            <w:tcW w:w="380" w:type="dxa"/>
            <w:vAlign w:val="bottom"/>
            <w:shd w:val="clear" w:color="auto" w:fill="00AF41"/>
          </w:tcPr>
          <w:p>
            <w:pPr>
              <w:spacing w:after="0"/>
              <w:rPr>
                <w:sz w:val="16"/>
                <w:szCs w:val="16"/>
                <w:color w:val="auto"/>
              </w:rPr>
            </w:pPr>
          </w:p>
        </w:tc>
        <w:tc>
          <w:tcPr>
            <w:tcW w:w="380" w:type="dxa"/>
            <w:vAlign w:val="bottom"/>
            <w:shd w:val="clear" w:color="auto" w:fill="00AF41"/>
          </w:tcPr>
          <w:p>
            <w:pPr>
              <w:spacing w:after="0"/>
              <w:rPr>
                <w:sz w:val="16"/>
                <w:szCs w:val="16"/>
                <w:color w:val="auto"/>
              </w:rPr>
            </w:pPr>
          </w:p>
        </w:tc>
        <w:tc>
          <w:tcPr>
            <w:tcW w:w="17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-119380</wp:posOffset>
            </wp:positionV>
            <wp:extent cx="8255" cy="1200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-119380</wp:posOffset>
            </wp:positionV>
            <wp:extent cx="8890" cy="1200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-119380</wp:posOffset>
            </wp:positionV>
            <wp:extent cx="8890" cy="1200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-119380</wp:posOffset>
            </wp:positionV>
            <wp:extent cx="8255" cy="1200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-119380</wp:posOffset>
            </wp:positionV>
            <wp:extent cx="8890" cy="1200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-119380</wp:posOffset>
            </wp:positionV>
            <wp:extent cx="8890" cy="1200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-119380</wp:posOffset>
            </wp:positionV>
            <wp:extent cx="8255" cy="1200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-119380</wp:posOffset>
            </wp:positionV>
            <wp:extent cx="8890" cy="1200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-530860</wp:posOffset>
            </wp:positionV>
            <wp:extent cx="8255" cy="1200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-530860</wp:posOffset>
            </wp:positionV>
            <wp:extent cx="8890" cy="1200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-530860</wp:posOffset>
            </wp:positionV>
            <wp:extent cx="8890" cy="1200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-530860</wp:posOffset>
            </wp:positionV>
            <wp:extent cx="8255" cy="1200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-530860</wp:posOffset>
            </wp:positionV>
            <wp:extent cx="8890" cy="1200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-530860</wp:posOffset>
            </wp:positionV>
            <wp:extent cx="8890" cy="1200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-530860</wp:posOffset>
            </wp:positionV>
            <wp:extent cx="8255" cy="1200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-530860</wp:posOffset>
            </wp:positionV>
            <wp:extent cx="8890" cy="1200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-942340</wp:posOffset>
            </wp:positionV>
            <wp:extent cx="8255" cy="1200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-942340</wp:posOffset>
            </wp:positionV>
            <wp:extent cx="8890" cy="1200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-942340</wp:posOffset>
            </wp:positionV>
            <wp:extent cx="8890" cy="1200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-942340</wp:posOffset>
            </wp:positionV>
            <wp:extent cx="8255" cy="1200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-942340</wp:posOffset>
            </wp:positionV>
            <wp:extent cx="8890" cy="1200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-942340</wp:posOffset>
            </wp:positionV>
            <wp:extent cx="8890" cy="1200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-942340</wp:posOffset>
            </wp:positionV>
            <wp:extent cx="8255" cy="1200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-942340</wp:posOffset>
            </wp:positionV>
            <wp:extent cx="8890" cy="1200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-1353820</wp:posOffset>
            </wp:positionV>
            <wp:extent cx="8255" cy="1200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-1353820</wp:posOffset>
            </wp:positionV>
            <wp:extent cx="8890" cy="1200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-1353820</wp:posOffset>
            </wp:positionV>
            <wp:extent cx="8890" cy="1200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-1353820</wp:posOffset>
            </wp:positionV>
            <wp:extent cx="8255" cy="1200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-1353820</wp:posOffset>
            </wp:positionV>
            <wp:extent cx="8890" cy="1200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-1353820</wp:posOffset>
            </wp:positionV>
            <wp:extent cx="8890" cy="1200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-1353820</wp:posOffset>
            </wp:positionV>
            <wp:extent cx="8255" cy="1200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-1353820</wp:posOffset>
            </wp:positionV>
            <wp:extent cx="8890" cy="1200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-1765300</wp:posOffset>
            </wp:positionV>
            <wp:extent cx="8255" cy="1200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-1765300</wp:posOffset>
            </wp:positionV>
            <wp:extent cx="8890" cy="1200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-1765300</wp:posOffset>
            </wp:positionV>
            <wp:extent cx="8255" cy="1200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-1765300</wp:posOffset>
            </wp:positionV>
            <wp:extent cx="8890" cy="1200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-1765300</wp:posOffset>
            </wp:positionV>
            <wp:extent cx="8890" cy="1200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-1765300</wp:posOffset>
            </wp:positionV>
            <wp:extent cx="8255" cy="1200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-1765300</wp:posOffset>
            </wp:positionV>
            <wp:extent cx="8890" cy="1200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2002155</wp:posOffset>
            </wp:positionH>
            <wp:positionV relativeFrom="paragraph">
              <wp:posOffset>-2176780</wp:posOffset>
            </wp:positionV>
            <wp:extent cx="8255" cy="1200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-2176780</wp:posOffset>
            </wp:positionV>
            <wp:extent cx="8890" cy="1200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1522095</wp:posOffset>
            </wp:positionH>
            <wp:positionV relativeFrom="paragraph">
              <wp:posOffset>-2176780</wp:posOffset>
            </wp:positionV>
            <wp:extent cx="8890" cy="1200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1282065</wp:posOffset>
            </wp:positionH>
            <wp:positionV relativeFrom="paragraph">
              <wp:posOffset>-2176780</wp:posOffset>
            </wp:positionV>
            <wp:extent cx="8255" cy="1200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-2176780</wp:posOffset>
            </wp:positionV>
            <wp:extent cx="8890" cy="1200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-2176780</wp:posOffset>
            </wp:positionV>
            <wp:extent cx="8890" cy="1200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-2176780</wp:posOffset>
            </wp:positionV>
            <wp:extent cx="8255" cy="1200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-2176780</wp:posOffset>
            </wp:positionV>
            <wp:extent cx="8890" cy="1200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-530860</wp:posOffset>
            </wp:positionV>
            <wp:extent cx="8255" cy="1200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-530860</wp:posOffset>
            </wp:positionV>
            <wp:extent cx="8255" cy="1200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-530860</wp:posOffset>
            </wp:positionV>
            <wp:extent cx="8255" cy="1200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-530860</wp:posOffset>
            </wp:positionV>
            <wp:extent cx="8890" cy="1200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-530860</wp:posOffset>
            </wp:positionV>
            <wp:extent cx="8890" cy="1200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-530860</wp:posOffset>
            </wp:positionV>
            <wp:extent cx="8255" cy="1200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-530860</wp:posOffset>
            </wp:positionV>
            <wp:extent cx="8255" cy="1200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-942340</wp:posOffset>
            </wp:positionV>
            <wp:extent cx="8255" cy="1200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-942340</wp:posOffset>
            </wp:positionV>
            <wp:extent cx="8255" cy="1200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-942340</wp:posOffset>
            </wp:positionV>
            <wp:extent cx="8255" cy="1200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-942340</wp:posOffset>
            </wp:positionV>
            <wp:extent cx="8255" cy="1200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-942340</wp:posOffset>
            </wp:positionV>
            <wp:extent cx="8890" cy="1200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-942340</wp:posOffset>
            </wp:positionV>
            <wp:extent cx="8890" cy="1200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-942340</wp:posOffset>
            </wp:positionV>
            <wp:extent cx="8255" cy="1200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-942340</wp:posOffset>
            </wp:positionV>
            <wp:extent cx="8255" cy="1200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-1353820</wp:posOffset>
            </wp:positionV>
            <wp:extent cx="8255" cy="1200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-1353820</wp:posOffset>
            </wp:positionV>
            <wp:extent cx="8255" cy="1200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-1353820</wp:posOffset>
            </wp:positionV>
            <wp:extent cx="8255" cy="1200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-1353820</wp:posOffset>
            </wp:positionV>
            <wp:extent cx="8255" cy="1200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-1353820</wp:posOffset>
            </wp:positionV>
            <wp:extent cx="8890" cy="1200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-1353820</wp:posOffset>
            </wp:positionV>
            <wp:extent cx="8890" cy="1200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-1353820</wp:posOffset>
            </wp:positionV>
            <wp:extent cx="8255" cy="1200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-1353820</wp:posOffset>
            </wp:positionV>
            <wp:extent cx="8255" cy="1200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-1765300</wp:posOffset>
            </wp:positionV>
            <wp:extent cx="8255" cy="1200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-1765300</wp:posOffset>
            </wp:positionV>
            <wp:extent cx="8255" cy="1200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-1765300</wp:posOffset>
            </wp:positionV>
            <wp:extent cx="8255" cy="1200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-1765300</wp:posOffset>
            </wp:positionV>
            <wp:extent cx="8255" cy="1200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-1765300</wp:posOffset>
            </wp:positionV>
            <wp:extent cx="8890" cy="1200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-1765300</wp:posOffset>
            </wp:positionV>
            <wp:extent cx="8890" cy="1200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-1765300</wp:posOffset>
            </wp:positionV>
            <wp:extent cx="8255" cy="1200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-1765300</wp:posOffset>
            </wp:positionV>
            <wp:extent cx="8255" cy="1200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-2176780</wp:posOffset>
            </wp:positionV>
            <wp:extent cx="8255" cy="1200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-2176780</wp:posOffset>
            </wp:positionV>
            <wp:extent cx="8255" cy="1200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-2176780</wp:posOffset>
            </wp:positionV>
            <wp:extent cx="8255" cy="1200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-2176780</wp:posOffset>
            </wp:positionV>
            <wp:extent cx="8255" cy="1200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-2176780</wp:posOffset>
            </wp:positionV>
            <wp:extent cx="8890" cy="1200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-2176780</wp:posOffset>
            </wp:positionV>
            <wp:extent cx="8890" cy="1200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1200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-2176780</wp:posOffset>
            </wp:positionV>
            <wp:extent cx="8255" cy="1200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1200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-2176780</wp:posOffset>
            </wp:positionV>
            <wp:extent cx="8255" cy="1200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120015"/>
                    </a:xfrm>
                    <a:prstGeom prst="rect">
                      <a:avLst/>
                    </a:prstGeom>
                    <a:noFill/>
                  </pic:spPr>
                </pic:pic>
              </a:graphicData>
            </a:graphic>
          </wp:anchor>
        </w:drawing>
      </w:r>
    </w:p>
    <w:p>
      <w:pPr>
        <w:spacing w:after="0" w:line="251" w:lineRule="exact"/>
        <w:rPr>
          <w:sz w:val="20"/>
          <w:szCs w:val="20"/>
          <w:color w:val="auto"/>
        </w:rPr>
      </w:pPr>
    </w:p>
    <w:p>
      <w:pPr>
        <w:ind w:left="1082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7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-142875</wp:posOffset>
            </wp:positionV>
            <wp:extent cx="411480" cy="1968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Proposal 1: Election of Directors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1"/>
          <w:szCs w:val="21"/>
          <w:b w:val="1"/>
          <w:bCs w:val="1"/>
          <w:color w:val="auto"/>
        </w:rPr>
        <w:t>Biographical Information About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120765" cy="16459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120765" cy="164592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Specific Experience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2040255" cy="11315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040255" cy="1131570"/>
                    </a:xfrm>
                    <a:prstGeom prst="rect">
                      <a:avLst/>
                    </a:prstGeom>
                    <a:noFill/>
                  </pic:spPr>
                </pic:pic>
              </a:graphicData>
            </a:graphic>
          </wp:anchor>
        </w:drawing>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Executive Leadership</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Transformations</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Innovation</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Industry</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Financial Acumen</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Legal/Corporate</w:t>
      </w:r>
    </w:p>
    <w:p>
      <w:pPr>
        <w:spacing w:after="0" w:line="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Governance</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Mergers &amp;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172720</wp:posOffset>
            </wp:positionV>
            <wp:extent cx="1645920" cy="16459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64592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Specific Experience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2040255" cy="16116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040255" cy="1611630"/>
                    </a:xfrm>
                    <a:prstGeom prst="rect">
                      <a:avLst/>
                    </a:prstGeom>
                    <a:noFill/>
                  </pic:spPr>
                </pic:pic>
              </a:graphicData>
            </a:graphic>
          </wp:anchor>
        </w:drawing>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Executive Leadership</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Transformations</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Innovation</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Industry</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Technology/Digitization/</w:t>
      </w:r>
    </w:p>
    <w:p>
      <w:pPr>
        <w:spacing w:after="0" w:line="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Cybersecurity</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Financial Acumen</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Risk Management</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Legal/Corporate</w:t>
      </w:r>
    </w:p>
    <w:p>
      <w:pPr>
        <w:spacing w:after="0" w:line="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Governance</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ESG/Sustainability</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Mergers &amp; Acquisitions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None</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Directorships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Managing Director, Apjohn Group, LLC (2001 - present)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General Partner, Apjohn Ventures Fund (2003 - present)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General Partner, Apjohn Ventures Annex Fund (2010 - 2022)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Director, Rockwell Automation, Inc. (2008 - present)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Director, MASCO Corporation (2012 - present)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Director, Sierra Oncology Inc. (2015 - 2019)</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University of Michigan, MBA, Finance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University of Arizona, BA, Economics</w:t>
      </w:r>
    </w:p>
    <w:p>
      <w:pPr>
        <w:spacing w:after="0" w:line="6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Mr. Parfet was appointed Chairman of the Board in 2018. Prior to being appointed to the Chairman role, he served as the Board’s Lead Director since 2012. He currently leads a business development company and a venture capital firm focused on the development of emerging medicines. He also serves as a director of two large publicly held companies and is a director and Trustee of several charitable and civic organizations. Mr. Parfet brings to the Board extensive financial and operating experience as an executive with responsibilities for numerous global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3951605" cy="548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95160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None</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Directorships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President and Chief Executive Officer, Kelly Services, Inc. (2019 - present)</w:t>
      </w:r>
    </w:p>
    <w:p>
      <w:pPr>
        <w:spacing w:after="0" w:line="4" w:lineRule="exact"/>
        <w:rPr>
          <w:sz w:val="20"/>
          <w:szCs w:val="20"/>
          <w:color w:val="auto"/>
        </w:rPr>
      </w:pPr>
    </w:p>
    <w:p>
      <w:pPr>
        <w:ind w:left="160" w:right="100" w:hanging="161"/>
        <w:spacing w:after="0" w:line="245" w:lineRule="auto"/>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Executive Vice President, President of Global Staffing and General Manager of IT, Global Service, and</w:t>
      </w:r>
      <w:r>
        <w:rPr>
          <w:rFonts w:ascii="Times New Roman" w:cs="Times New Roman" w:eastAsia="Times New Roman" w:hAnsi="Times New Roman"/>
          <w:sz w:val="13"/>
          <w:szCs w:val="13"/>
          <w:color w:val="00AF41"/>
        </w:rPr>
        <w:t xml:space="preserve"> </w:t>
      </w:r>
      <w:r>
        <w:rPr>
          <w:rFonts w:ascii="Arial" w:cs="Arial" w:eastAsia="Arial" w:hAnsi="Arial"/>
          <w:sz w:val="16"/>
          <w:szCs w:val="16"/>
          <w:color w:val="000000"/>
        </w:rPr>
        <w:t>Global Business Services, Kelly Services, Inc. (2017 - 2019)</w:t>
      </w:r>
    </w:p>
    <w:p>
      <w:pPr>
        <w:spacing w:after="0" w:line="1" w:lineRule="exact"/>
        <w:rPr>
          <w:sz w:val="20"/>
          <w:szCs w:val="20"/>
          <w:color w:val="auto"/>
        </w:rPr>
      </w:pPr>
    </w:p>
    <w:p>
      <w:pPr>
        <w:ind w:left="160" w:right="340" w:hanging="161"/>
        <w:spacing w:after="0" w:line="263" w:lineRule="auto"/>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Senior Vice President, General Counsel, Chief Administrative Officer and Assistant Secretary, Kelly</w:t>
      </w:r>
      <w:r>
        <w:rPr>
          <w:rFonts w:ascii="Times New Roman" w:cs="Times New Roman" w:eastAsia="Times New Roman" w:hAnsi="Times New Roman"/>
          <w:sz w:val="13"/>
          <w:szCs w:val="13"/>
          <w:color w:val="00AF41"/>
        </w:rPr>
        <w:t xml:space="preserve"> </w:t>
      </w:r>
      <w:r>
        <w:rPr>
          <w:rFonts w:ascii="Arial" w:cs="Arial" w:eastAsia="Arial" w:hAnsi="Arial"/>
          <w:sz w:val="16"/>
          <w:szCs w:val="16"/>
          <w:color w:val="000000"/>
        </w:rPr>
        <w:t>Services, Inc. (2015 - 2017)</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1" w:lineRule="exact"/>
        <w:rPr>
          <w:sz w:val="20"/>
          <w:szCs w:val="20"/>
          <w:color w:val="auto"/>
        </w:rPr>
      </w:pPr>
    </w:p>
    <w:p>
      <w:pPr>
        <w:ind w:right="3280"/>
        <w:spacing w:after="0" w:line="263" w:lineRule="auto"/>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National Law Center at George Washington University, JD</w:t>
      </w:r>
      <w:r>
        <w:rPr>
          <w:rFonts w:ascii="Times New Roman" w:cs="Times New Roman" w:eastAsia="Times New Roman" w:hAnsi="Times New Roman"/>
          <w:sz w:val="13"/>
          <w:szCs w:val="13"/>
          <w:color w:val="00AF41"/>
        </w:rPr>
        <w:t xml:space="preserve"> ●</w:t>
      </w:r>
      <w:r>
        <w:rPr>
          <w:rFonts w:ascii="Arial" w:cs="Arial" w:eastAsia="Arial" w:hAnsi="Arial"/>
          <w:sz w:val="16"/>
          <w:szCs w:val="16"/>
          <w:color w:val="000000"/>
        </w:rPr>
        <w:t xml:space="preserve">  University of Michigan, BA</w:t>
      </w:r>
    </w:p>
    <w:p>
      <w:pPr>
        <w:spacing w:after="0" w:line="38"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Mr. Quigley was appointed President and Chief Executive Officer of Kelly in October 2019. He has 19 years of experience in a variety of roles at Kelly and has served as an officer of the Company since 2004. Prior to joining Kelly, Mr. Quigley held an array of roles at Lucent Technologies and AT&amp;T Corporation. Mr. Quigley also serves on the Boards of the American Staffing Association, Detroit Regional Chamber, Business Leaders for Michigan, and the Detroit Economic Club. He brings to the Board his leadership experience and extensive knowledge of the Company’s business.</w:t>
      </w:r>
    </w:p>
    <w:p>
      <w:pPr>
        <w:spacing w:after="0" w:line="1033" w:lineRule="exact"/>
        <w:rPr>
          <w:sz w:val="20"/>
          <w:szCs w:val="20"/>
          <w:color w:val="auto"/>
        </w:rPr>
      </w:pPr>
    </w:p>
    <w:p>
      <w:pPr>
        <w:sectPr>
          <w:pgSz w:w="11900" w:h="16838" w:orient="portrait"/>
          <w:cols w:equalWidth="0" w:num="2">
            <w:col w:w="2820" w:space="720"/>
            <w:col w:w="7580"/>
          </w:cols>
          <w:pgMar w:left="320" w:top="482" w:right="459" w:bottom="1440" w:gutter="0" w:footer="0" w:header="0"/>
          <w:type w:val="continuous"/>
        </w:sectPr>
      </w:pPr>
    </w:p>
    <w:p>
      <w:pPr>
        <w:ind w:left="180"/>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-135890</wp:posOffset>
            </wp:positionV>
            <wp:extent cx="8255" cy="2317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-135890</wp:posOffset>
            </wp:positionV>
            <wp:extent cx="411480" cy="1968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405130</wp:posOffset>
            </wp:positionV>
            <wp:extent cx="1645920" cy="16459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64592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ind w:right="220"/>
        <w:spacing w:after="0"/>
        <w:rPr>
          <w:sz w:val="20"/>
          <w:szCs w:val="20"/>
          <w:color w:val="auto"/>
        </w:rPr>
      </w:pPr>
      <w:r>
        <w:rPr>
          <w:rFonts w:ascii="Arial" w:cs="Arial" w:eastAsia="Arial" w:hAnsi="Arial"/>
          <w:sz w:val="16"/>
          <w:szCs w:val="16"/>
          <w:b w:val="1"/>
          <w:bCs w:val="1"/>
          <w:color w:val="auto"/>
        </w:rPr>
        <w:t>Specific Experience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2040255" cy="16630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040255" cy="1663065"/>
                    </a:xfrm>
                    <a:prstGeom prst="rect">
                      <a:avLst/>
                    </a:prstGeom>
                    <a:noFill/>
                  </pic:spPr>
                </pic:pic>
              </a:graphicData>
            </a:graphic>
          </wp:anchor>
        </w:drawing>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Executive Leadership</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Transformations</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Innovation</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Industry</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Technology/Digitization/</w:t>
      </w:r>
    </w:p>
    <w:p>
      <w:pPr>
        <w:spacing w:after="0" w:line="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Cybersecurity</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Financial Acumen</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Legal/Corporate</w:t>
      </w:r>
    </w:p>
    <w:p>
      <w:pPr>
        <w:spacing w:after="0" w:line="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Governance</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ESG/Sustainability</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Mergers &amp;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344170</wp:posOffset>
            </wp:positionV>
            <wp:extent cx="1645920" cy="16459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64592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20"/>
        <w:spacing w:after="0"/>
        <w:rPr>
          <w:sz w:val="20"/>
          <w:szCs w:val="20"/>
          <w:color w:val="auto"/>
        </w:rPr>
      </w:pPr>
      <w:r>
        <w:rPr>
          <w:rFonts w:ascii="Arial" w:cs="Arial" w:eastAsia="Arial" w:hAnsi="Arial"/>
          <w:sz w:val="16"/>
          <w:szCs w:val="16"/>
          <w:b w:val="1"/>
          <w:bCs w:val="1"/>
          <w:color w:val="auto"/>
        </w:rPr>
        <w:t>Specific Experience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2040255" cy="11315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040255" cy="1131570"/>
                    </a:xfrm>
                    <a:prstGeom prst="rect">
                      <a:avLst/>
                    </a:prstGeom>
                    <a:noFill/>
                  </pic:spPr>
                </pic:pic>
              </a:graphicData>
            </a:graphic>
          </wp:anchor>
        </w:drawing>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Executive Leadership</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Innovation</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Industry</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Technology/Digitization/</w:t>
      </w:r>
    </w:p>
    <w:p>
      <w:pPr>
        <w:spacing w:after="0" w:line="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Cybersecurity</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Financial Acumen</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Risk Management</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Mergers &amp; Acquisitions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-654050</wp:posOffset>
            </wp:positionV>
            <wp:extent cx="7174865" cy="55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3951605" cy="5486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95160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Audit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Compensation and Talent Management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Corporate Governance and Nominating</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Directorships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Director, NAACP Legal Defense and Education Fund (1998 - present)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Director, Cintas Corporation (2006 - present)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Board Chair, Cardinal Spellman High School Board (2022 - present)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Trustee, Cardinal Spellman High School Board (2010 - 2022)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Senior Partner and other executive positions, Booz &amp; Co. (1981 - 2016)</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Harvard Business School, MBA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Massachusetts Institute of Technology, MS, Chemical Engineering</w:t>
      </w:r>
    </w:p>
    <w:p>
      <w:pPr>
        <w:spacing w:after="0" w:line="4" w:lineRule="exact"/>
        <w:rPr>
          <w:sz w:val="20"/>
          <w:szCs w:val="20"/>
          <w:color w:val="auto"/>
        </w:rPr>
      </w:pPr>
    </w:p>
    <w:p>
      <w:pPr>
        <w:ind w:left="160" w:right="400" w:hanging="161"/>
        <w:spacing w:after="0" w:line="245" w:lineRule="auto"/>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Massachusetts Institute of Technology, BS, Management Science (Concentration in Organizational</w:t>
      </w:r>
      <w:r>
        <w:rPr>
          <w:rFonts w:ascii="Times New Roman" w:cs="Times New Roman" w:eastAsia="Times New Roman" w:hAnsi="Times New Roman"/>
          <w:sz w:val="13"/>
          <w:szCs w:val="13"/>
          <w:color w:val="00AF41"/>
        </w:rPr>
        <w:t xml:space="preserve"> </w:t>
      </w:r>
      <w:r>
        <w:rPr>
          <w:rFonts w:ascii="Arial" w:cs="Arial" w:eastAsia="Arial" w:hAnsi="Arial"/>
          <w:sz w:val="16"/>
          <w:szCs w:val="16"/>
          <w:color w:val="000000"/>
        </w:rPr>
        <w:t>Psychology)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Massachusetts Institute of Technology, BS, Chemical Engineering</w:t>
      </w:r>
    </w:p>
    <w:p>
      <w:pPr>
        <w:spacing w:after="0" w:line="69"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Mr. Adolph joined our Board in March 2018 with over 35 years of experience in growth strategy, mergers and acquisitions, and technology-driven industry changes. He also has governance experience through his past service on the board of Booz &amp; Co. and current service on the boards of Cintas Corp., where he chairs the compensation committee, and the NAACP Legal Defense and Education Fund, where he served as co-chair from 2011 to 2021. Mr. Adolph is a founding board member of Black Economic Alliance and served as a director from 2017 to 2020. He also serves on the board of Abt Associates. His extensive business expertise, strategic perspective, and strong leadership skills make him a valued contributor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951605" cy="5486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95160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None</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Directorships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President and Chief Executive Officer, Kelly Services, Inc. (2017 - 2019)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Executive Vice President and Chief Operating Officer, Kelly Services, Inc. (2009 -2017)</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Oakland University, MBA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Wayne State University, BSBA</w:t>
      </w:r>
    </w:p>
    <w:p>
      <w:pPr>
        <w:spacing w:after="0" w:line="69"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Mr. Corona served as President and Chief Executive Officer of Kelly from May 2017 until his retirement in September 2019. He had more than 20 years of experience in a variety of executive roles with Kelly, including eight years as Executive Vice President and Chief Operating Officer. Prior to joining Kelly in 1994, he held management roles at Digital Equipment Professional Services Group and Burroughs Corporation. Mr. Corona also serves on the boards of several not-for-profit organizations. He brings to the Board significant knowledge of the Company and executive leadership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728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4358005</wp:posOffset>
            </wp:positionH>
            <wp:positionV relativeFrom="paragraph">
              <wp:posOffset>-142875</wp:posOffset>
            </wp:positionV>
            <wp:extent cx="8255" cy="2311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3757930</wp:posOffset>
            </wp:positionH>
            <wp:positionV relativeFrom="paragraph">
              <wp:posOffset>-142875</wp:posOffset>
            </wp:positionV>
            <wp:extent cx="411480" cy="1968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2">
            <w:col w:w="2820" w:space="720"/>
            <w:col w:w="760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99695</wp:posOffset>
            </wp:positionV>
            <wp:extent cx="1645920" cy="16459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64592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220"/>
        <w:spacing w:after="0"/>
        <w:rPr>
          <w:sz w:val="20"/>
          <w:szCs w:val="20"/>
          <w:color w:val="auto"/>
        </w:rPr>
      </w:pPr>
      <w:r>
        <w:rPr>
          <w:rFonts w:ascii="Arial" w:cs="Arial" w:eastAsia="Arial" w:hAnsi="Arial"/>
          <w:sz w:val="16"/>
          <w:szCs w:val="16"/>
          <w:b w:val="1"/>
          <w:bCs w:val="1"/>
          <w:color w:val="auto"/>
        </w:rPr>
        <w:t>Specific Experience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2040255" cy="12515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040255" cy="1251585"/>
                    </a:xfrm>
                    <a:prstGeom prst="rect">
                      <a:avLst/>
                    </a:prstGeom>
                    <a:noFill/>
                  </pic:spPr>
                </pic:pic>
              </a:graphicData>
            </a:graphic>
          </wp:anchor>
        </w:drawing>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Executive Leadership</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Transformations</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Innovation</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Industry</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Financial Expert</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Risk Management</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Legal/Corporate</w:t>
      </w:r>
    </w:p>
    <w:p>
      <w:pPr>
        <w:spacing w:after="0" w:line="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Governance</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Mergers &amp;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233045</wp:posOffset>
            </wp:positionV>
            <wp:extent cx="1645920" cy="16459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64592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ind w:right="220"/>
        <w:spacing w:after="0"/>
        <w:rPr>
          <w:sz w:val="20"/>
          <w:szCs w:val="20"/>
          <w:color w:val="auto"/>
        </w:rPr>
      </w:pPr>
      <w:r>
        <w:rPr>
          <w:rFonts w:ascii="Arial" w:cs="Arial" w:eastAsia="Arial" w:hAnsi="Arial"/>
          <w:sz w:val="16"/>
          <w:szCs w:val="16"/>
          <w:b w:val="1"/>
          <w:bCs w:val="1"/>
          <w:color w:val="auto"/>
        </w:rPr>
        <w:t>Specific Experience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2040255" cy="1671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040255" cy="1671955"/>
                    </a:xfrm>
                    <a:prstGeom prst="rect">
                      <a:avLst/>
                    </a:prstGeom>
                    <a:noFill/>
                  </pic:spPr>
                </pic:pic>
              </a:graphicData>
            </a:graphic>
          </wp:anchor>
        </w:drawing>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Executive Leadership</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Transformations</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Innovation</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Industry</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Technology/Digitization/</w:t>
      </w:r>
    </w:p>
    <w:p>
      <w:pPr>
        <w:spacing w:after="0" w:line="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Cybersecurity</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Financial Acumen</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Risk Management</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Legal/Corporate</w:t>
      </w:r>
    </w:p>
    <w:p>
      <w:pPr>
        <w:spacing w:after="0" w:line="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Governance</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ESG/Sustainability</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Mergers &amp; Acquisitions</w:t>
      </w:r>
    </w:p>
    <w:p>
      <w:pPr>
        <w:spacing w:after="0" w:line="30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7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-142875</wp:posOffset>
            </wp:positionV>
            <wp:extent cx="411480" cy="1968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-1410335</wp:posOffset>
            </wp:positionV>
            <wp:extent cx="7174865" cy="552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-655955</wp:posOffset>
            </wp:positionV>
            <wp:extent cx="3951605" cy="5486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951605" cy="54864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Audit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Compensation and Talent Management (Chair)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Corporate Governance and Nominating</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Directorships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Director, Huntington Bancshares Incorporated (2017 - present)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Director, First Merit Corporation (2013 - 2017)</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President and Chief Executive Officer, Meadowbrook Insurance Group, Inc. (2002 - 2016)</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Detroit College of Law, JD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Wayne State University, BA, Psychology</w:t>
      </w:r>
    </w:p>
    <w:p>
      <w:pPr>
        <w:spacing w:after="0" w:line="69"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Mr. Cubbin is an attorney with 31 years of experience in insurance law. In 2016, he retired as President and Chief Executive Officer of an insurance company. Mr. Cubbin currently serves as a director of one other publicly held company. In addition to his leadership experience, he brings to the Board expertise in the areas of legal, insurance, management, accounting, actuarial, investment, underwriting, reinsurance, and claims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525780</wp:posOffset>
            </wp:positionV>
            <wp:extent cx="3951605" cy="5486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95160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Audit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Corporate Governance and Nominating</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Directorships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Executive Vice President and Chief Information Officer, United Services Automobile Association (USAA)</w:t>
      </w:r>
    </w:p>
    <w:p>
      <w:pPr>
        <w:spacing w:after="0" w:line="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(2022 – present)</w:t>
      </w:r>
    </w:p>
    <w:p>
      <w:pPr>
        <w:spacing w:after="0" w:line="5" w:lineRule="exact"/>
        <w:rPr>
          <w:sz w:val="20"/>
          <w:szCs w:val="20"/>
          <w:color w:val="auto"/>
        </w:rPr>
      </w:pPr>
    </w:p>
    <w:p>
      <w:pPr>
        <w:ind w:left="160" w:right="760" w:hanging="161"/>
        <w:spacing w:after="0" w:line="245" w:lineRule="auto"/>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Senior Executive Vice President, Chief Operations and Technology Officer, Regions Financial</w:t>
      </w:r>
      <w:r>
        <w:rPr>
          <w:rFonts w:ascii="Times New Roman" w:cs="Times New Roman" w:eastAsia="Times New Roman" w:hAnsi="Times New Roman"/>
          <w:sz w:val="13"/>
          <w:szCs w:val="13"/>
          <w:color w:val="00AF41"/>
        </w:rPr>
        <w:t xml:space="preserve"> </w:t>
      </w:r>
      <w:r>
        <w:rPr>
          <w:rFonts w:ascii="Arial" w:cs="Arial" w:eastAsia="Arial" w:hAnsi="Arial"/>
          <w:sz w:val="16"/>
          <w:szCs w:val="16"/>
          <w:color w:val="000000"/>
        </w:rPr>
        <w:t>Corporation (2017 – 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Director, Innovation Depot (2021)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Director, Regions Bank (2019 – 2022)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Director, Techbridge, Inc. (2016 - 2020)</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Columbia University, MS, Technology Management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University of Nebraska at Omaha, MBA, International Business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Osmania University, BS, Electronics and Communications Engineering</w:t>
      </w:r>
    </w:p>
    <w:p>
      <w:pPr>
        <w:spacing w:after="0" w:line="69"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Ms. Duggirala joined our Board in January 2022 with more than 24 years of leadership experience with global organizations. She is a renowned digital transformation and technology strategist with skills in large-scale strategic product delivery, technical innovation, and complex financial management. She brings to the Board a wealth of knowledge in integrations, strategic planning, product development, operations, engineering, data management, and cybersecurity. Ms. Duggirala has significant cybersecurity experience from working in a variety of information technology and data analytics roles, including Chief Operations and Technology Officer at Regions Bank and Chief Technology Officer at other large fintech firms. In 2022, Ms. Duggirala received the esteemed Outstanding 50 Asian Americans in Business Award.</w:t>
      </w:r>
    </w:p>
    <w:p>
      <w:pPr>
        <w:sectPr>
          <w:pgSz w:w="11900" w:h="16838" w:orient="portrait"/>
          <w:cols w:equalWidth="0" w:num="2">
            <w:col w:w="2820" w:space="720"/>
            <w:col w:w="758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405130</wp:posOffset>
            </wp:positionV>
            <wp:extent cx="1645920" cy="16459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64592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ind w:right="220"/>
        <w:spacing w:after="0"/>
        <w:rPr>
          <w:sz w:val="20"/>
          <w:szCs w:val="20"/>
          <w:color w:val="auto"/>
        </w:rPr>
      </w:pPr>
      <w:r>
        <w:rPr>
          <w:rFonts w:ascii="Arial" w:cs="Arial" w:eastAsia="Arial" w:hAnsi="Arial"/>
          <w:sz w:val="16"/>
          <w:szCs w:val="16"/>
          <w:b w:val="1"/>
          <w:bCs w:val="1"/>
          <w:color w:val="auto"/>
        </w:rPr>
        <w:t>Specific Experience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2040255" cy="13716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040255" cy="1371600"/>
                    </a:xfrm>
                    <a:prstGeom prst="rect">
                      <a:avLst/>
                    </a:prstGeom>
                    <a:noFill/>
                  </pic:spPr>
                </pic:pic>
              </a:graphicData>
            </a:graphic>
          </wp:anchor>
        </w:drawing>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Executive Leadership</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Transformations</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Innovation</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Industry</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Technology/Digitization/</w:t>
      </w:r>
    </w:p>
    <w:p>
      <w:pPr>
        <w:spacing w:after="0" w:line="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Cybersecurity</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Financial Acumen</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Risk Management</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ESG/Sustainability</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Mergers &amp;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233045</wp:posOffset>
            </wp:positionV>
            <wp:extent cx="1645920" cy="16459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64592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220"/>
        <w:spacing w:after="0"/>
        <w:rPr>
          <w:sz w:val="20"/>
          <w:szCs w:val="20"/>
          <w:color w:val="auto"/>
        </w:rPr>
      </w:pPr>
      <w:r>
        <w:rPr>
          <w:rFonts w:ascii="Arial" w:cs="Arial" w:eastAsia="Arial" w:hAnsi="Arial"/>
          <w:sz w:val="16"/>
          <w:szCs w:val="16"/>
          <w:b w:val="1"/>
          <w:bCs w:val="1"/>
          <w:color w:val="auto"/>
        </w:rPr>
        <w:t>Specific Experience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2040255" cy="10115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040255" cy="1011555"/>
                    </a:xfrm>
                    <a:prstGeom prst="rect">
                      <a:avLst/>
                    </a:prstGeom>
                    <a:noFill/>
                  </pic:spPr>
                </pic:pic>
              </a:graphicData>
            </a:graphic>
          </wp:anchor>
        </w:drawing>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Executive Leadership</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Transformations</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Financial Acumen</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Risk Management</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Legal/Corporate</w:t>
      </w:r>
    </w:p>
    <w:p>
      <w:pPr>
        <w:spacing w:after="0" w:line="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Governance</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Mergers &amp; Acquisitions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-654050</wp:posOffset>
            </wp:positionV>
            <wp:extent cx="7174865" cy="552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99695</wp:posOffset>
            </wp:positionV>
            <wp:extent cx="3951605" cy="5486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95160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Compensation and Talent Management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Corporate Governance and Nominating</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Directorships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Chief People and Diversity Officer, Zendesk, Inc. (2018 – 2022)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Senior Vice President and Chief Human Resources Officer, Plantronics, Inc. (2015 – 2018)</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Director, Entrepreneurship for All (EforAll) (2020 – present)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Member of CNBC’s Workforce Executive Council (2021 – present)</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John F. Kennedy University, MA, Organizational Development and Management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University of California, BA, Social Sciences (Emphasis in Human Resources Management)</w:t>
      </w:r>
    </w:p>
    <w:p>
      <w:pPr>
        <w:spacing w:after="0" w:line="69"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Ms. Johnson joined our Board in January 2022 with more than 30 years’ experience in strategy transformation, human capital management, and operational excellence in multiple industries. She is an accomplished human capital transformational leader championing initiatives that transform the mindsets and behaviors that shape a culture. Ms. Johnson has extensive human capital management experience acquired from her previous HR leadership roles with several large organizations. Her expertise in organizational development and management provides the Board with a fundamental view on employee experience, talent acquisition, development, and diversity, equity, and inclusion. Ms. Johnson was recognized by The California Diversity Council as one of California’s Most Powerful &amp; Influential Women.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3951605" cy="5486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95160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Audit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Corporate Governance and Nominating (Chair)</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Directorships</w:t>
      </w:r>
    </w:p>
    <w:p>
      <w:pPr>
        <w:spacing w:after="0" w:line="21" w:lineRule="exact"/>
        <w:rPr>
          <w:sz w:val="20"/>
          <w:szCs w:val="20"/>
          <w:color w:val="auto"/>
        </w:rPr>
      </w:pPr>
    </w:p>
    <w:p>
      <w:pPr>
        <w:ind w:left="160" w:right="380" w:hanging="161"/>
        <w:spacing w:after="0" w:line="263" w:lineRule="auto"/>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Executive Vice President, Business Development, General Counsel and Corporate Secretary, Lear</w:t>
      </w:r>
      <w:r>
        <w:rPr>
          <w:rFonts w:ascii="Times New Roman" w:cs="Times New Roman" w:eastAsia="Times New Roman" w:hAnsi="Times New Roman"/>
          <w:sz w:val="13"/>
          <w:szCs w:val="13"/>
          <w:color w:val="00AF41"/>
        </w:rPr>
        <w:t xml:space="preserve"> </w:t>
      </w:r>
      <w:r>
        <w:rPr>
          <w:rFonts w:ascii="Arial" w:cs="Arial" w:eastAsia="Arial" w:hAnsi="Arial"/>
          <w:sz w:val="16"/>
          <w:szCs w:val="16"/>
          <w:color w:val="000000"/>
        </w:rPr>
        <w:t>Corporation (2008 - 2020)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Wayne State University Law School, JD cum laude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Michigan State University, BA (High Honors), Finance</w:t>
      </w:r>
    </w:p>
    <w:p>
      <w:pPr>
        <w:spacing w:after="0" w:line="6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Mr. Larkin is an attorney with 28 years of experience in a business law practice. He retired in January 2020 as a member of the senior management team of a global manufacturing company with responsibility for legal affairs, internal audit, and global business development for mergers, acquisitions, and joint ventures. Mr. Larkin currently serves on the board of two not-for-profit organizations and one for-profit private corporation. He brings to the Board a valuable combination of complex problem-solving skills, legal and governance expertise, and global experience.</w:t>
      </w:r>
    </w:p>
    <w:p>
      <w:pPr>
        <w:spacing w:after="0" w:line="200" w:lineRule="exact"/>
        <w:rPr>
          <w:sz w:val="20"/>
          <w:szCs w:val="20"/>
          <w:color w:val="auto"/>
        </w:rPr>
      </w:pPr>
    </w:p>
    <w:p>
      <w:pPr>
        <w:spacing w:after="0" w:line="266" w:lineRule="exact"/>
        <w:rPr>
          <w:sz w:val="20"/>
          <w:szCs w:val="20"/>
          <w:color w:val="auto"/>
        </w:rPr>
      </w:pPr>
    </w:p>
    <w:p>
      <w:pPr>
        <w:ind w:left="728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4358005</wp:posOffset>
            </wp:positionH>
            <wp:positionV relativeFrom="paragraph">
              <wp:posOffset>-142875</wp:posOffset>
            </wp:positionV>
            <wp:extent cx="8255" cy="2317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3757930</wp:posOffset>
            </wp:positionH>
            <wp:positionV relativeFrom="paragraph">
              <wp:posOffset>-142875</wp:posOffset>
            </wp:positionV>
            <wp:extent cx="411480" cy="1968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2">
            <w:col w:w="2820" w:space="720"/>
            <w:col w:w="760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99695</wp:posOffset>
            </wp:positionV>
            <wp:extent cx="1645920" cy="16459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64592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220"/>
        <w:spacing w:after="0"/>
        <w:rPr>
          <w:sz w:val="20"/>
          <w:szCs w:val="20"/>
          <w:color w:val="auto"/>
        </w:rPr>
      </w:pPr>
      <w:r>
        <w:rPr>
          <w:rFonts w:ascii="Arial" w:cs="Arial" w:eastAsia="Arial" w:hAnsi="Arial"/>
          <w:sz w:val="16"/>
          <w:szCs w:val="16"/>
          <w:b w:val="1"/>
          <w:bCs w:val="1"/>
          <w:color w:val="auto"/>
        </w:rPr>
        <w:t>Specific Experience and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2040255" cy="13716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040255" cy="1371600"/>
                    </a:xfrm>
                    <a:prstGeom prst="rect">
                      <a:avLst/>
                    </a:prstGeom>
                    <a:noFill/>
                  </pic:spPr>
                </pic:pic>
              </a:graphicData>
            </a:graphic>
          </wp:anchor>
        </w:drawing>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Executive Leadership</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Transformations</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Industry</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Technology/Digitization/</w:t>
      </w:r>
    </w:p>
    <w:p>
      <w:pPr>
        <w:spacing w:after="0" w:line="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Cybersecurity</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Financial Expert</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Risk Management</w:t>
      </w:r>
    </w:p>
    <w:p>
      <w:pPr>
        <w:spacing w:after="0" w:line="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Legal/Corporate</w:t>
      </w:r>
    </w:p>
    <w:p>
      <w:pPr>
        <w:spacing w:after="0" w:line="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Governance</w:t>
      </w:r>
    </w:p>
    <w:p>
      <w:pPr>
        <w:spacing w:after="0" w:line="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Mergers &amp;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7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-142875</wp:posOffset>
            </wp:positionV>
            <wp:extent cx="411480" cy="1968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-1410335</wp:posOffset>
            </wp:positionV>
            <wp:extent cx="7174865" cy="552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-655955</wp:posOffset>
            </wp:positionV>
            <wp:extent cx="3951605" cy="5486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951605" cy="54864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Audit (Chair)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Compensation and Talent Management</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Occupation and Directorships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President and CEO, Murphy Consulting, Inc. (2008 - present)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Certified Public Accountant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Member of AICPA’s Governing Council (2000 - present)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Member of NACD Advisory Councils on Audit Committee Issues and Risk Oversight (2012 - present)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Director, Detroit Legal News Company (2012 - present)</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Education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AF41"/>
        </w:rPr>
        <w:t>●</w:t>
      </w:r>
      <w:r>
        <w:rPr>
          <w:rFonts w:ascii="Arial" w:cs="Arial" w:eastAsia="Arial" w:hAnsi="Arial"/>
          <w:sz w:val="16"/>
          <w:szCs w:val="16"/>
          <w:color w:val="000000"/>
        </w:rPr>
        <w:t xml:space="preserve">  University of Michigan, BBA, Accounting</w:t>
      </w:r>
    </w:p>
    <w:p>
      <w:pPr>
        <w:spacing w:after="0" w:line="6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Ms. Murphy is a certified public accountant, former chair of the American Institute of Certified Public Accountants, and former Group Managing Partner of Plante &amp; Moran, LLP, a national accounting firm. The Board determined that Ms. Murphy qualifies as an “audit committee financial expert” within the meaning of applicable SEC regulations and has the leadership skills to chair the Audit Committee. She brings to the Board analytical capability, understanding of the economics and strategic elements of business, and expertise in enterprise risk management and cyber security. In honor of her dedication to the highest standards of director education and ongoing learning, Ms. Murphy has received both the NACD Directorship Certification and the American Institute of Certified Public Accountants’ (AICPA) Cybersecurity Fundamentals for Finance and Accounting Professionals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229235</wp:posOffset>
            </wp:positionV>
            <wp:extent cx="5760720" cy="4375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760720" cy="437515"/>
                    </a:xfrm>
                    <a:prstGeom prst="rect">
                      <a:avLst/>
                    </a:prstGeom>
                    <a:noFill/>
                  </pic:spPr>
                </pic:pic>
              </a:graphicData>
            </a:graphic>
          </wp:anchor>
        </w:drawing>
      </w:r>
    </w:p>
    <w:p>
      <w:pPr>
        <w:sectPr>
          <w:pgSz w:w="11900" w:h="16838" w:orient="portrait"/>
          <w:cols w:equalWidth="0" w:num="2">
            <w:col w:w="2820" w:space="720"/>
            <w:col w:w="758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Corporate Governance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Compliance with Nasdaq Independence Standards for Non-Controlled Companies</w:t>
      </w:r>
    </w:p>
    <w:p>
      <w:pPr>
        <w:spacing w:after="0" w:line="112"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Nasdaq, on which the Company’s common stock is listed, established exemptions from its governance requirements for “controlled companies,” defined as companies in which a single person, entity, or group holds more than 50% of the voting power for the election of its directors. The Company is a “controlled company” by virtue of the fact that Trust K, discussed below, has the power to vote approximately 93.9% of the Company’s outstanding shares of Class B Common Stock.</w:t>
      </w:r>
    </w:p>
    <w:p>
      <w:pPr>
        <w:spacing w:after="0" w:line="178" w:lineRule="exact"/>
        <w:rPr>
          <w:sz w:val="20"/>
          <w:szCs w:val="20"/>
          <w:color w:val="auto"/>
        </w:rPr>
      </w:pPr>
    </w:p>
    <w:p>
      <w:pPr>
        <w:ind w:left="120" w:right="240"/>
        <w:spacing w:after="0" w:line="259" w:lineRule="auto"/>
        <w:rPr>
          <w:sz w:val="20"/>
          <w:szCs w:val="20"/>
          <w:color w:val="auto"/>
        </w:rPr>
      </w:pPr>
      <w:r>
        <w:rPr>
          <w:rFonts w:ascii="Arial" w:cs="Arial" w:eastAsia="Arial" w:hAnsi="Arial"/>
          <w:sz w:val="16"/>
          <w:szCs w:val="16"/>
          <w:color w:val="auto"/>
        </w:rPr>
        <w:t>In keeping with the Company’s historic recognition of the importance of having a majority of independent directors, the Company elected to comply voluntarily with all the Nasdaq listing standards that otherwise do not apply to controlled companies. Thus, a majority of the Board are independent directors and all members of the three Board Committees, Audit, Compensation and Talent Management, and Corporate Governance and Nominating, are independent.</w:t>
      </w:r>
    </w:p>
    <w:p>
      <w:pPr>
        <w:spacing w:after="0" w:line="178" w:lineRule="exact"/>
        <w:rPr>
          <w:sz w:val="20"/>
          <w:szCs w:val="20"/>
          <w:color w:val="auto"/>
        </w:rPr>
      </w:pPr>
    </w:p>
    <w:p>
      <w:pPr>
        <w:ind w:left="120" w:right="140"/>
        <w:spacing w:after="0" w:line="257" w:lineRule="auto"/>
        <w:rPr>
          <w:sz w:val="20"/>
          <w:szCs w:val="20"/>
          <w:color w:val="auto"/>
        </w:rPr>
      </w:pPr>
      <w:r>
        <w:rPr>
          <w:rFonts w:ascii="Arial" w:cs="Arial" w:eastAsia="Arial" w:hAnsi="Arial"/>
          <w:sz w:val="16"/>
          <w:szCs w:val="16"/>
          <w:color w:val="auto"/>
        </w:rPr>
        <w:t>Prior to his death in October 2018, Terence E. Adderley, our former Chairman, was the trustee of Trust K. Upon his death, Trust K became irrevocable and, in accordance with the provisions of the trust, Andrew H. Curoe, David M. Hempstead, and William U. Parfet were appointed as successor trustees (the “co-trustees”). The co-trustees act by a majority vote when making investment decisions with respect to the voting shares held by Trust K. The co-trustees, acting as a majority, have sole voting and investment authority over Trust K and cannot be removed or replaced by the beneficiaries of Trust K.</w:t>
      </w:r>
    </w:p>
    <w:p>
      <w:pPr>
        <w:spacing w:after="0" w:line="373"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William U. Parfet, a co-trustee, is the brother of Donald R. Parfet, Chairman of the Board. In determining that Donald R. Parfet is an independent director, the Board considered, among other things, that Donald R. Parfet and William U. Parfet are financially independent of one another, that the co-trustees are required to act by majority vote and that none of the co-trustees serves as an officer or director of the Company or has any personal financial interest in Trust K that could benefit from actions taken by the Board.</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Role of the Board of Directors</w:t>
      </w:r>
    </w:p>
    <w:p>
      <w:pPr>
        <w:spacing w:after="0" w:line="112" w:lineRule="exact"/>
        <w:rPr>
          <w:sz w:val="20"/>
          <w:szCs w:val="20"/>
          <w:color w:val="auto"/>
        </w:rPr>
      </w:pPr>
    </w:p>
    <w:p>
      <w:pPr>
        <w:ind w:left="120" w:right="100"/>
        <w:spacing w:after="0" w:line="252" w:lineRule="auto"/>
        <w:rPr>
          <w:sz w:val="20"/>
          <w:szCs w:val="20"/>
          <w:color w:val="auto"/>
        </w:rPr>
      </w:pPr>
      <w:r>
        <w:rPr>
          <w:rFonts w:ascii="Arial" w:cs="Arial" w:eastAsia="Arial" w:hAnsi="Arial"/>
          <w:sz w:val="16"/>
          <w:szCs w:val="16"/>
          <w:color w:val="auto"/>
        </w:rPr>
        <w:t>The Board bears responsibility for the oversight of management on behalf of shareholders in order to ensure long-term value creation. In that regard, the Board oversees and provides guidance for the Company’s business, property, and affairs. On an ongoing basis, the Board oversees management’s development and implementation of the Company’s strategy and business planning process, and monitors performance relative to the achievement of those plans. The Board sets the tone at the top to support a corporate culture that emphasizes ethical standards, professionalism, integrity, and compliance. The Board and its committees consider long-range strategic issues and material risks facing the Company, together with management’s actions to address and mitigate these risks; oversee corporate policies and processes to promote and maintain the integrity of the Company’s financial reporting and controls, legal and ethical compliance, and relationships with customers and suppliers; review the Company’s sustainability practices and strategies; and provide oversight relative to the compensation of senior management, leadership development, and management succession planning.</w:t>
      </w:r>
    </w:p>
    <w:p>
      <w:pPr>
        <w:spacing w:after="0" w:line="183" w:lineRule="exact"/>
        <w:rPr>
          <w:sz w:val="20"/>
          <w:szCs w:val="20"/>
          <w:color w:val="auto"/>
        </w:rPr>
      </w:pPr>
    </w:p>
    <w:p>
      <w:pPr>
        <w:ind w:left="120" w:right="180"/>
        <w:spacing w:after="0" w:line="253" w:lineRule="auto"/>
        <w:rPr>
          <w:sz w:val="20"/>
          <w:szCs w:val="20"/>
          <w:color w:val="auto"/>
        </w:rPr>
      </w:pPr>
      <w:r>
        <w:rPr>
          <w:rFonts w:ascii="Arial" w:cs="Arial" w:eastAsia="Arial" w:hAnsi="Arial"/>
          <w:sz w:val="16"/>
          <w:szCs w:val="16"/>
          <w:color w:val="auto"/>
        </w:rPr>
        <w:t>As part of its oversight of the strategic direction of the Company, senior leadership presents to the Board at the beginning of each year the annual business plans for each business unit and the consolidated annual business plan for the Company as a whole. At each subsequent meeting throughout the year, management shares quarterly performance results for each business unit and the whole Company, and the Board discusses how these outcomes compare to the annual plans. Each year, the Board engages in a two-day offsite strategic planning meeting with management where it conducts a comprehensive review and discussion of the Company’s strategic direction and goals over the short-, medium-, and long-term, as well as management’s plans to achieve such goals. At least twice each year, the business unit presidents provide an in-depth review and update of their businesses to the Board, which includes a review of the strategic goals of the business and business performance relative to business strategy.</w:t>
      </w:r>
    </w:p>
    <w:p>
      <w:pPr>
        <w:spacing w:after="0" w:line="101" w:lineRule="exact"/>
        <w:rPr>
          <w:sz w:val="20"/>
          <w:szCs w:val="20"/>
          <w:color w:val="auto"/>
        </w:rPr>
      </w:pPr>
    </w:p>
    <w:p>
      <w:pPr>
        <w:ind w:left="1082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7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-142875</wp:posOffset>
            </wp:positionV>
            <wp:extent cx="411480" cy="1968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Corporate Governance</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Leadership and Governance Structure</w:t>
      </w:r>
    </w:p>
    <w:p>
      <w:pPr>
        <w:spacing w:after="0" w:line="112"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color w:val="auto"/>
        </w:rPr>
        <w:t>The Board is responsible for establishing and maintaining the most effective leadership structure for the Company. At the present time, the Board has determined that the roles of the Chairman of the Board and the Chief Executive Officer should be separate, with the Chairman being an independent director, because that structure affords independent Board leadership and allows the Chief Executive Officer to concentrate on the Company’s business. Donald R. Parfet serves as Chairman of the Board and Peter W. Quigley serves as Chief Executive Officer.</w:t>
      </w:r>
    </w:p>
    <w:p>
      <w:pPr>
        <w:spacing w:after="0" w:line="178"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The Chairman of the Board’s duties include consulting with and advising our Chief Executive Officer, presiding over meetings of the Board and, together with our Chief Executive Officer, presiding over meetings of shareholders. The Chairman of the Board’s duties also include providing effective leadership to the Board including ongoing monitoring of its performance, compliance with governance requirements and best practices, serving as liaison among the Chief Executive Officer and the independent directors, establishing the annual schedule for Board meetings (in consultation with the Chief Executive Officer), developing and approving agendas for Board meetings, working with the Chief Executive Officer to ensure that information flows to the Board to facilitate understanding of, and discussion regarding, matters of interest or concern to the Board, approving the information sent to the Board for meetings, establishing the schedule and agendas for and presiding over meetings of the independent directors in executive session, providing feedback to the Chief Executive Officer on those executive sessions, authority to call and preside over special meetings of the Board, and facilitating discussions among directors on key issues outside of Board meetings.</w:t>
      </w:r>
    </w:p>
    <w:p>
      <w:pPr>
        <w:spacing w:after="0" w:line="185"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 the event that the Chairman of the Board is not an independent director, the Company’s Corporate Governance Principles provide that the independent directors will elect one of their number to serve as Lead Director and fulfill many of the Chairman of the Board’s current responsibilities.</w:t>
      </w:r>
    </w:p>
    <w:p>
      <w:pPr>
        <w:spacing w:after="0" w:line="156" w:lineRule="exact"/>
        <w:rPr>
          <w:sz w:val="20"/>
          <w:szCs w:val="20"/>
          <w:color w:val="auto"/>
        </w:rPr>
      </w:pPr>
    </w:p>
    <w:p>
      <w:pPr>
        <w:ind w:left="120" w:right="120"/>
        <w:spacing w:after="0" w:line="254" w:lineRule="auto"/>
        <w:rPr>
          <w:sz w:val="20"/>
          <w:szCs w:val="20"/>
          <w:color w:val="auto"/>
        </w:rPr>
      </w:pPr>
      <w:r>
        <w:rPr>
          <w:rFonts w:ascii="Arial" w:cs="Arial" w:eastAsia="Arial" w:hAnsi="Arial"/>
          <w:sz w:val="16"/>
          <w:szCs w:val="16"/>
          <w:color w:val="auto"/>
        </w:rPr>
        <w:t>The Chief Executive Officer is responsible for managing the business and affairs of the Company, subject to the oversight of the Board. The Chief Executive Officer’s duties include: providing leadership to the Company’s management team; developing and presenting to the Board the Company’s strategy and long-term plans, medium-term plans and annual budgets, and within this framework, the performance of the business; complying with legal and corporate governance requirements, making recommendations on the appointment and compensation of executive officers, management development, and succession planning; representing the Company externally; consulting with the Chairman of the Board about developments in the Company; and communicating with all directors about key issues outside of Board meetings.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Committees of the Board</w:t>
      </w:r>
    </w:p>
    <w:p>
      <w:pPr>
        <w:spacing w:after="0" w:line="112"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 xml:space="preserve">The Board established three standing committees: Audit Committee, Compensation and Talent Management Committee, and Corporate Governance and Nominating Committee. Each committee functions under a written charter adopted by the Board, which is available on the Company’s website at </w:t>
      </w:r>
      <w:r>
        <w:rPr>
          <w:rFonts w:ascii="Arial" w:cs="Arial" w:eastAsia="Arial" w:hAnsi="Arial"/>
          <w:sz w:val="16"/>
          <w:szCs w:val="16"/>
          <w:i w:val="1"/>
          <w:iCs w:val="1"/>
          <w:color w:val="auto"/>
        </w:rPr>
        <w:t xml:space="preserve">kellyservices.com </w:t>
      </w:r>
      <w:r>
        <w:rPr>
          <w:rFonts w:ascii="Arial" w:cs="Arial" w:eastAsia="Arial" w:hAnsi="Arial"/>
          <w:sz w:val="16"/>
          <w:szCs w:val="16"/>
          <w:color w:val="auto"/>
        </w:rPr>
        <w:t>or to any shareholder who requests a copy. The members, responsibilities, and the number of meetings each of these committees held</w:t>
      </w:r>
      <w:r>
        <w:rPr>
          <w:rFonts w:ascii="Arial" w:cs="Arial" w:eastAsia="Arial" w:hAnsi="Arial"/>
          <w:sz w:val="16"/>
          <w:szCs w:val="16"/>
          <w:i w:val="1"/>
          <w:iCs w:val="1"/>
          <w:color w:val="auto"/>
        </w:rPr>
        <w:t xml:space="preserve"> </w:t>
      </w:r>
      <w:r>
        <w:rPr>
          <w:rFonts w:ascii="Arial" w:cs="Arial" w:eastAsia="Arial" w:hAnsi="Arial"/>
          <w:sz w:val="16"/>
          <w:szCs w:val="16"/>
          <w:color w:val="auto"/>
        </w:rPr>
        <w:t>in 2022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198755</wp:posOffset>
            </wp:positionV>
            <wp:extent cx="6943725" cy="4032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43725" cy="40322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1020" w:type="dxa"/>
        <w:tblCellMar>
          <w:top w:w="0" w:type="dxa"/>
          <w:left w:w="0" w:type="dxa"/>
          <w:bottom w:w="0" w:type="dxa"/>
          <w:right w:w="0" w:type="dxa"/>
        </w:tblCellMar>
      </w:tblPr>
      <w:tr>
        <w:trPr>
          <w:trHeight w:val="189"/>
        </w:trPr>
        <w:tc>
          <w:tcPr>
            <w:tcW w:w="2520" w:type="dxa"/>
            <w:vAlign w:val="bottom"/>
          </w:tcPr>
          <w:p>
            <w:pPr>
              <w:spacing w:after="0"/>
              <w:rPr>
                <w:sz w:val="20"/>
                <w:szCs w:val="20"/>
                <w:color w:val="auto"/>
              </w:rPr>
            </w:pPr>
            <w:r>
              <w:rPr>
                <w:rFonts w:ascii="Arial" w:cs="Arial" w:eastAsia="Arial" w:hAnsi="Arial"/>
                <w:sz w:val="16"/>
                <w:szCs w:val="16"/>
                <w:b w:val="1"/>
                <w:bCs w:val="1"/>
                <w:color w:val="auto"/>
              </w:rPr>
              <w:t>Audit Committee</w:t>
            </w:r>
          </w:p>
        </w:tc>
        <w:tc>
          <w:tcPr>
            <w:tcW w:w="4140" w:type="dxa"/>
            <w:vAlign w:val="bottom"/>
          </w:tcPr>
          <w:p>
            <w:pPr>
              <w:ind w:left="1240"/>
              <w:spacing w:after="0"/>
              <w:rPr>
                <w:sz w:val="20"/>
                <w:szCs w:val="20"/>
                <w:color w:val="auto"/>
              </w:rPr>
            </w:pPr>
            <w:r>
              <w:rPr>
                <w:rFonts w:ascii="Arial" w:cs="Arial" w:eastAsia="Arial" w:hAnsi="Arial"/>
                <w:sz w:val="16"/>
                <w:szCs w:val="16"/>
                <w:b w:val="1"/>
                <w:bCs w:val="1"/>
                <w:color w:val="auto"/>
              </w:rPr>
              <w:t>Compensation and Talent</w:t>
            </w:r>
          </w:p>
        </w:tc>
        <w:tc>
          <w:tcPr>
            <w:tcW w:w="3020" w:type="dxa"/>
            <w:vAlign w:val="bottom"/>
          </w:tcPr>
          <w:p>
            <w:pPr>
              <w:ind w:left="920"/>
              <w:spacing w:after="0"/>
              <w:rPr>
                <w:sz w:val="20"/>
                <w:szCs w:val="20"/>
                <w:color w:val="auto"/>
              </w:rPr>
            </w:pPr>
            <w:r>
              <w:rPr>
                <w:rFonts w:ascii="Arial" w:cs="Arial" w:eastAsia="Arial" w:hAnsi="Arial"/>
                <w:sz w:val="16"/>
                <w:szCs w:val="16"/>
                <w:b w:val="1"/>
                <w:bCs w:val="1"/>
                <w:color w:val="auto"/>
              </w:rPr>
              <w:t>Corporate Governance and</w:t>
            </w:r>
          </w:p>
        </w:tc>
      </w:tr>
      <w:tr>
        <w:trPr>
          <w:trHeight w:val="189"/>
        </w:trPr>
        <w:tc>
          <w:tcPr>
            <w:tcW w:w="2520" w:type="dxa"/>
            <w:vAlign w:val="bottom"/>
          </w:tcPr>
          <w:p>
            <w:pPr>
              <w:spacing w:after="0"/>
              <w:rPr>
                <w:sz w:val="20"/>
                <w:szCs w:val="20"/>
                <w:color w:val="auto"/>
              </w:rPr>
            </w:pPr>
            <w:r>
              <w:rPr>
                <w:rFonts w:ascii="Arial" w:cs="Arial" w:eastAsia="Arial" w:hAnsi="Arial"/>
                <w:sz w:val="16"/>
                <w:szCs w:val="16"/>
                <w:color w:val="auto"/>
              </w:rPr>
              <w:t>All Independent</w:t>
            </w:r>
          </w:p>
        </w:tc>
        <w:tc>
          <w:tcPr>
            <w:tcW w:w="4140" w:type="dxa"/>
            <w:vAlign w:val="bottom"/>
          </w:tcPr>
          <w:p>
            <w:pPr>
              <w:ind w:left="1240"/>
              <w:spacing w:after="0"/>
              <w:rPr>
                <w:sz w:val="20"/>
                <w:szCs w:val="20"/>
                <w:color w:val="auto"/>
              </w:rPr>
            </w:pPr>
            <w:r>
              <w:rPr>
                <w:rFonts w:ascii="Arial" w:cs="Arial" w:eastAsia="Arial" w:hAnsi="Arial"/>
                <w:sz w:val="16"/>
                <w:szCs w:val="16"/>
                <w:b w:val="1"/>
                <w:bCs w:val="1"/>
                <w:color w:val="auto"/>
              </w:rPr>
              <w:t>Management Committee</w:t>
            </w:r>
          </w:p>
        </w:tc>
        <w:tc>
          <w:tcPr>
            <w:tcW w:w="3020" w:type="dxa"/>
            <w:vAlign w:val="bottom"/>
          </w:tcPr>
          <w:p>
            <w:pPr>
              <w:ind w:left="920"/>
              <w:spacing w:after="0"/>
              <w:rPr>
                <w:sz w:val="20"/>
                <w:szCs w:val="20"/>
                <w:color w:val="auto"/>
              </w:rPr>
            </w:pPr>
            <w:r>
              <w:rPr>
                <w:rFonts w:ascii="Arial" w:cs="Arial" w:eastAsia="Arial" w:hAnsi="Arial"/>
                <w:sz w:val="16"/>
                <w:szCs w:val="16"/>
                <w:b w:val="1"/>
                <w:bCs w:val="1"/>
                <w:color w:val="auto"/>
              </w:rPr>
              <w:t>Nominating Committee</w:t>
            </w:r>
          </w:p>
        </w:tc>
      </w:tr>
      <w:tr>
        <w:trPr>
          <w:trHeight w:val="215"/>
        </w:trPr>
        <w:tc>
          <w:tcPr>
            <w:tcW w:w="2520" w:type="dxa"/>
            <w:vAlign w:val="bottom"/>
          </w:tcPr>
          <w:p>
            <w:pPr>
              <w:spacing w:after="0"/>
              <w:rPr>
                <w:sz w:val="18"/>
                <w:szCs w:val="18"/>
                <w:color w:val="auto"/>
              </w:rPr>
            </w:pPr>
          </w:p>
        </w:tc>
        <w:tc>
          <w:tcPr>
            <w:tcW w:w="4140" w:type="dxa"/>
            <w:vAlign w:val="bottom"/>
          </w:tcPr>
          <w:p>
            <w:pPr>
              <w:ind w:left="1240"/>
              <w:spacing w:after="0"/>
              <w:rPr>
                <w:sz w:val="20"/>
                <w:szCs w:val="20"/>
                <w:color w:val="auto"/>
              </w:rPr>
            </w:pPr>
            <w:r>
              <w:rPr>
                <w:rFonts w:ascii="Arial" w:cs="Arial" w:eastAsia="Arial" w:hAnsi="Arial"/>
                <w:sz w:val="16"/>
                <w:szCs w:val="16"/>
                <w:color w:val="auto"/>
              </w:rPr>
              <w:t>All Independent</w:t>
            </w:r>
          </w:p>
        </w:tc>
        <w:tc>
          <w:tcPr>
            <w:tcW w:w="3020" w:type="dxa"/>
            <w:vAlign w:val="bottom"/>
          </w:tcPr>
          <w:p>
            <w:pPr>
              <w:ind w:left="920"/>
              <w:spacing w:after="0"/>
              <w:rPr>
                <w:sz w:val="20"/>
                <w:szCs w:val="20"/>
                <w:color w:val="auto"/>
              </w:rPr>
            </w:pPr>
            <w:r>
              <w:rPr>
                <w:rFonts w:ascii="Arial" w:cs="Arial" w:eastAsia="Arial" w:hAnsi="Arial"/>
                <w:sz w:val="16"/>
                <w:szCs w:val="16"/>
                <w:color w:val="auto"/>
              </w:rPr>
              <w:t>All Independent</w:t>
            </w:r>
          </w:p>
        </w:tc>
      </w:tr>
    </w:tbl>
    <w:p>
      <w:pPr>
        <w:spacing w:after="0" w:line="12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7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-142875</wp:posOffset>
            </wp:positionV>
            <wp:extent cx="411480" cy="1968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00"/>
          </w:cols>
          <w:pgMar w:left="320" w:top="482"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133985</wp:posOffset>
            </wp:positionV>
            <wp:extent cx="300355" cy="2914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00355" cy="291465"/>
                    </a:xfrm>
                    <a:prstGeom prst="rect">
                      <a:avLst/>
                    </a:prstGeom>
                    <a:noFill/>
                  </pic:spPr>
                </pic:pic>
              </a:graphicData>
            </a:graphic>
          </wp:anchor>
        </w:drawing>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color w:val="00AF41"/>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31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Members: </w:t>
      </w:r>
      <w:r>
        <w:rPr>
          <w:rFonts w:ascii="Arial" w:cs="Arial" w:eastAsia="Arial" w:hAnsi="Arial"/>
          <w:sz w:val="16"/>
          <w:szCs w:val="16"/>
          <w:color w:val="00AF41"/>
        </w:rPr>
        <w:t>All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1911350" cy="3689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91135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Leslie A. Murphy (Chair)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Gerald S. Adolph</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Robert S. Cubbin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Amala Duggirala</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Terrence B. Larkin</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Meetings in 2022: </w:t>
      </w:r>
      <w:r>
        <w:rPr>
          <w:rFonts w:ascii="Arial" w:cs="Arial" w:eastAsia="Arial" w:hAnsi="Arial"/>
          <w:sz w:val="16"/>
          <w:szCs w:val="16"/>
          <w:b w:val="1"/>
          <w:bCs w:val="1"/>
          <w:color w:val="00AF41"/>
        </w:rPr>
        <w:t>6</w:t>
      </w:r>
    </w:p>
    <w:p>
      <w:pPr>
        <w:spacing w:after="0" w:line="127"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The Board unanimously determined that each member of the Audit Committee meets Nasdaq’s “financial sophistication” requirements and that Mr. Cubbin and Ms. Murphy each has the financial education and experience to qualify as an “Audit Committee financial expert” within the meaning of SEC regulations.</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Responsibilities:</w:t>
      </w:r>
    </w:p>
    <w:p>
      <w:pPr>
        <w:spacing w:after="0" w:line="21" w:lineRule="exact"/>
        <w:rPr>
          <w:sz w:val="20"/>
          <w:szCs w:val="20"/>
          <w:color w:val="auto"/>
        </w:rPr>
      </w:pPr>
    </w:p>
    <w:p>
      <w:pPr>
        <w:ind w:left="160" w:right="60" w:hanging="161"/>
        <w:spacing w:after="0" w:line="246" w:lineRule="auto"/>
        <w:rPr>
          <w:sz w:val="20"/>
          <w:szCs w:val="20"/>
          <w:color w:val="auto"/>
        </w:rPr>
      </w:pPr>
      <w:r>
        <w:rPr>
          <w:rFonts w:ascii="Arial" w:cs="Arial" w:eastAsia="Arial" w:hAnsi="Arial"/>
          <w:sz w:val="16"/>
          <w:szCs w:val="16"/>
          <w:color w:val="auto"/>
        </w:rPr>
        <w:t>•   Oversees and reports to the Board with respect to the quality, integrity, and effectiveness of the Company’s financial statements, accounting, and financial reporting processes, and audits of the financial statements and internal controls over financial reporting</w:t>
      </w:r>
    </w:p>
    <w:p>
      <w:pPr>
        <w:spacing w:after="0" w:line="2" w:lineRule="exact"/>
        <w:rPr>
          <w:sz w:val="20"/>
          <w:szCs w:val="20"/>
          <w:color w:val="auto"/>
        </w:rPr>
      </w:pPr>
    </w:p>
    <w:p>
      <w:pPr>
        <w:ind w:left="160" w:right="840" w:hanging="161"/>
        <w:spacing w:after="0" w:line="246" w:lineRule="auto"/>
        <w:rPr>
          <w:sz w:val="20"/>
          <w:szCs w:val="20"/>
          <w:color w:val="auto"/>
        </w:rPr>
      </w:pPr>
      <w:r>
        <w:rPr>
          <w:rFonts w:ascii="Arial" w:cs="Arial" w:eastAsia="Arial" w:hAnsi="Arial"/>
          <w:sz w:val="16"/>
          <w:szCs w:val="16"/>
          <w:color w:val="auto"/>
        </w:rPr>
        <w:t>•   Appoints, compensates, and evaluates the qualifications, independence, and performance of the independent auditor</w:t>
      </w:r>
    </w:p>
    <w:p>
      <w:pPr>
        <w:spacing w:after="0" w:line="1" w:lineRule="exact"/>
        <w:rPr>
          <w:sz w:val="20"/>
          <w:szCs w:val="20"/>
          <w:color w:val="auto"/>
        </w:rPr>
      </w:pPr>
    </w:p>
    <w:p>
      <w:pPr>
        <w:ind w:left="160" w:right="540" w:hanging="161"/>
        <w:spacing w:after="0" w:line="246" w:lineRule="auto"/>
        <w:rPr>
          <w:sz w:val="20"/>
          <w:szCs w:val="20"/>
          <w:color w:val="auto"/>
        </w:rPr>
      </w:pPr>
      <w:r>
        <w:rPr>
          <w:rFonts w:ascii="Arial" w:cs="Arial" w:eastAsia="Arial" w:hAnsi="Arial"/>
          <w:sz w:val="16"/>
          <w:szCs w:val="16"/>
          <w:color w:val="auto"/>
        </w:rPr>
        <w:t>•   Oversees the performance of the internal audit function, including the Chief Audit Executive (“CAE”)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Oversees the Company’s Enterprise Risk Management Program</w:t>
      </w:r>
    </w:p>
    <w:p>
      <w:pPr>
        <w:spacing w:after="0" w:line="5" w:lineRule="exact"/>
        <w:rPr>
          <w:sz w:val="20"/>
          <w:szCs w:val="20"/>
          <w:color w:val="auto"/>
        </w:rPr>
      </w:pPr>
    </w:p>
    <w:p>
      <w:pPr>
        <w:ind w:left="160" w:right="120" w:hanging="161"/>
        <w:spacing w:after="0" w:line="246" w:lineRule="auto"/>
        <w:rPr>
          <w:sz w:val="20"/>
          <w:szCs w:val="20"/>
          <w:color w:val="auto"/>
        </w:rPr>
      </w:pPr>
      <w:r>
        <w:rPr>
          <w:rFonts w:ascii="Arial" w:cs="Arial" w:eastAsia="Arial" w:hAnsi="Arial"/>
          <w:sz w:val="16"/>
          <w:szCs w:val="16"/>
          <w:color w:val="auto"/>
        </w:rPr>
        <w:t>•   Reviews and discusses with management the Company’s major financial, security, and cybersecurity risk exposures and the steps management has taken to monitor and control such exposures</w:t>
      </w:r>
    </w:p>
    <w:p>
      <w:pPr>
        <w:spacing w:after="0" w:line="1" w:lineRule="exact"/>
        <w:rPr>
          <w:sz w:val="20"/>
          <w:szCs w:val="20"/>
          <w:color w:val="auto"/>
        </w:rPr>
      </w:pPr>
    </w:p>
    <w:p>
      <w:pPr>
        <w:ind w:right="780"/>
        <w:spacing w:after="0" w:line="246" w:lineRule="auto"/>
        <w:rPr>
          <w:sz w:val="20"/>
          <w:szCs w:val="20"/>
          <w:color w:val="auto"/>
        </w:rPr>
      </w:pPr>
      <w:r>
        <w:rPr>
          <w:rFonts w:ascii="Arial" w:cs="Arial" w:eastAsia="Arial" w:hAnsi="Arial"/>
          <w:sz w:val="16"/>
          <w:szCs w:val="16"/>
          <w:color w:val="auto"/>
        </w:rPr>
        <w:t>•   Monitors the Company’s compliance with legal and regulatory requirements •   Oversees sustainability/ESG disclosures, controls, processes, and assurance •   Reviews and approves related party transactions</w:t>
      </w:r>
    </w:p>
    <w:p>
      <w:pPr>
        <w:spacing w:after="0" w:line="1" w:lineRule="exact"/>
        <w:rPr>
          <w:sz w:val="20"/>
          <w:szCs w:val="20"/>
          <w:color w:val="auto"/>
        </w:rPr>
      </w:pPr>
    </w:p>
    <w:p>
      <w:pPr>
        <w:ind w:left="160" w:right="100" w:hanging="161"/>
        <w:spacing w:after="0" w:line="246" w:lineRule="auto"/>
        <w:rPr>
          <w:sz w:val="20"/>
          <w:szCs w:val="20"/>
          <w:color w:val="auto"/>
        </w:rPr>
      </w:pPr>
      <w:r>
        <w:rPr>
          <w:rFonts w:ascii="Arial" w:cs="Arial" w:eastAsia="Arial" w:hAnsi="Arial"/>
          <w:sz w:val="16"/>
          <w:szCs w:val="16"/>
          <w:color w:val="auto"/>
        </w:rPr>
        <w:t>•   Serves as the Company’s Qualified Legal Compliance Committee with respect to reports of potential material violations by the Company or its officers, directors, employees, or agents, of applicable U.S. federal or state law or fiduciary duty arising under such law, and of the Company’s policies including the Code of Business Conduct and Ethics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Reviews and approves Internal Audit’s budget and resource plan</w:t>
      </w:r>
    </w:p>
    <w:p>
      <w:pPr>
        <w:spacing w:after="0" w:line="5" w:lineRule="exact"/>
        <w:rPr>
          <w:sz w:val="20"/>
          <w:szCs w:val="20"/>
          <w:color w:val="auto"/>
        </w:rPr>
      </w:pPr>
    </w:p>
    <w:p>
      <w:pPr>
        <w:ind w:left="160" w:right="660" w:hanging="161"/>
        <w:spacing w:after="0" w:line="265" w:lineRule="auto"/>
        <w:rPr>
          <w:sz w:val="20"/>
          <w:szCs w:val="20"/>
          <w:color w:val="auto"/>
        </w:rPr>
      </w:pPr>
      <w:r>
        <w:rPr>
          <w:rFonts w:ascii="Arial" w:cs="Arial" w:eastAsia="Arial" w:hAnsi="Arial"/>
          <w:sz w:val="16"/>
          <w:szCs w:val="16"/>
          <w:color w:val="auto"/>
        </w:rPr>
        <w:t>•   Regularly holds separate sessions with Kelly’s management, internal audit, and PricewaterhouseCoopers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-2872105</wp:posOffset>
            </wp:positionH>
            <wp:positionV relativeFrom="paragraph">
              <wp:posOffset>57785</wp:posOffset>
            </wp:positionV>
            <wp:extent cx="699516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80" w:space="160"/>
            <w:col w:w="6500"/>
          </w:cols>
          <w:pgMar w:left="320" w:top="482" w:right="439" w:bottom="1440" w:gutter="0" w:footer="0" w:header="0"/>
          <w:type w:val="continuous"/>
        </w:sectPr>
      </w:pPr>
    </w:p>
    <w:p>
      <w:pPr>
        <w:spacing w:after="0" w:line="27" w:lineRule="exact"/>
        <w:rPr>
          <w:sz w:val="20"/>
          <w:szCs w:val="20"/>
          <w:color w:val="auto"/>
        </w:rPr>
      </w:pPr>
    </w:p>
    <w:p>
      <w:pPr>
        <w:ind w:left="10820"/>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-135890</wp:posOffset>
            </wp:positionV>
            <wp:extent cx="8255" cy="2317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-135890</wp:posOffset>
            </wp:positionV>
            <wp:extent cx="411480" cy="1968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6657340</wp:posOffset>
            </wp:positionH>
            <wp:positionV relativeFrom="paragraph">
              <wp:posOffset>133985</wp:posOffset>
            </wp:positionV>
            <wp:extent cx="351155" cy="29146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51155" cy="291465"/>
                    </a:xfrm>
                    <a:prstGeom prst="rect">
                      <a:avLst/>
                    </a:prstGeom>
                    <a:noFill/>
                  </pic:spPr>
                </pic:pic>
              </a:graphicData>
            </a:graphic>
          </wp:anchor>
        </w:drawing>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17"/>
          <w:szCs w:val="17"/>
          <w:color w:val="00AF41"/>
        </w:rPr>
        <w:t>Compensation and Talent Management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161925</wp:posOffset>
            </wp:positionV>
            <wp:extent cx="69951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33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Members: </w:t>
      </w:r>
      <w:r>
        <w:rPr>
          <w:rFonts w:ascii="Arial" w:cs="Arial" w:eastAsia="Arial" w:hAnsi="Arial"/>
          <w:sz w:val="16"/>
          <w:szCs w:val="16"/>
          <w:color w:val="00AF41"/>
        </w:rPr>
        <w:t>All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1885950" cy="3683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88595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Robert S. Cubbin (Chair)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Gerald S. Adolph</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InaMarie F. Johnson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Leslie A. Murphy</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Meetings in 2022: </w:t>
      </w:r>
      <w:r>
        <w:rPr>
          <w:rFonts w:ascii="Arial" w:cs="Arial" w:eastAsia="Arial" w:hAnsi="Arial"/>
          <w:sz w:val="16"/>
          <w:szCs w:val="16"/>
          <w:b w:val="1"/>
          <w:bCs w:val="1"/>
          <w:color w:val="00AF41"/>
        </w:rPr>
        <w:t>8</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Responsibilities: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Develops the Company’s compensation philosophy</w:t>
      </w:r>
    </w:p>
    <w:p>
      <w:pPr>
        <w:spacing w:after="0" w:line="5" w:lineRule="exact"/>
        <w:rPr>
          <w:sz w:val="20"/>
          <w:szCs w:val="20"/>
          <w:color w:val="auto"/>
        </w:rPr>
      </w:pPr>
    </w:p>
    <w:p>
      <w:pPr>
        <w:ind w:left="160" w:hanging="161"/>
        <w:spacing w:after="0" w:line="246" w:lineRule="auto"/>
        <w:rPr>
          <w:sz w:val="20"/>
          <w:szCs w:val="20"/>
          <w:color w:val="auto"/>
        </w:rPr>
      </w:pPr>
      <w:r>
        <w:rPr>
          <w:rFonts w:ascii="Arial" w:cs="Arial" w:eastAsia="Arial" w:hAnsi="Arial"/>
          <w:sz w:val="16"/>
          <w:szCs w:val="16"/>
          <w:color w:val="auto"/>
        </w:rPr>
        <w:t>•   Designs and administers the Company’s executive compensation programs and policies that are aligned with business and compensation objectives</w:t>
      </w:r>
    </w:p>
    <w:p>
      <w:pPr>
        <w:spacing w:after="0" w:line="1" w:lineRule="exact"/>
        <w:rPr>
          <w:sz w:val="20"/>
          <w:szCs w:val="20"/>
          <w:color w:val="auto"/>
        </w:rPr>
      </w:pPr>
    </w:p>
    <w:p>
      <w:pPr>
        <w:ind w:left="160" w:right="280" w:hanging="161"/>
        <w:spacing w:after="0" w:line="246" w:lineRule="auto"/>
        <w:rPr>
          <w:sz w:val="20"/>
          <w:szCs w:val="20"/>
          <w:color w:val="auto"/>
        </w:rPr>
      </w:pPr>
      <w:r>
        <w:rPr>
          <w:rFonts w:ascii="Arial" w:cs="Arial" w:eastAsia="Arial" w:hAnsi="Arial"/>
          <w:sz w:val="16"/>
          <w:szCs w:val="16"/>
          <w:color w:val="auto"/>
        </w:rPr>
        <w:t>•   Determines annually, for senior officers (including the CEO), corporate and business unit goals and establishes the level of performance that must be achieved for each</w:t>
      </w:r>
    </w:p>
    <w:p>
      <w:pPr>
        <w:spacing w:after="0" w:line="1" w:lineRule="exact"/>
        <w:rPr>
          <w:sz w:val="20"/>
          <w:szCs w:val="20"/>
          <w:color w:val="auto"/>
        </w:rPr>
      </w:pPr>
    </w:p>
    <w:p>
      <w:pPr>
        <w:ind w:left="160" w:hanging="161"/>
        <w:spacing w:after="0" w:line="246" w:lineRule="auto"/>
        <w:rPr>
          <w:sz w:val="20"/>
          <w:szCs w:val="20"/>
          <w:color w:val="auto"/>
        </w:rPr>
      </w:pPr>
      <w:r>
        <w:rPr>
          <w:rFonts w:ascii="Arial" w:cs="Arial" w:eastAsia="Arial" w:hAnsi="Arial"/>
          <w:sz w:val="16"/>
          <w:szCs w:val="16"/>
          <w:color w:val="auto"/>
        </w:rPr>
        <w:t>•   Evaluates and determines the compensation of the CEO, senior officers, and Section 16 officers</w:t>
      </w:r>
    </w:p>
    <w:p>
      <w:pPr>
        <w:spacing w:after="0" w:line="1" w:lineRule="exact"/>
        <w:rPr>
          <w:sz w:val="20"/>
          <w:szCs w:val="20"/>
          <w:color w:val="auto"/>
        </w:rPr>
      </w:pPr>
    </w:p>
    <w:p>
      <w:pPr>
        <w:ind w:left="160" w:right="380" w:hanging="161"/>
        <w:spacing w:after="0" w:line="246" w:lineRule="auto"/>
        <w:rPr>
          <w:sz w:val="20"/>
          <w:szCs w:val="20"/>
          <w:color w:val="auto"/>
        </w:rPr>
      </w:pPr>
      <w:r>
        <w:rPr>
          <w:rFonts w:ascii="Arial" w:cs="Arial" w:eastAsia="Arial" w:hAnsi="Arial"/>
          <w:sz w:val="16"/>
          <w:szCs w:val="16"/>
          <w:color w:val="auto"/>
        </w:rPr>
        <w:t>•   Reviews stock ownership requirements for senior officers and Board members and compliance with the requirements</w:t>
      </w:r>
    </w:p>
    <w:p>
      <w:pPr>
        <w:spacing w:after="0" w:line="1"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•   Reviews and makes recommendations to the Board concerning director compensation •   Reviews and advises the Board concerning CEO and senior officer succession planning</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and developmental opportunities</w:t>
      </w:r>
    </w:p>
    <w:p>
      <w:pPr>
        <w:spacing w:after="0" w:line="5" w:lineRule="exact"/>
        <w:rPr>
          <w:sz w:val="20"/>
          <w:szCs w:val="20"/>
          <w:color w:val="auto"/>
        </w:rPr>
      </w:pPr>
    </w:p>
    <w:p>
      <w:pPr>
        <w:ind w:left="160" w:right="40" w:hanging="161"/>
        <w:spacing w:after="0" w:line="246" w:lineRule="auto"/>
        <w:rPr>
          <w:sz w:val="20"/>
          <w:szCs w:val="20"/>
          <w:color w:val="auto"/>
        </w:rPr>
      </w:pPr>
      <w:r>
        <w:rPr>
          <w:rFonts w:ascii="Arial" w:cs="Arial" w:eastAsia="Arial" w:hAnsi="Arial"/>
          <w:sz w:val="16"/>
          <w:szCs w:val="16"/>
          <w:color w:val="auto"/>
        </w:rPr>
        <w:t>•   Reviews and makes recommendations to the Company’s ESG Strategy and related risk management policies and procedures relative to human capital management</w:t>
      </w:r>
    </w:p>
    <w:p>
      <w:pPr>
        <w:spacing w:after="0" w:line="1" w:lineRule="exact"/>
        <w:rPr>
          <w:sz w:val="20"/>
          <w:szCs w:val="20"/>
          <w:color w:val="auto"/>
        </w:rPr>
      </w:pPr>
    </w:p>
    <w:p>
      <w:pPr>
        <w:ind w:left="160" w:right="760" w:hanging="161"/>
        <w:spacing w:after="0" w:line="246" w:lineRule="auto"/>
        <w:rPr>
          <w:sz w:val="20"/>
          <w:szCs w:val="20"/>
          <w:color w:val="auto"/>
        </w:rPr>
      </w:pPr>
      <w:r>
        <w:rPr>
          <w:rFonts w:ascii="Arial" w:cs="Arial" w:eastAsia="Arial" w:hAnsi="Arial"/>
          <w:sz w:val="16"/>
          <w:szCs w:val="16"/>
          <w:color w:val="auto"/>
        </w:rPr>
        <w:t>•   Appoints, compensates, and oversees the work performed by an independent compensation or legal advisor</w:t>
      </w:r>
    </w:p>
    <w:p>
      <w:pPr>
        <w:spacing w:after="0" w:line="1" w:lineRule="exact"/>
        <w:rPr>
          <w:sz w:val="20"/>
          <w:szCs w:val="20"/>
          <w:color w:val="auto"/>
        </w:rPr>
      </w:pPr>
    </w:p>
    <w:p>
      <w:pPr>
        <w:ind w:left="160" w:right="120" w:hanging="161"/>
        <w:spacing w:after="0" w:line="251" w:lineRule="auto"/>
        <w:rPr>
          <w:sz w:val="20"/>
          <w:szCs w:val="20"/>
          <w:color w:val="auto"/>
        </w:rPr>
      </w:pPr>
      <w:r>
        <w:rPr>
          <w:rFonts w:ascii="Arial" w:cs="Arial" w:eastAsia="Arial" w:hAnsi="Arial"/>
          <w:sz w:val="16"/>
          <w:szCs w:val="16"/>
          <w:color w:val="auto"/>
        </w:rPr>
        <w:t>•   Oversees the Company’s strategies, initiatives, and programs related to human capital management and determines their effectiveness, including with respect to diversity, equity, and inclusion, workplace and culture, benefits and well-being, employee engagement, performance management, and talent recruitment, development, and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-2872105</wp:posOffset>
            </wp:positionH>
            <wp:positionV relativeFrom="paragraph">
              <wp:posOffset>-2540</wp:posOffset>
            </wp:positionV>
            <wp:extent cx="69951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20" w:space="720"/>
            <w:col w:w="6480"/>
          </w:cols>
          <w:pgMar w:left="320" w:top="482" w:right="459" w:bottom="1440" w:gutter="0" w:footer="0" w:header="0"/>
          <w:type w:val="continuous"/>
        </w:sectPr>
      </w:pPr>
    </w:p>
    <w:p>
      <w:pPr>
        <w:spacing w:after="0" w:line="120"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Compensation and Talent Management Committee Interlocks and Insider Participation</w:t>
      </w:r>
    </w:p>
    <w:p>
      <w:pPr>
        <w:spacing w:after="0" w:line="111" w:lineRule="exact"/>
        <w:rPr>
          <w:sz w:val="20"/>
          <w:szCs w:val="20"/>
          <w:color w:val="auto"/>
        </w:rPr>
      </w:pPr>
    </w:p>
    <w:p>
      <w:pPr>
        <w:ind w:left="120" w:right="400"/>
        <w:spacing w:after="0" w:line="266" w:lineRule="auto"/>
        <w:rPr>
          <w:sz w:val="20"/>
          <w:szCs w:val="20"/>
          <w:color w:val="auto"/>
        </w:rPr>
      </w:pPr>
      <w:r>
        <w:rPr>
          <w:rFonts w:ascii="Arial" w:cs="Arial" w:eastAsia="Arial" w:hAnsi="Arial"/>
          <w:sz w:val="16"/>
          <w:szCs w:val="16"/>
          <w:color w:val="auto"/>
        </w:rPr>
        <w:t>During 2022, none of the Company’s executive officers served on the Board of Directors of any entities whose directors or officers served on the Company’s Compensation and Talent Management Committee. No current or past executive officers of the Company or its subsidiaries serve on the Compensation and Talent Management Committee.</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7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-142875</wp:posOffset>
            </wp:positionV>
            <wp:extent cx="411480" cy="1968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6734175</wp:posOffset>
            </wp:positionH>
            <wp:positionV relativeFrom="paragraph">
              <wp:posOffset>133985</wp:posOffset>
            </wp:positionV>
            <wp:extent cx="300355" cy="2832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00355" cy="283210"/>
                    </a:xfrm>
                    <a:prstGeom prst="rect">
                      <a:avLst/>
                    </a:prstGeom>
                    <a:noFill/>
                  </pic:spPr>
                </pic:pic>
              </a:graphicData>
            </a:graphic>
          </wp:anchor>
        </w:drawing>
      </w:r>
    </w:p>
    <w:p>
      <w:pPr>
        <w:spacing w:after="0" w:line="294" w:lineRule="exact"/>
        <w:rPr>
          <w:sz w:val="20"/>
          <w:szCs w:val="20"/>
          <w:color w:val="auto"/>
        </w:rPr>
      </w:pPr>
    </w:p>
    <w:p>
      <w:pPr>
        <w:ind w:left="180"/>
        <w:spacing w:after="0"/>
        <w:rPr>
          <w:sz w:val="20"/>
          <w:szCs w:val="20"/>
          <w:color w:val="auto"/>
        </w:rPr>
      </w:pPr>
      <w:r>
        <w:rPr>
          <w:rFonts w:ascii="Arial" w:cs="Arial" w:eastAsia="Arial" w:hAnsi="Arial"/>
          <w:sz w:val="18"/>
          <w:szCs w:val="18"/>
          <w:color w:val="00AF41"/>
        </w:rPr>
        <w:t>Corporate 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137795</wp:posOffset>
            </wp:positionV>
            <wp:extent cx="69176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9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Members: </w:t>
      </w:r>
      <w:r>
        <w:rPr>
          <w:rFonts w:ascii="Arial" w:cs="Arial" w:eastAsia="Arial" w:hAnsi="Arial"/>
          <w:sz w:val="16"/>
          <w:szCs w:val="16"/>
          <w:color w:val="00AF41"/>
        </w:rPr>
        <w:t>All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89535</wp:posOffset>
            </wp:positionV>
            <wp:extent cx="1979930" cy="3683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97993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Terrence B. Larkin (Chair)</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Gerald S. Adolph</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Robert S. Cubbin</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Amala Duggirala</w:t>
      </w:r>
    </w:p>
    <w:p>
      <w:pPr>
        <w:spacing w:after="0" w:line="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InaMarie F. Johnson</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Meetings in 2022: </w:t>
      </w:r>
      <w:r>
        <w:rPr>
          <w:rFonts w:ascii="Arial" w:cs="Arial" w:eastAsia="Arial" w:hAnsi="Arial"/>
          <w:sz w:val="16"/>
          <w:szCs w:val="16"/>
          <w:b w:val="1"/>
          <w:bCs w:val="1"/>
          <w:color w:val="00AF41"/>
        </w:rPr>
        <w:t>6</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Responsibilities:</w:t>
      </w:r>
    </w:p>
    <w:p>
      <w:pPr>
        <w:spacing w:after="0" w:line="21" w:lineRule="exact"/>
        <w:rPr>
          <w:sz w:val="20"/>
          <w:szCs w:val="20"/>
          <w:color w:val="auto"/>
        </w:rPr>
      </w:pPr>
    </w:p>
    <w:p>
      <w:pPr>
        <w:ind w:left="160" w:right="620" w:hanging="161"/>
        <w:spacing w:after="0" w:line="246" w:lineRule="auto"/>
        <w:rPr>
          <w:sz w:val="20"/>
          <w:szCs w:val="20"/>
          <w:color w:val="auto"/>
        </w:rPr>
      </w:pPr>
      <w:r>
        <w:rPr>
          <w:rFonts w:ascii="Arial" w:cs="Arial" w:eastAsia="Arial" w:hAnsi="Arial"/>
          <w:sz w:val="16"/>
          <w:szCs w:val="16"/>
          <w:color w:val="auto"/>
        </w:rPr>
        <w:t>•   Develops and oversees compliance with the Company’s Corporate Governance Principles</w:t>
      </w:r>
    </w:p>
    <w:p>
      <w:pPr>
        <w:spacing w:after="0" w:line="1" w:lineRule="exact"/>
        <w:rPr>
          <w:sz w:val="20"/>
          <w:szCs w:val="20"/>
          <w:color w:val="auto"/>
        </w:rPr>
      </w:pPr>
    </w:p>
    <w:p>
      <w:pPr>
        <w:ind w:left="160" w:right="800" w:hanging="161"/>
        <w:spacing w:after="0" w:line="246" w:lineRule="auto"/>
        <w:rPr>
          <w:sz w:val="20"/>
          <w:szCs w:val="20"/>
          <w:color w:val="auto"/>
        </w:rPr>
      </w:pPr>
      <w:r>
        <w:rPr>
          <w:rFonts w:ascii="Arial" w:cs="Arial" w:eastAsia="Arial" w:hAnsi="Arial"/>
          <w:sz w:val="16"/>
          <w:szCs w:val="16"/>
          <w:color w:val="auto"/>
        </w:rPr>
        <w:t>•   Reviews and makes recommendations to the Board with respect to corporate governance matters generally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Engages in succession planning for our Board of Directors</w:t>
      </w:r>
    </w:p>
    <w:p>
      <w:pPr>
        <w:spacing w:after="0" w:line="5" w:lineRule="exact"/>
        <w:rPr>
          <w:sz w:val="20"/>
          <w:szCs w:val="20"/>
          <w:color w:val="auto"/>
        </w:rPr>
      </w:pPr>
    </w:p>
    <w:p>
      <w:pPr>
        <w:ind w:left="160" w:right="140" w:hanging="161"/>
        <w:spacing w:after="0" w:line="246" w:lineRule="auto"/>
        <w:rPr>
          <w:sz w:val="20"/>
          <w:szCs w:val="20"/>
          <w:color w:val="auto"/>
        </w:rPr>
      </w:pPr>
      <w:r>
        <w:rPr>
          <w:rFonts w:ascii="Arial" w:cs="Arial" w:eastAsia="Arial" w:hAnsi="Arial"/>
          <w:sz w:val="16"/>
          <w:szCs w:val="16"/>
          <w:color w:val="auto"/>
        </w:rPr>
        <w:t>•   Makes recommendations to the Board regarding the size, composition, and leadership structure of the Board and its committees</w:t>
      </w:r>
    </w:p>
    <w:p>
      <w:pPr>
        <w:spacing w:after="0" w:line="1" w:lineRule="exact"/>
        <w:rPr>
          <w:sz w:val="20"/>
          <w:szCs w:val="20"/>
          <w:color w:val="auto"/>
        </w:rPr>
      </w:pPr>
    </w:p>
    <w:p>
      <w:pPr>
        <w:ind w:left="160" w:right="660" w:hanging="161"/>
        <w:spacing w:after="0" w:line="246" w:lineRule="auto"/>
        <w:rPr>
          <w:sz w:val="20"/>
          <w:szCs w:val="20"/>
          <w:color w:val="auto"/>
        </w:rPr>
      </w:pPr>
      <w:r>
        <w:rPr>
          <w:rFonts w:ascii="Arial" w:cs="Arial" w:eastAsia="Arial" w:hAnsi="Arial"/>
          <w:sz w:val="16"/>
          <w:szCs w:val="16"/>
          <w:color w:val="auto"/>
        </w:rPr>
        <w:t>•   Identifies and assesses the independence, backgrounds, and skills required for members of the Board and Board committees</w:t>
      </w:r>
    </w:p>
    <w:p>
      <w:pPr>
        <w:spacing w:after="0" w:line="1" w:lineRule="exact"/>
        <w:rPr>
          <w:sz w:val="20"/>
          <w:szCs w:val="20"/>
          <w:color w:val="auto"/>
        </w:rPr>
      </w:pPr>
    </w:p>
    <w:p>
      <w:pPr>
        <w:ind w:left="160" w:right="140" w:hanging="161"/>
        <w:spacing w:after="0" w:line="246" w:lineRule="auto"/>
        <w:rPr>
          <w:sz w:val="20"/>
          <w:szCs w:val="20"/>
          <w:color w:val="auto"/>
        </w:rPr>
      </w:pPr>
      <w:r>
        <w:rPr>
          <w:rFonts w:ascii="Arial" w:cs="Arial" w:eastAsia="Arial" w:hAnsi="Arial"/>
          <w:sz w:val="16"/>
          <w:szCs w:val="16"/>
          <w:color w:val="auto"/>
        </w:rPr>
        <w:t>•   Identifies, considers, and recommends, consistent with criteria approved by the Board, qualified candidates for election as directors, including the slate of directors to be nominated by the Board for election at the Company’s Annual Meeting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Oversees the orientation and education of new directors</w:t>
      </w:r>
    </w:p>
    <w:p>
      <w:pPr>
        <w:spacing w:after="0" w:line="5" w:lineRule="exact"/>
        <w:rPr>
          <w:sz w:val="20"/>
          <w:szCs w:val="20"/>
          <w:color w:val="auto"/>
        </w:rPr>
      </w:pPr>
    </w:p>
    <w:p>
      <w:pPr>
        <w:ind w:left="160" w:right="260" w:hanging="161"/>
        <w:spacing w:after="0" w:line="246" w:lineRule="auto"/>
        <w:rPr>
          <w:sz w:val="20"/>
          <w:szCs w:val="20"/>
          <w:color w:val="auto"/>
        </w:rPr>
      </w:pPr>
      <w:r>
        <w:rPr>
          <w:rFonts w:ascii="Arial" w:cs="Arial" w:eastAsia="Arial" w:hAnsi="Arial"/>
          <w:sz w:val="16"/>
          <w:szCs w:val="16"/>
          <w:color w:val="auto"/>
        </w:rPr>
        <w:t>•   Oversees the annual evaluation process of the Board and Board committees, as well as the director peer review</w:t>
      </w:r>
    </w:p>
    <w:p>
      <w:pPr>
        <w:spacing w:after="0" w:line="1" w:lineRule="exact"/>
        <w:rPr>
          <w:sz w:val="20"/>
          <w:szCs w:val="20"/>
          <w:color w:val="auto"/>
        </w:rPr>
      </w:pPr>
    </w:p>
    <w:p>
      <w:pPr>
        <w:ind w:left="160" w:right="220" w:hanging="161"/>
        <w:spacing w:after="0" w:line="246" w:lineRule="auto"/>
        <w:rPr>
          <w:sz w:val="20"/>
          <w:szCs w:val="20"/>
          <w:color w:val="auto"/>
        </w:rPr>
      </w:pPr>
      <w:r>
        <w:rPr>
          <w:rFonts w:ascii="Arial" w:cs="Arial" w:eastAsia="Arial" w:hAnsi="Arial"/>
          <w:sz w:val="16"/>
          <w:szCs w:val="16"/>
          <w:color w:val="auto"/>
        </w:rPr>
        <w:t>•   Oversees and periodically reports to the Board on matters concerning the Company’s Corporate ESG Strategy including corporate responsibility and sustainability performance</w:t>
      </w:r>
    </w:p>
    <w:p>
      <w:pPr>
        <w:spacing w:after="0" w:line="1" w:lineRule="exact"/>
        <w:rPr>
          <w:sz w:val="20"/>
          <w:szCs w:val="20"/>
          <w:color w:val="auto"/>
        </w:rPr>
      </w:pPr>
    </w:p>
    <w:p>
      <w:pPr>
        <w:jc w:val="both"/>
        <w:ind w:left="160" w:right="260" w:hanging="161"/>
        <w:spacing w:after="0" w:line="256" w:lineRule="auto"/>
        <w:rPr>
          <w:sz w:val="20"/>
          <w:szCs w:val="20"/>
          <w:color w:val="auto"/>
        </w:rPr>
      </w:pPr>
      <w:r>
        <w:rPr>
          <w:rFonts w:ascii="Arial" w:cs="Arial" w:eastAsia="Arial" w:hAnsi="Arial"/>
          <w:sz w:val="16"/>
          <w:szCs w:val="16"/>
          <w:color w:val="auto"/>
        </w:rPr>
        <w:t>•   Reviews and makes recommendations to the Board regarding corporate governance trends, best practices, and regulations applicable to the corporate governance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-2828925</wp:posOffset>
            </wp:positionH>
            <wp:positionV relativeFrom="paragraph">
              <wp:posOffset>-5715</wp:posOffset>
            </wp:positionV>
            <wp:extent cx="69176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3920" w:space="720"/>
            <w:col w:w="6500"/>
          </w:cols>
          <w:pgMar w:left="320" w:top="482" w:right="439" w:bottom="1440" w:gutter="0" w:footer="0" w:header="0"/>
          <w:type w:val="continuous"/>
        </w:sectPr>
      </w:pPr>
    </w:p>
    <w:p>
      <w:pPr>
        <w:ind w:left="120"/>
        <w:spacing w:after="0"/>
        <w:rPr>
          <w:sz w:val="20"/>
          <w:szCs w:val="20"/>
          <w:color w:val="auto"/>
        </w:rPr>
      </w:pPr>
      <w:r>
        <w:rPr>
          <w:rFonts w:ascii="Arial" w:cs="Arial" w:eastAsia="Arial" w:hAnsi="Arial"/>
          <w:sz w:val="22"/>
          <w:szCs w:val="22"/>
          <w:b w:val="1"/>
          <w:bCs w:val="1"/>
          <w:color w:val="auto"/>
        </w:rPr>
        <w:t>Executive Leadership</w:t>
      </w:r>
    </w:p>
    <w:p>
      <w:pPr>
        <w:spacing w:after="0" w:line="112" w:lineRule="exact"/>
        <w:rPr>
          <w:sz w:val="20"/>
          <w:szCs w:val="20"/>
          <w:color w:val="auto"/>
        </w:rPr>
      </w:pPr>
    </w:p>
    <w:p>
      <w:pPr>
        <w:ind w:left="120" w:right="80"/>
        <w:spacing w:after="0" w:line="266" w:lineRule="auto"/>
        <w:rPr>
          <w:sz w:val="20"/>
          <w:szCs w:val="20"/>
          <w:color w:val="auto"/>
        </w:rPr>
      </w:pPr>
      <w:r>
        <w:rPr>
          <w:rFonts w:ascii="Arial" w:cs="Arial" w:eastAsia="Arial" w:hAnsi="Arial"/>
          <w:sz w:val="16"/>
          <w:szCs w:val="16"/>
          <w:color w:val="auto"/>
        </w:rPr>
        <w:t>The Board is committed to ensuring that the Company has the right executive leadership team in place. Under our Chief Executive Officer’s leadership, the Company has transformed the management team by elevating strong internal talent while bringing in people with the experience and skills necessary for our success.</w:t>
      </w:r>
    </w:p>
    <w:p>
      <w:pPr>
        <w:spacing w:after="0" w:line="63" w:lineRule="exact"/>
        <w:rPr>
          <w:sz w:val="20"/>
          <w:szCs w:val="20"/>
          <w:color w:val="auto"/>
        </w:rPr>
      </w:pPr>
    </w:p>
    <w:p>
      <w:pPr>
        <w:ind w:left="120" w:right="620"/>
        <w:spacing w:after="0" w:line="286" w:lineRule="auto"/>
        <w:rPr>
          <w:sz w:val="20"/>
          <w:szCs w:val="20"/>
          <w:color w:val="auto"/>
        </w:rPr>
      </w:pPr>
      <w:r>
        <w:rPr>
          <w:rFonts w:ascii="Arial" w:cs="Arial" w:eastAsia="Arial" w:hAnsi="Arial"/>
          <w:sz w:val="16"/>
          <w:szCs w:val="16"/>
          <w:color w:val="auto"/>
        </w:rPr>
        <w:t xml:space="preserve">The following lists our executive officers as of April 17, 2023. Additional biographical information for each of our executive officers can be found at </w:t>
      </w:r>
      <w:r>
        <w:rPr>
          <w:rFonts w:ascii="Arial" w:cs="Arial" w:eastAsia="Arial" w:hAnsi="Arial"/>
          <w:sz w:val="16"/>
          <w:szCs w:val="16"/>
          <w:i w:val="1"/>
          <w:iCs w:val="1"/>
          <w:color w:val="auto"/>
        </w:rPr>
        <w:t>kellyservices.com</w:t>
      </w:r>
      <w:r>
        <w:rPr>
          <w:rFonts w:ascii="Arial" w:cs="Arial" w:eastAsia="Arial" w:hAnsi="Arial"/>
          <w:sz w:val="16"/>
          <w:szCs w:val="16"/>
          <w:color w:val="auto"/>
        </w:rPr>
        <w:t>.</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2780" w:type="dxa"/>
            <w:vAlign w:val="bottom"/>
          </w:tcPr>
          <w:p>
            <w:pPr>
              <w:ind w:left="1260"/>
              <w:spacing w:after="0"/>
              <w:rPr>
                <w:sz w:val="20"/>
                <w:szCs w:val="20"/>
                <w:color w:val="auto"/>
              </w:rPr>
            </w:pPr>
            <w:r>
              <w:rPr>
                <w:rFonts w:ascii="Arial" w:cs="Arial" w:eastAsia="Arial" w:hAnsi="Arial"/>
                <w:sz w:val="14"/>
                <w:szCs w:val="14"/>
                <w:b w:val="1"/>
                <w:bCs w:val="1"/>
                <w:color w:val="00AF41"/>
              </w:rPr>
              <w:t>Name</w:t>
            </w:r>
          </w:p>
        </w:tc>
        <w:tc>
          <w:tcPr>
            <w:tcW w:w="520" w:type="dxa"/>
            <w:vAlign w:val="bottom"/>
          </w:tcPr>
          <w:p>
            <w:pPr>
              <w:ind w:left="120"/>
              <w:spacing w:after="0"/>
              <w:rPr>
                <w:sz w:val="20"/>
                <w:szCs w:val="20"/>
                <w:color w:val="auto"/>
              </w:rPr>
            </w:pPr>
            <w:r>
              <w:rPr>
                <w:rFonts w:ascii="Arial" w:cs="Arial" w:eastAsia="Arial" w:hAnsi="Arial"/>
                <w:sz w:val="14"/>
                <w:szCs w:val="14"/>
                <w:b w:val="1"/>
                <w:bCs w:val="1"/>
                <w:color w:val="00AF41"/>
              </w:rPr>
              <w:t>Age</w:t>
            </w:r>
          </w:p>
        </w:tc>
        <w:tc>
          <w:tcPr>
            <w:tcW w:w="7720" w:type="dxa"/>
            <w:vAlign w:val="bottom"/>
          </w:tcPr>
          <w:p>
            <w:pPr>
              <w:ind w:left="3060"/>
              <w:spacing w:after="0"/>
              <w:rPr>
                <w:sz w:val="20"/>
                <w:szCs w:val="20"/>
                <w:color w:val="auto"/>
              </w:rPr>
            </w:pPr>
            <w:r>
              <w:rPr>
                <w:rFonts w:ascii="Arial" w:cs="Arial" w:eastAsia="Arial" w:hAnsi="Arial"/>
                <w:sz w:val="14"/>
                <w:szCs w:val="14"/>
                <w:b w:val="1"/>
                <w:bCs w:val="1"/>
                <w:color w:val="00AF41"/>
              </w:rPr>
              <w:t>Biographical Information</w:t>
            </w:r>
          </w:p>
        </w:tc>
      </w:tr>
      <w:tr>
        <w:trPr>
          <w:trHeight w:val="43"/>
        </w:trPr>
        <w:tc>
          <w:tcPr>
            <w:tcW w:w="2780" w:type="dxa"/>
            <w:vAlign w:val="bottom"/>
            <w:tcBorders>
              <w:bottom w:val="single" w:sz="8" w:color="auto"/>
            </w:tcBorders>
          </w:tcPr>
          <w:p>
            <w:pPr>
              <w:spacing w:after="0"/>
              <w:rPr>
                <w:sz w:val="3"/>
                <w:szCs w:val="3"/>
                <w:color w:val="auto"/>
              </w:rPr>
            </w:pPr>
          </w:p>
        </w:tc>
        <w:tc>
          <w:tcPr>
            <w:tcW w:w="8240" w:type="dxa"/>
            <w:vAlign w:val="bottom"/>
            <w:tcBorders>
              <w:bottom w:val="single" w:sz="8" w:color="auto"/>
            </w:tcBorders>
            <w:gridSpan w:val="2"/>
          </w:tcPr>
          <w:p>
            <w:pPr>
              <w:spacing w:after="0"/>
              <w:rPr>
                <w:sz w:val="3"/>
                <w:szCs w:val="3"/>
                <w:color w:val="auto"/>
              </w:rPr>
            </w:pPr>
          </w:p>
        </w:tc>
      </w:tr>
      <w:tr>
        <w:trPr>
          <w:trHeight w:val="222"/>
        </w:trPr>
        <w:tc>
          <w:tcPr>
            <w:tcW w:w="2780" w:type="dxa"/>
            <w:vAlign w:val="bottom"/>
            <w:shd w:val="clear" w:color="auto" w:fill="EDEDED"/>
          </w:tcPr>
          <w:p>
            <w:pPr>
              <w:ind w:left="740"/>
              <w:spacing w:after="0"/>
              <w:rPr>
                <w:sz w:val="20"/>
                <w:szCs w:val="20"/>
                <w:color w:val="auto"/>
              </w:rPr>
            </w:pPr>
            <w:r>
              <w:rPr>
                <w:rFonts w:ascii="Arial" w:cs="Arial" w:eastAsia="Arial" w:hAnsi="Arial"/>
                <w:sz w:val="16"/>
                <w:szCs w:val="16"/>
                <w:b w:val="1"/>
                <w:bCs w:val="1"/>
                <w:color w:val="auto"/>
              </w:rPr>
              <w:t>Peter W. Quigley</w:t>
            </w:r>
          </w:p>
        </w:tc>
        <w:tc>
          <w:tcPr>
            <w:tcW w:w="8240" w:type="dxa"/>
            <w:vAlign w:val="bottom"/>
            <w:gridSpan w:val="2"/>
            <w:shd w:val="clear" w:color="auto" w:fill="EDEDED"/>
          </w:tcPr>
          <w:p>
            <w:pPr>
              <w:ind w:left="240"/>
              <w:spacing w:after="0"/>
              <w:rPr>
                <w:sz w:val="20"/>
                <w:szCs w:val="20"/>
                <w:color w:val="auto"/>
              </w:rPr>
            </w:pPr>
            <w:r>
              <w:rPr>
                <w:rFonts w:ascii="Arial" w:cs="Arial" w:eastAsia="Arial" w:hAnsi="Arial"/>
                <w:sz w:val="16"/>
                <w:szCs w:val="16"/>
                <w:color w:val="auto"/>
              </w:rPr>
              <w:t>61   Mr. Quigley served as Executive Vice President, President, Global Staffing, and General Manager, Global</w:t>
            </w:r>
          </w:p>
        </w:tc>
      </w:tr>
      <w:tr>
        <w:trPr>
          <w:trHeight w:val="189"/>
        </w:trPr>
        <w:tc>
          <w:tcPr>
            <w:tcW w:w="2780" w:type="dxa"/>
            <w:vAlign w:val="bottom"/>
            <w:shd w:val="clear" w:color="auto" w:fill="EDEDED"/>
          </w:tcPr>
          <w:p>
            <w:pPr>
              <w:ind w:left="740"/>
              <w:spacing w:after="0"/>
              <w:rPr>
                <w:sz w:val="20"/>
                <w:szCs w:val="20"/>
                <w:color w:val="auto"/>
              </w:rPr>
            </w:pPr>
            <w:r>
              <w:rPr>
                <w:rFonts w:ascii="Arial" w:cs="Arial" w:eastAsia="Arial" w:hAnsi="Arial"/>
                <w:sz w:val="16"/>
                <w:szCs w:val="16"/>
                <w:i w:val="1"/>
                <w:iCs w:val="1"/>
                <w:color w:val="auto"/>
              </w:rPr>
              <w:t>President and Chief</w:t>
            </w:r>
          </w:p>
        </w:tc>
        <w:tc>
          <w:tcPr>
            <w:tcW w:w="520" w:type="dxa"/>
            <w:vAlign w:val="bottom"/>
            <w:shd w:val="clear" w:color="auto" w:fill="EDEDED"/>
          </w:tcPr>
          <w:p>
            <w:pPr>
              <w:spacing w:after="0"/>
              <w:rPr>
                <w:sz w:val="16"/>
                <w:szCs w:val="16"/>
                <w:color w:val="auto"/>
              </w:rPr>
            </w:pPr>
          </w:p>
        </w:tc>
        <w:tc>
          <w:tcPr>
            <w:tcW w:w="77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Information Technology, Global Business Services and Global Service from May 2017 through September</w:t>
            </w:r>
          </w:p>
        </w:tc>
      </w:tr>
      <w:tr>
        <w:trPr>
          <w:trHeight w:val="189"/>
        </w:trPr>
        <w:tc>
          <w:tcPr>
            <w:tcW w:w="2780" w:type="dxa"/>
            <w:vAlign w:val="bottom"/>
            <w:shd w:val="clear" w:color="auto" w:fill="EDEDED"/>
          </w:tcPr>
          <w:p>
            <w:pPr>
              <w:ind w:left="740"/>
              <w:spacing w:after="0"/>
              <w:rPr>
                <w:sz w:val="20"/>
                <w:szCs w:val="20"/>
                <w:color w:val="auto"/>
              </w:rPr>
            </w:pPr>
            <w:r>
              <w:rPr>
                <w:rFonts w:ascii="Arial" w:cs="Arial" w:eastAsia="Arial" w:hAnsi="Arial"/>
                <w:sz w:val="16"/>
                <w:szCs w:val="16"/>
                <w:i w:val="1"/>
                <w:iCs w:val="1"/>
                <w:color w:val="auto"/>
              </w:rPr>
              <w:t>Executive Officer</w:t>
            </w:r>
          </w:p>
        </w:tc>
        <w:tc>
          <w:tcPr>
            <w:tcW w:w="520" w:type="dxa"/>
            <w:vAlign w:val="bottom"/>
            <w:shd w:val="clear" w:color="auto" w:fill="EDEDED"/>
          </w:tcPr>
          <w:p>
            <w:pPr>
              <w:spacing w:after="0"/>
              <w:rPr>
                <w:sz w:val="16"/>
                <w:szCs w:val="16"/>
                <w:color w:val="auto"/>
              </w:rPr>
            </w:pPr>
          </w:p>
        </w:tc>
        <w:tc>
          <w:tcPr>
            <w:tcW w:w="77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2019. He served as the Company’s Chief Administrative Officer and General Counsel from May 2015 to</w:t>
            </w:r>
          </w:p>
        </w:tc>
      </w:tr>
      <w:tr>
        <w:trPr>
          <w:trHeight w:val="189"/>
        </w:trPr>
        <w:tc>
          <w:tcPr>
            <w:tcW w:w="2780" w:type="dxa"/>
            <w:vAlign w:val="bottom"/>
            <w:shd w:val="clear" w:color="auto" w:fill="EDEDED"/>
          </w:tcPr>
          <w:p>
            <w:pPr>
              <w:spacing w:after="0"/>
              <w:rPr>
                <w:sz w:val="16"/>
                <w:szCs w:val="16"/>
                <w:color w:val="auto"/>
              </w:rPr>
            </w:pPr>
          </w:p>
        </w:tc>
        <w:tc>
          <w:tcPr>
            <w:tcW w:w="520" w:type="dxa"/>
            <w:vAlign w:val="bottom"/>
            <w:shd w:val="clear" w:color="auto" w:fill="EDEDED"/>
          </w:tcPr>
          <w:p>
            <w:pPr>
              <w:spacing w:after="0"/>
              <w:rPr>
                <w:sz w:val="16"/>
                <w:szCs w:val="16"/>
                <w:color w:val="auto"/>
              </w:rPr>
            </w:pPr>
          </w:p>
        </w:tc>
        <w:tc>
          <w:tcPr>
            <w:tcW w:w="77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May 2017, General Counsel from January 2013 to May 2015. Mr. Quigley led the Company’s Global</w:t>
            </w:r>
          </w:p>
        </w:tc>
      </w:tr>
      <w:tr>
        <w:trPr>
          <w:trHeight w:val="189"/>
        </w:trPr>
        <w:tc>
          <w:tcPr>
            <w:tcW w:w="2780" w:type="dxa"/>
            <w:vAlign w:val="bottom"/>
            <w:shd w:val="clear" w:color="auto" w:fill="EDEDED"/>
          </w:tcPr>
          <w:p>
            <w:pPr>
              <w:spacing w:after="0"/>
              <w:rPr>
                <w:sz w:val="16"/>
                <w:szCs w:val="16"/>
                <w:color w:val="auto"/>
              </w:rPr>
            </w:pPr>
          </w:p>
        </w:tc>
        <w:tc>
          <w:tcPr>
            <w:tcW w:w="520" w:type="dxa"/>
            <w:vAlign w:val="bottom"/>
            <w:shd w:val="clear" w:color="auto" w:fill="EDEDED"/>
          </w:tcPr>
          <w:p>
            <w:pPr>
              <w:spacing w:after="0"/>
              <w:rPr>
                <w:sz w:val="16"/>
                <w:szCs w:val="16"/>
                <w:color w:val="auto"/>
              </w:rPr>
            </w:pPr>
          </w:p>
        </w:tc>
        <w:tc>
          <w:tcPr>
            <w:tcW w:w="77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Client Relationships group from January 2008 to December 2012 and served in multiple roles including</w:t>
            </w:r>
          </w:p>
        </w:tc>
      </w:tr>
      <w:tr>
        <w:trPr>
          <w:trHeight w:val="189"/>
        </w:trPr>
        <w:tc>
          <w:tcPr>
            <w:tcW w:w="2780" w:type="dxa"/>
            <w:vAlign w:val="bottom"/>
            <w:shd w:val="clear" w:color="auto" w:fill="EDEDED"/>
          </w:tcPr>
          <w:p>
            <w:pPr>
              <w:spacing w:after="0"/>
              <w:rPr>
                <w:sz w:val="16"/>
                <w:szCs w:val="16"/>
                <w:color w:val="auto"/>
              </w:rPr>
            </w:pPr>
          </w:p>
        </w:tc>
        <w:tc>
          <w:tcPr>
            <w:tcW w:w="520" w:type="dxa"/>
            <w:vAlign w:val="bottom"/>
            <w:shd w:val="clear" w:color="auto" w:fill="EDEDED"/>
          </w:tcPr>
          <w:p>
            <w:pPr>
              <w:spacing w:after="0"/>
              <w:rPr>
                <w:sz w:val="16"/>
                <w:szCs w:val="16"/>
                <w:color w:val="auto"/>
              </w:rPr>
            </w:pPr>
          </w:p>
        </w:tc>
        <w:tc>
          <w:tcPr>
            <w:tcW w:w="77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Sr. Director of Service, Vice President, Contract Administration, and Vice President, Associate General</w:t>
            </w:r>
          </w:p>
        </w:tc>
      </w:tr>
      <w:tr>
        <w:trPr>
          <w:trHeight w:val="189"/>
        </w:trPr>
        <w:tc>
          <w:tcPr>
            <w:tcW w:w="2780" w:type="dxa"/>
            <w:vAlign w:val="bottom"/>
            <w:shd w:val="clear" w:color="auto" w:fill="EDEDED"/>
          </w:tcPr>
          <w:p>
            <w:pPr>
              <w:spacing w:after="0"/>
              <w:rPr>
                <w:sz w:val="16"/>
                <w:szCs w:val="16"/>
                <w:color w:val="auto"/>
              </w:rPr>
            </w:pPr>
          </w:p>
        </w:tc>
        <w:tc>
          <w:tcPr>
            <w:tcW w:w="520" w:type="dxa"/>
            <w:vAlign w:val="bottom"/>
            <w:shd w:val="clear" w:color="auto" w:fill="EDEDED"/>
          </w:tcPr>
          <w:p>
            <w:pPr>
              <w:spacing w:after="0"/>
              <w:rPr>
                <w:sz w:val="16"/>
                <w:szCs w:val="16"/>
                <w:color w:val="auto"/>
              </w:rPr>
            </w:pPr>
          </w:p>
        </w:tc>
        <w:tc>
          <w:tcPr>
            <w:tcW w:w="77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Counsel from the time he joined the company in November 2002 until December 2007. Prior to joining the</w:t>
            </w:r>
          </w:p>
        </w:tc>
      </w:tr>
      <w:tr>
        <w:trPr>
          <w:trHeight w:val="215"/>
        </w:trPr>
        <w:tc>
          <w:tcPr>
            <w:tcW w:w="2780" w:type="dxa"/>
            <w:vAlign w:val="bottom"/>
            <w:shd w:val="clear" w:color="auto" w:fill="EDEDED"/>
          </w:tcPr>
          <w:p>
            <w:pPr>
              <w:spacing w:after="0"/>
              <w:rPr>
                <w:sz w:val="18"/>
                <w:szCs w:val="18"/>
                <w:color w:val="auto"/>
              </w:rPr>
            </w:pPr>
          </w:p>
        </w:tc>
        <w:tc>
          <w:tcPr>
            <w:tcW w:w="520" w:type="dxa"/>
            <w:vAlign w:val="bottom"/>
            <w:shd w:val="clear" w:color="auto" w:fill="EDEDED"/>
          </w:tcPr>
          <w:p>
            <w:pPr>
              <w:spacing w:after="0"/>
              <w:rPr>
                <w:sz w:val="18"/>
                <w:szCs w:val="18"/>
                <w:color w:val="auto"/>
              </w:rPr>
            </w:pPr>
          </w:p>
        </w:tc>
        <w:tc>
          <w:tcPr>
            <w:tcW w:w="77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Company, Mr. Quigley held a variety of roles at Lucent Technologies and AT&amp;T Corporation.</w:t>
            </w:r>
          </w:p>
        </w:tc>
      </w:tr>
      <w:tr>
        <w:trPr>
          <w:trHeight w:val="96"/>
        </w:trPr>
        <w:tc>
          <w:tcPr>
            <w:tcW w:w="2780" w:type="dxa"/>
            <w:vAlign w:val="bottom"/>
            <w:shd w:val="clear" w:color="auto" w:fill="EDEDED"/>
          </w:tcPr>
          <w:p>
            <w:pPr>
              <w:spacing w:after="0"/>
              <w:rPr>
                <w:sz w:val="8"/>
                <w:szCs w:val="8"/>
                <w:color w:val="auto"/>
              </w:rPr>
            </w:pPr>
          </w:p>
        </w:tc>
        <w:tc>
          <w:tcPr>
            <w:tcW w:w="8240" w:type="dxa"/>
            <w:vAlign w:val="bottom"/>
            <w:gridSpan w:val="2"/>
            <w:shd w:val="clear" w:color="auto" w:fill="EDEDED"/>
          </w:tcPr>
          <w:p>
            <w:pPr>
              <w:spacing w:after="0"/>
              <w:rPr>
                <w:sz w:val="8"/>
                <w:szCs w:val="8"/>
                <w:color w:val="auto"/>
              </w:rPr>
            </w:pPr>
          </w:p>
        </w:tc>
      </w:tr>
      <w:tr>
        <w:trPr>
          <w:trHeight w:val="242"/>
        </w:trPr>
        <w:tc>
          <w:tcPr>
            <w:tcW w:w="2780" w:type="dxa"/>
            <w:vAlign w:val="bottom"/>
          </w:tcPr>
          <w:p>
            <w:pPr>
              <w:ind w:left="740"/>
              <w:spacing w:after="0"/>
              <w:rPr>
                <w:sz w:val="20"/>
                <w:szCs w:val="20"/>
                <w:color w:val="auto"/>
              </w:rPr>
            </w:pPr>
            <w:r>
              <w:rPr>
                <w:rFonts w:ascii="Arial" w:cs="Arial" w:eastAsia="Arial" w:hAnsi="Arial"/>
                <w:sz w:val="16"/>
                <w:szCs w:val="16"/>
                <w:b w:val="1"/>
                <w:bCs w:val="1"/>
                <w:color w:val="auto"/>
              </w:rPr>
              <w:t>Olivier G. Thirot</w:t>
            </w:r>
          </w:p>
        </w:tc>
        <w:tc>
          <w:tcPr>
            <w:tcW w:w="8240" w:type="dxa"/>
            <w:vAlign w:val="bottom"/>
            <w:gridSpan w:val="2"/>
          </w:tcPr>
          <w:p>
            <w:pPr>
              <w:ind w:left="240"/>
              <w:spacing w:after="0"/>
              <w:rPr>
                <w:sz w:val="20"/>
                <w:szCs w:val="20"/>
                <w:color w:val="auto"/>
              </w:rPr>
            </w:pPr>
            <w:r>
              <w:rPr>
                <w:rFonts w:ascii="Arial" w:cs="Arial" w:eastAsia="Arial" w:hAnsi="Arial"/>
                <w:sz w:val="16"/>
                <w:szCs w:val="16"/>
                <w:color w:val="auto"/>
              </w:rPr>
              <w:t>62   Mr. Thirot served as the Company’s acting Chief Financial Officer from March 2015 to January 2016 when</w:t>
            </w:r>
          </w:p>
        </w:tc>
      </w:tr>
      <w:tr>
        <w:trPr>
          <w:trHeight w:val="189"/>
        </w:trPr>
        <w:tc>
          <w:tcPr>
            <w:tcW w:w="2780" w:type="dxa"/>
            <w:vAlign w:val="bottom"/>
          </w:tcPr>
          <w:p>
            <w:pPr>
              <w:ind w:left="740"/>
              <w:spacing w:after="0"/>
              <w:rPr>
                <w:sz w:val="20"/>
                <w:szCs w:val="20"/>
                <w:color w:val="auto"/>
              </w:rPr>
            </w:pPr>
            <w:r>
              <w:rPr>
                <w:rFonts w:ascii="Arial" w:cs="Arial" w:eastAsia="Arial" w:hAnsi="Arial"/>
                <w:sz w:val="16"/>
                <w:szCs w:val="16"/>
                <w:i w:val="1"/>
                <w:iCs w:val="1"/>
                <w:color w:val="auto"/>
              </w:rPr>
              <w:t>Executive Vice President</w:t>
            </w:r>
          </w:p>
        </w:tc>
        <w:tc>
          <w:tcPr>
            <w:tcW w:w="520" w:type="dxa"/>
            <w:vAlign w:val="bottom"/>
          </w:tcPr>
          <w:p>
            <w:pPr>
              <w:spacing w:after="0"/>
              <w:rPr>
                <w:sz w:val="16"/>
                <w:szCs w:val="16"/>
                <w:color w:val="auto"/>
              </w:rPr>
            </w:pPr>
          </w:p>
        </w:tc>
        <w:tc>
          <w:tcPr>
            <w:tcW w:w="7720" w:type="dxa"/>
            <w:vAlign w:val="bottom"/>
          </w:tcPr>
          <w:p>
            <w:pPr>
              <w:ind w:left="120"/>
              <w:spacing w:after="0"/>
              <w:rPr>
                <w:sz w:val="20"/>
                <w:szCs w:val="20"/>
                <w:color w:val="auto"/>
              </w:rPr>
            </w:pPr>
            <w:r>
              <w:rPr>
                <w:rFonts w:ascii="Arial" w:cs="Arial" w:eastAsia="Arial" w:hAnsi="Arial"/>
                <w:sz w:val="16"/>
                <w:szCs w:val="16"/>
                <w:color w:val="auto"/>
              </w:rPr>
              <w:t>he was appointed Chief Financial Officer. He served as the Company’s Senior Vice President and Chief</w:t>
            </w:r>
          </w:p>
        </w:tc>
      </w:tr>
      <w:tr>
        <w:trPr>
          <w:trHeight w:val="189"/>
        </w:trPr>
        <w:tc>
          <w:tcPr>
            <w:tcW w:w="2780" w:type="dxa"/>
            <w:vAlign w:val="bottom"/>
          </w:tcPr>
          <w:p>
            <w:pPr>
              <w:ind w:left="740"/>
              <w:spacing w:after="0"/>
              <w:rPr>
                <w:sz w:val="20"/>
                <w:szCs w:val="20"/>
                <w:color w:val="auto"/>
              </w:rPr>
            </w:pPr>
            <w:r>
              <w:rPr>
                <w:rFonts w:ascii="Arial" w:cs="Arial" w:eastAsia="Arial" w:hAnsi="Arial"/>
                <w:sz w:val="16"/>
                <w:szCs w:val="16"/>
                <w:i w:val="1"/>
                <w:iCs w:val="1"/>
                <w:color w:val="auto"/>
              </w:rPr>
              <w:t>and Chief Financial Officer</w:t>
            </w:r>
          </w:p>
        </w:tc>
        <w:tc>
          <w:tcPr>
            <w:tcW w:w="520" w:type="dxa"/>
            <w:vAlign w:val="bottom"/>
          </w:tcPr>
          <w:p>
            <w:pPr>
              <w:spacing w:after="0"/>
              <w:rPr>
                <w:sz w:val="16"/>
                <w:szCs w:val="16"/>
                <w:color w:val="auto"/>
              </w:rPr>
            </w:pPr>
          </w:p>
        </w:tc>
        <w:tc>
          <w:tcPr>
            <w:tcW w:w="7720" w:type="dxa"/>
            <w:vAlign w:val="bottom"/>
          </w:tcPr>
          <w:p>
            <w:pPr>
              <w:ind w:left="120"/>
              <w:spacing w:after="0"/>
              <w:rPr>
                <w:sz w:val="20"/>
                <w:szCs w:val="20"/>
                <w:color w:val="auto"/>
              </w:rPr>
            </w:pPr>
            <w:r>
              <w:rPr>
                <w:rFonts w:ascii="Arial" w:cs="Arial" w:eastAsia="Arial" w:hAnsi="Arial"/>
                <w:sz w:val="16"/>
                <w:szCs w:val="16"/>
                <w:color w:val="auto"/>
              </w:rPr>
              <w:t>Accounting Officer from September 2014 to March 2015. Mr. Thirot was Vice President, Finance for the</w:t>
            </w:r>
          </w:p>
        </w:tc>
      </w:tr>
      <w:tr>
        <w:trPr>
          <w:trHeight w:val="189"/>
        </w:trPr>
        <w:tc>
          <w:tcPr>
            <w:tcW w:w="2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720" w:type="dxa"/>
            <w:vAlign w:val="bottom"/>
          </w:tcPr>
          <w:p>
            <w:pPr>
              <w:ind w:left="120"/>
              <w:spacing w:after="0"/>
              <w:rPr>
                <w:sz w:val="20"/>
                <w:szCs w:val="20"/>
                <w:color w:val="auto"/>
              </w:rPr>
            </w:pPr>
            <w:r>
              <w:rPr>
                <w:rFonts w:ascii="Arial" w:cs="Arial" w:eastAsia="Arial" w:hAnsi="Arial"/>
                <w:sz w:val="16"/>
                <w:szCs w:val="16"/>
                <w:color w:val="auto"/>
              </w:rPr>
              <w:t>Company’s EMEA business beginning in 2008 when he joined the Company and assumed added</w:t>
            </w:r>
          </w:p>
        </w:tc>
      </w:tr>
      <w:tr>
        <w:trPr>
          <w:trHeight w:val="205"/>
        </w:trPr>
        <w:tc>
          <w:tcPr>
            <w:tcW w:w="2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720" w:type="dxa"/>
            <w:vAlign w:val="bottom"/>
          </w:tcPr>
          <w:p>
            <w:pPr>
              <w:ind w:left="120"/>
              <w:spacing w:after="0"/>
              <w:rPr>
                <w:sz w:val="20"/>
                <w:szCs w:val="20"/>
                <w:color w:val="auto"/>
              </w:rPr>
            </w:pPr>
            <w:r>
              <w:rPr>
                <w:rFonts w:ascii="Arial" w:cs="Arial" w:eastAsia="Arial" w:hAnsi="Arial"/>
                <w:sz w:val="16"/>
                <w:szCs w:val="16"/>
                <w:color w:val="auto"/>
              </w:rPr>
              <w:t>responsibility for the APAC business in 2011. Prior to joining the Company, he worked at L. Raphael as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-1646555</wp:posOffset>
            </wp:positionV>
            <wp:extent cx="385445" cy="3860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85445" cy="3860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-574675</wp:posOffset>
            </wp:positionV>
            <wp:extent cx="385445" cy="38608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85445" cy="386080"/>
                    </a:xfrm>
                    <a:prstGeom prst="rect">
                      <a:avLst/>
                    </a:prstGeom>
                    <a:noFill/>
                  </pic:spPr>
                </pic:pic>
              </a:graphicData>
            </a:graphic>
          </wp:anchor>
        </w:drawing>
      </w:r>
    </w:p>
    <w:p>
      <w:pPr>
        <w:ind w:left="3540" w:right="620"/>
        <w:spacing w:after="0" w:line="265" w:lineRule="auto"/>
        <w:rPr>
          <w:sz w:val="20"/>
          <w:szCs w:val="20"/>
          <w:color w:val="auto"/>
        </w:rPr>
      </w:pPr>
      <w:r>
        <w:rPr>
          <w:rFonts w:ascii="Arial" w:cs="Arial" w:eastAsia="Arial" w:hAnsi="Arial"/>
          <w:sz w:val="16"/>
          <w:szCs w:val="16"/>
          <w:color w:val="auto"/>
        </w:rPr>
        <w:t>Chief Financial Officer and prior to that, he spent 18 years with Bacardi, LTD in various leadership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3" w:lineRule="exact"/>
        <w:rPr>
          <w:sz w:val="20"/>
          <w:szCs w:val="20"/>
          <w:color w:val="auto"/>
        </w:rPr>
      </w:pPr>
    </w:p>
    <w:p>
      <w:pPr>
        <w:ind w:left="1082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7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-142875</wp:posOffset>
            </wp:positionV>
            <wp:extent cx="411480" cy="1968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Corporate Governance</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2860" w:type="dxa"/>
            <w:vAlign w:val="bottom"/>
          </w:tcPr>
          <w:p>
            <w:pPr>
              <w:ind w:left="1260"/>
              <w:spacing w:after="0"/>
              <w:rPr>
                <w:sz w:val="20"/>
                <w:szCs w:val="20"/>
                <w:color w:val="auto"/>
              </w:rPr>
            </w:pPr>
            <w:r>
              <w:rPr>
                <w:rFonts w:ascii="Arial" w:cs="Arial" w:eastAsia="Arial" w:hAnsi="Arial"/>
                <w:sz w:val="14"/>
                <w:szCs w:val="14"/>
                <w:b w:val="1"/>
                <w:bCs w:val="1"/>
                <w:color w:val="00AF41"/>
              </w:rPr>
              <w:t>Name</w:t>
            </w:r>
          </w:p>
        </w:tc>
        <w:tc>
          <w:tcPr>
            <w:tcW w:w="440" w:type="dxa"/>
            <w:vAlign w:val="bottom"/>
          </w:tcPr>
          <w:p>
            <w:pPr>
              <w:ind w:left="60"/>
              <w:spacing w:after="0"/>
              <w:rPr>
                <w:sz w:val="20"/>
                <w:szCs w:val="20"/>
                <w:color w:val="auto"/>
              </w:rPr>
            </w:pPr>
            <w:r>
              <w:rPr>
                <w:rFonts w:ascii="Arial" w:cs="Arial" w:eastAsia="Arial" w:hAnsi="Arial"/>
                <w:sz w:val="14"/>
                <w:szCs w:val="14"/>
                <w:b w:val="1"/>
                <w:bCs w:val="1"/>
                <w:color w:val="00AF41"/>
              </w:rPr>
              <w:t>Age</w:t>
            </w:r>
          </w:p>
        </w:tc>
        <w:tc>
          <w:tcPr>
            <w:tcW w:w="7720" w:type="dxa"/>
            <w:vAlign w:val="bottom"/>
          </w:tcPr>
          <w:p>
            <w:pPr>
              <w:ind w:left="3060"/>
              <w:spacing w:after="0"/>
              <w:rPr>
                <w:sz w:val="20"/>
                <w:szCs w:val="20"/>
                <w:color w:val="auto"/>
              </w:rPr>
            </w:pPr>
            <w:r>
              <w:rPr>
                <w:rFonts w:ascii="Arial" w:cs="Arial" w:eastAsia="Arial" w:hAnsi="Arial"/>
                <w:sz w:val="14"/>
                <w:szCs w:val="14"/>
                <w:b w:val="1"/>
                <w:bCs w:val="1"/>
                <w:color w:val="00AF41"/>
              </w:rPr>
              <w:t>Biographical Information</w:t>
            </w:r>
          </w:p>
        </w:tc>
      </w:tr>
      <w:tr>
        <w:trPr>
          <w:trHeight w:val="43"/>
        </w:trPr>
        <w:tc>
          <w:tcPr>
            <w:tcW w:w="2860" w:type="dxa"/>
            <w:vAlign w:val="bottom"/>
            <w:tcBorders>
              <w:bottom w:val="single" w:sz="8" w:color="auto"/>
            </w:tcBorders>
          </w:tcPr>
          <w:p>
            <w:pPr>
              <w:spacing w:after="0"/>
              <w:rPr>
                <w:sz w:val="3"/>
                <w:szCs w:val="3"/>
                <w:color w:val="auto"/>
              </w:rPr>
            </w:pPr>
          </w:p>
        </w:tc>
        <w:tc>
          <w:tcPr>
            <w:tcW w:w="8160" w:type="dxa"/>
            <w:vAlign w:val="bottom"/>
            <w:tcBorders>
              <w:bottom w:val="single" w:sz="8" w:color="auto"/>
            </w:tcBorders>
            <w:gridSpan w:val="2"/>
          </w:tcPr>
          <w:p>
            <w:pPr>
              <w:spacing w:after="0"/>
              <w:rPr>
                <w:sz w:val="3"/>
                <w:szCs w:val="3"/>
                <w:color w:val="auto"/>
              </w:rPr>
            </w:pPr>
          </w:p>
        </w:tc>
      </w:tr>
      <w:tr>
        <w:trPr>
          <w:trHeight w:val="222"/>
        </w:trPr>
        <w:tc>
          <w:tcPr>
            <w:tcW w:w="2860" w:type="dxa"/>
            <w:vAlign w:val="bottom"/>
            <w:shd w:val="clear" w:color="auto" w:fill="EDEDED"/>
          </w:tcPr>
          <w:p>
            <w:pPr>
              <w:ind w:left="760"/>
              <w:spacing w:after="0"/>
              <w:rPr>
                <w:sz w:val="20"/>
                <w:szCs w:val="20"/>
                <w:color w:val="auto"/>
              </w:rPr>
            </w:pPr>
            <w:r>
              <w:rPr>
                <w:rFonts w:ascii="Arial" w:cs="Arial" w:eastAsia="Arial" w:hAnsi="Arial"/>
                <w:sz w:val="16"/>
                <w:szCs w:val="16"/>
                <w:b w:val="1"/>
                <w:bCs w:val="1"/>
                <w:color w:val="auto"/>
              </w:rPr>
              <w:t>Peter M. Boland</w:t>
            </w:r>
          </w:p>
        </w:tc>
        <w:tc>
          <w:tcPr>
            <w:tcW w:w="8160" w:type="dxa"/>
            <w:vAlign w:val="bottom"/>
            <w:gridSpan w:val="2"/>
            <w:shd w:val="clear" w:color="auto" w:fill="EDEDED"/>
          </w:tcPr>
          <w:p>
            <w:pPr>
              <w:ind w:left="160"/>
              <w:spacing w:after="0"/>
              <w:rPr>
                <w:sz w:val="20"/>
                <w:szCs w:val="20"/>
                <w:color w:val="auto"/>
              </w:rPr>
            </w:pPr>
            <w:r>
              <w:rPr>
                <w:rFonts w:ascii="Arial" w:cs="Arial" w:eastAsia="Arial" w:hAnsi="Arial"/>
                <w:sz w:val="16"/>
                <w:szCs w:val="16"/>
                <w:color w:val="auto"/>
              </w:rPr>
              <w:t>59   Mr. Boland has served as the Company’s Chief Marketing Officer since January 2018. Prior to joining the</w:t>
            </w:r>
          </w:p>
        </w:tc>
      </w:tr>
      <w:tr>
        <w:trPr>
          <w:trHeight w:val="189"/>
        </w:trPr>
        <w:tc>
          <w:tcPr>
            <w:tcW w:w="2860" w:type="dxa"/>
            <w:vAlign w:val="bottom"/>
            <w:shd w:val="clear" w:color="auto" w:fill="EDEDED"/>
          </w:tcPr>
          <w:p>
            <w:pPr>
              <w:ind w:left="760"/>
              <w:spacing w:after="0"/>
              <w:rPr>
                <w:sz w:val="20"/>
                <w:szCs w:val="20"/>
                <w:color w:val="auto"/>
              </w:rPr>
            </w:pPr>
            <w:r>
              <w:rPr>
                <w:rFonts w:ascii="Arial" w:cs="Arial" w:eastAsia="Arial" w:hAnsi="Arial"/>
                <w:sz w:val="16"/>
                <w:szCs w:val="16"/>
                <w:i w:val="1"/>
                <w:iCs w:val="1"/>
                <w:color w:val="auto"/>
              </w:rPr>
              <w:t>Senior Vice President Chief</w:t>
            </w:r>
          </w:p>
        </w:tc>
        <w:tc>
          <w:tcPr>
            <w:tcW w:w="440" w:type="dxa"/>
            <w:vAlign w:val="bottom"/>
            <w:shd w:val="clear" w:color="auto" w:fill="EDEDED"/>
          </w:tcPr>
          <w:p>
            <w:pPr>
              <w:spacing w:after="0"/>
              <w:rPr>
                <w:sz w:val="16"/>
                <w:szCs w:val="16"/>
                <w:color w:val="auto"/>
              </w:rPr>
            </w:pPr>
          </w:p>
        </w:tc>
        <w:tc>
          <w:tcPr>
            <w:tcW w:w="77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Company, he was Senior Vice President, Brand Marketing for Charles Schwab from January 2012 to June</w:t>
            </w:r>
          </w:p>
        </w:tc>
      </w:tr>
      <w:tr>
        <w:trPr>
          <w:trHeight w:val="189"/>
        </w:trPr>
        <w:tc>
          <w:tcPr>
            <w:tcW w:w="2860" w:type="dxa"/>
            <w:vAlign w:val="bottom"/>
            <w:shd w:val="clear" w:color="auto" w:fill="EDEDED"/>
          </w:tcPr>
          <w:p>
            <w:pPr>
              <w:ind w:left="760"/>
              <w:spacing w:after="0"/>
              <w:rPr>
                <w:sz w:val="20"/>
                <w:szCs w:val="20"/>
                <w:color w:val="auto"/>
              </w:rPr>
            </w:pPr>
            <w:r>
              <w:rPr>
                <w:rFonts w:ascii="Arial" w:cs="Arial" w:eastAsia="Arial" w:hAnsi="Arial"/>
                <w:sz w:val="16"/>
                <w:szCs w:val="16"/>
                <w:i w:val="1"/>
                <w:iCs w:val="1"/>
                <w:color w:val="auto"/>
              </w:rPr>
              <w:t>Marketing Officer</w:t>
            </w:r>
          </w:p>
        </w:tc>
        <w:tc>
          <w:tcPr>
            <w:tcW w:w="440" w:type="dxa"/>
            <w:vAlign w:val="bottom"/>
            <w:shd w:val="clear" w:color="auto" w:fill="EDEDED"/>
          </w:tcPr>
          <w:p>
            <w:pPr>
              <w:spacing w:after="0"/>
              <w:rPr>
                <w:sz w:val="16"/>
                <w:szCs w:val="16"/>
                <w:color w:val="auto"/>
              </w:rPr>
            </w:pPr>
          </w:p>
        </w:tc>
        <w:tc>
          <w:tcPr>
            <w:tcW w:w="77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2017. Mr. Boland held several positions at BlackRock including Managing Director, Head of Global Brand</w:t>
            </w:r>
          </w:p>
        </w:tc>
      </w:tr>
      <w:tr>
        <w:trPr>
          <w:trHeight w:val="189"/>
        </w:trPr>
        <w:tc>
          <w:tcPr>
            <w:tcW w:w="2860" w:type="dxa"/>
            <w:vAlign w:val="bottom"/>
            <w:shd w:val="clear" w:color="auto" w:fill="EDEDED"/>
          </w:tcPr>
          <w:p>
            <w:pPr>
              <w:spacing w:after="0"/>
              <w:rPr>
                <w:sz w:val="16"/>
                <w:szCs w:val="16"/>
                <w:color w:val="auto"/>
              </w:rPr>
            </w:pPr>
          </w:p>
        </w:tc>
        <w:tc>
          <w:tcPr>
            <w:tcW w:w="440" w:type="dxa"/>
            <w:vAlign w:val="bottom"/>
            <w:shd w:val="clear" w:color="auto" w:fill="EDEDED"/>
          </w:tcPr>
          <w:p>
            <w:pPr>
              <w:spacing w:after="0"/>
              <w:rPr>
                <w:sz w:val="16"/>
                <w:szCs w:val="16"/>
                <w:color w:val="auto"/>
              </w:rPr>
            </w:pPr>
          </w:p>
        </w:tc>
        <w:tc>
          <w:tcPr>
            <w:tcW w:w="77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Marketing from June 2011 to December 2011; Managing Director, Brand Marketing iShares from</w:t>
            </w:r>
          </w:p>
        </w:tc>
      </w:tr>
      <w:tr>
        <w:trPr>
          <w:trHeight w:val="189"/>
        </w:trPr>
        <w:tc>
          <w:tcPr>
            <w:tcW w:w="2860" w:type="dxa"/>
            <w:vAlign w:val="bottom"/>
            <w:shd w:val="clear" w:color="auto" w:fill="EDEDED"/>
          </w:tcPr>
          <w:p>
            <w:pPr>
              <w:spacing w:after="0"/>
              <w:rPr>
                <w:sz w:val="16"/>
                <w:szCs w:val="16"/>
                <w:color w:val="auto"/>
              </w:rPr>
            </w:pPr>
          </w:p>
        </w:tc>
        <w:tc>
          <w:tcPr>
            <w:tcW w:w="440" w:type="dxa"/>
            <w:vAlign w:val="bottom"/>
            <w:shd w:val="clear" w:color="auto" w:fill="EDEDED"/>
          </w:tcPr>
          <w:p>
            <w:pPr>
              <w:spacing w:after="0"/>
              <w:rPr>
                <w:sz w:val="16"/>
                <w:szCs w:val="16"/>
                <w:color w:val="auto"/>
              </w:rPr>
            </w:pPr>
          </w:p>
        </w:tc>
        <w:tc>
          <w:tcPr>
            <w:tcW w:w="77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December 2009 to August 2011, and Senior Director, Brand Marketing iShares from December 2006 to</w:t>
            </w:r>
          </w:p>
        </w:tc>
      </w:tr>
      <w:tr>
        <w:trPr>
          <w:trHeight w:val="215"/>
        </w:trPr>
        <w:tc>
          <w:tcPr>
            <w:tcW w:w="2860" w:type="dxa"/>
            <w:vAlign w:val="bottom"/>
            <w:shd w:val="clear" w:color="auto" w:fill="EDEDED"/>
          </w:tcPr>
          <w:p>
            <w:pPr>
              <w:spacing w:after="0"/>
              <w:rPr>
                <w:sz w:val="18"/>
                <w:szCs w:val="18"/>
                <w:color w:val="auto"/>
              </w:rPr>
            </w:pPr>
          </w:p>
        </w:tc>
        <w:tc>
          <w:tcPr>
            <w:tcW w:w="440" w:type="dxa"/>
            <w:vAlign w:val="bottom"/>
            <w:shd w:val="clear" w:color="auto" w:fill="EDEDED"/>
          </w:tcPr>
          <w:p>
            <w:pPr>
              <w:spacing w:after="0"/>
              <w:rPr>
                <w:sz w:val="18"/>
                <w:szCs w:val="18"/>
                <w:color w:val="auto"/>
              </w:rPr>
            </w:pPr>
          </w:p>
        </w:tc>
        <w:tc>
          <w:tcPr>
            <w:tcW w:w="77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November 2009.</w:t>
            </w:r>
          </w:p>
        </w:tc>
      </w:tr>
      <w:tr>
        <w:trPr>
          <w:trHeight w:val="97"/>
        </w:trPr>
        <w:tc>
          <w:tcPr>
            <w:tcW w:w="2860" w:type="dxa"/>
            <w:vAlign w:val="bottom"/>
            <w:shd w:val="clear" w:color="auto" w:fill="EDEDED"/>
          </w:tcPr>
          <w:p>
            <w:pPr>
              <w:spacing w:after="0"/>
              <w:rPr>
                <w:sz w:val="8"/>
                <w:szCs w:val="8"/>
                <w:color w:val="auto"/>
              </w:rPr>
            </w:pPr>
          </w:p>
        </w:tc>
        <w:tc>
          <w:tcPr>
            <w:tcW w:w="8160" w:type="dxa"/>
            <w:vAlign w:val="bottom"/>
            <w:gridSpan w:val="2"/>
            <w:shd w:val="clear" w:color="auto" w:fill="EDEDED"/>
          </w:tcPr>
          <w:p>
            <w:pPr>
              <w:spacing w:after="0"/>
              <w:rPr>
                <w:sz w:val="8"/>
                <w:szCs w:val="8"/>
                <w:color w:val="auto"/>
              </w:rPr>
            </w:pPr>
          </w:p>
        </w:tc>
      </w:tr>
      <w:tr>
        <w:trPr>
          <w:trHeight w:val="242"/>
        </w:trPr>
        <w:tc>
          <w:tcPr>
            <w:tcW w:w="2860" w:type="dxa"/>
            <w:vAlign w:val="bottom"/>
          </w:tcPr>
          <w:p>
            <w:pPr>
              <w:ind w:left="760"/>
              <w:spacing w:after="0"/>
              <w:rPr>
                <w:sz w:val="20"/>
                <w:szCs w:val="20"/>
                <w:color w:val="auto"/>
              </w:rPr>
            </w:pPr>
            <w:r>
              <w:rPr>
                <w:rFonts w:ascii="Arial" w:cs="Arial" w:eastAsia="Arial" w:hAnsi="Arial"/>
                <w:sz w:val="16"/>
                <w:szCs w:val="16"/>
                <w:b w:val="1"/>
                <w:bCs w:val="1"/>
                <w:color w:val="auto"/>
              </w:rPr>
              <w:t>Amy J. Bouque</w:t>
            </w:r>
          </w:p>
        </w:tc>
        <w:tc>
          <w:tcPr>
            <w:tcW w:w="8160" w:type="dxa"/>
            <w:vAlign w:val="bottom"/>
            <w:gridSpan w:val="2"/>
          </w:tcPr>
          <w:p>
            <w:pPr>
              <w:ind w:left="160"/>
              <w:spacing w:after="0"/>
              <w:rPr>
                <w:sz w:val="20"/>
                <w:szCs w:val="20"/>
                <w:color w:val="auto"/>
              </w:rPr>
            </w:pPr>
            <w:r>
              <w:rPr>
                <w:rFonts w:ascii="Arial" w:cs="Arial" w:eastAsia="Arial" w:hAnsi="Arial"/>
                <w:sz w:val="16"/>
                <w:szCs w:val="16"/>
                <w:color w:val="auto"/>
              </w:rPr>
              <w:t>54   Ms. Bouque has served as the Company’s Chief People Officer since September 2020. Prior to joining the</w:t>
            </w:r>
          </w:p>
        </w:tc>
      </w:tr>
      <w:tr>
        <w:trPr>
          <w:trHeight w:val="189"/>
        </w:trPr>
        <w:tc>
          <w:tcPr>
            <w:tcW w:w="2860" w:type="dxa"/>
            <w:vAlign w:val="bottom"/>
          </w:tcPr>
          <w:p>
            <w:pPr>
              <w:ind w:left="760"/>
              <w:spacing w:after="0"/>
              <w:rPr>
                <w:sz w:val="20"/>
                <w:szCs w:val="20"/>
                <w:color w:val="auto"/>
              </w:rPr>
            </w:pPr>
            <w:r>
              <w:rPr>
                <w:rFonts w:ascii="Arial" w:cs="Arial" w:eastAsia="Arial" w:hAnsi="Arial"/>
                <w:sz w:val="16"/>
                <w:szCs w:val="16"/>
                <w:i w:val="1"/>
                <w:iCs w:val="1"/>
                <w:color w:val="auto"/>
              </w:rPr>
              <w:t>Senior Vice President Chief</w:t>
            </w:r>
          </w:p>
        </w:tc>
        <w:tc>
          <w:tcPr>
            <w:tcW w:w="440" w:type="dxa"/>
            <w:vAlign w:val="bottom"/>
          </w:tcPr>
          <w:p>
            <w:pPr>
              <w:spacing w:after="0"/>
              <w:rPr>
                <w:sz w:val="16"/>
                <w:szCs w:val="16"/>
                <w:color w:val="auto"/>
              </w:rPr>
            </w:pPr>
          </w:p>
        </w:tc>
        <w:tc>
          <w:tcPr>
            <w:tcW w:w="7720" w:type="dxa"/>
            <w:vAlign w:val="bottom"/>
          </w:tcPr>
          <w:p>
            <w:pPr>
              <w:ind w:left="120"/>
              <w:spacing w:after="0"/>
              <w:rPr>
                <w:sz w:val="20"/>
                <w:szCs w:val="20"/>
                <w:color w:val="auto"/>
              </w:rPr>
            </w:pPr>
            <w:r>
              <w:rPr>
                <w:rFonts w:ascii="Arial" w:cs="Arial" w:eastAsia="Arial" w:hAnsi="Arial"/>
                <w:sz w:val="16"/>
                <w:szCs w:val="16"/>
                <w:color w:val="auto"/>
              </w:rPr>
              <w:t>Company, she spent 12 years with Ally Financial Inc in several roles, serving as Executive Director of</w:t>
            </w:r>
          </w:p>
        </w:tc>
      </w:tr>
      <w:tr>
        <w:trPr>
          <w:trHeight w:val="189"/>
        </w:trPr>
        <w:tc>
          <w:tcPr>
            <w:tcW w:w="2860" w:type="dxa"/>
            <w:vAlign w:val="bottom"/>
          </w:tcPr>
          <w:p>
            <w:pPr>
              <w:ind w:left="760"/>
              <w:spacing w:after="0"/>
              <w:rPr>
                <w:sz w:val="20"/>
                <w:szCs w:val="20"/>
                <w:color w:val="auto"/>
              </w:rPr>
            </w:pPr>
            <w:r>
              <w:rPr>
                <w:rFonts w:ascii="Arial" w:cs="Arial" w:eastAsia="Arial" w:hAnsi="Arial"/>
                <w:sz w:val="16"/>
                <w:szCs w:val="16"/>
                <w:i w:val="1"/>
                <w:iCs w:val="1"/>
                <w:color w:val="auto"/>
              </w:rPr>
              <w:t>People Officer</w:t>
            </w:r>
          </w:p>
        </w:tc>
        <w:tc>
          <w:tcPr>
            <w:tcW w:w="440" w:type="dxa"/>
            <w:vAlign w:val="bottom"/>
          </w:tcPr>
          <w:p>
            <w:pPr>
              <w:spacing w:after="0"/>
              <w:rPr>
                <w:sz w:val="16"/>
                <w:szCs w:val="16"/>
                <w:color w:val="auto"/>
              </w:rPr>
            </w:pPr>
          </w:p>
        </w:tc>
        <w:tc>
          <w:tcPr>
            <w:tcW w:w="7720" w:type="dxa"/>
            <w:vAlign w:val="bottom"/>
          </w:tcPr>
          <w:p>
            <w:pPr>
              <w:ind w:left="120"/>
              <w:spacing w:after="0"/>
              <w:rPr>
                <w:sz w:val="20"/>
                <w:szCs w:val="20"/>
                <w:color w:val="auto"/>
              </w:rPr>
            </w:pPr>
            <w:r>
              <w:rPr>
                <w:rFonts w:ascii="Arial" w:cs="Arial" w:eastAsia="Arial" w:hAnsi="Arial"/>
                <w:sz w:val="16"/>
                <w:szCs w:val="16"/>
                <w:color w:val="auto"/>
              </w:rPr>
              <w:t>Talent Management from January 2016 to September 2020, Senior Director, Human Resources January</w:t>
            </w:r>
          </w:p>
        </w:tc>
      </w:tr>
      <w:tr>
        <w:trPr>
          <w:trHeight w:val="189"/>
        </w:trPr>
        <w:tc>
          <w:tcPr>
            <w:tcW w:w="2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720" w:type="dxa"/>
            <w:vAlign w:val="bottom"/>
          </w:tcPr>
          <w:p>
            <w:pPr>
              <w:ind w:left="120"/>
              <w:spacing w:after="0"/>
              <w:rPr>
                <w:sz w:val="20"/>
                <w:szCs w:val="20"/>
                <w:color w:val="auto"/>
              </w:rPr>
            </w:pPr>
            <w:r>
              <w:rPr>
                <w:rFonts w:ascii="Arial" w:cs="Arial" w:eastAsia="Arial" w:hAnsi="Arial"/>
                <w:sz w:val="16"/>
                <w:szCs w:val="16"/>
                <w:color w:val="auto"/>
              </w:rPr>
              <w:t>2014 to January 2016, Director, Talent Acquisition from January 2012 to January 2014, and Director,</w:t>
            </w:r>
          </w:p>
        </w:tc>
      </w:tr>
      <w:tr>
        <w:trPr>
          <w:trHeight w:val="189"/>
        </w:trPr>
        <w:tc>
          <w:tcPr>
            <w:tcW w:w="2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720" w:type="dxa"/>
            <w:vAlign w:val="bottom"/>
          </w:tcPr>
          <w:p>
            <w:pPr>
              <w:ind w:left="120"/>
              <w:spacing w:after="0"/>
              <w:rPr>
                <w:sz w:val="20"/>
                <w:szCs w:val="20"/>
                <w:color w:val="auto"/>
              </w:rPr>
            </w:pPr>
            <w:r>
              <w:rPr>
                <w:rFonts w:ascii="Arial" w:cs="Arial" w:eastAsia="Arial" w:hAnsi="Arial"/>
                <w:sz w:val="16"/>
                <w:szCs w:val="16"/>
                <w:color w:val="auto"/>
              </w:rPr>
              <w:t>Human Resources from June 2008 to January 2012. Prior to that she worked for DTE Energy from 2004</w:t>
            </w:r>
          </w:p>
        </w:tc>
      </w:tr>
      <w:tr>
        <w:trPr>
          <w:trHeight w:val="215"/>
        </w:trPr>
        <w:tc>
          <w:tcPr>
            <w:tcW w:w="2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720" w:type="dxa"/>
            <w:vAlign w:val="bottom"/>
          </w:tcPr>
          <w:p>
            <w:pPr>
              <w:ind w:left="120"/>
              <w:spacing w:after="0"/>
              <w:rPr>
                <w:sz w:val="20"/>
                <w:szCs w:val="20"/>
                <w:color w:val="auto"/>
              </w:rPr>
            </w:pPr>
            <w:r>
              <w:rPr>
                <w:rFonts w:ascii="Arial" w:cs="Arial" w:eastAsia="Arial" w:hAnsi="Arial"/>
                <w:sz w:val="16"/>
                <w:szCs w:val="16"/>
                <w:color w:val="auto"/>
              </w:rPr>
              <w:t>to 2008.</w:t>
            </w:r>
          </w:p>
        </w:tc>
      </w:tr>
      <w:tr>
        <w:trPr>
          <w:trHeight w:val="97"/>
        </w:trPr>
        <w:tc>
          <w:tcPr>
            <w:tcW w:w="2860" w:type="dxa"/>
            <w:vAlign w:val="bottom"/>
          </w:tcPr>
          <w:p>
            <w:pPr>
              <w:spacing w:after="0"/>
              <w:rPr>
                <w:sz w:val="8"/>
                <w:szCs w:val="8"/>
                <w:color w:val="auto"/>
              </w:rPr>
            </w:pPr>
          </w:p>
        </w:tc>
        <w:tc>
          <w:tcPr>
            <w:tcW w:w="8160" w:type="dxa"/>
            <w:vAlign w:val="bottom"/>
            <w:gridSpan w:val="2"/>
          </w:tcPr>
          <w:p>
            <w:pPr>
              <w:spacing w:after="0"/>
              <w:rPr>
                <w:sz w:val="8"/>
                <w:szCs w:val="8"/>
                <w:color w:val="auto"/>
              </w:rPr>
            </w:pPr>
          </w:p>
        </w:tc>
      </w:tr>
      <w:tr>
        <w:trPr>
          <w:trHeight w:val="242"/>
        </w:trPr>
        <w:tc>
          <w:tcPr>
            <w:tcW w:w="2860" w:type="dxa"/>
            <w:vAlign w:val="bottom"/>
            <w:shd w:val="clear" w:color="auto" w:fill="EDEDED"/>
          </w:tcPr>
          <w:p>
            <w:pPr>
              <w:ind w:left="760"/>
              <w:spacing w:after="0"/>
              <w:rPr>
                <w:sz w:val="20"/>
                <w:szCs w:val="20"/>
                <w:color w:val="auto"/>
              </w:rPr>
            </w:pPr>
            <w:r>
              <w:rPr>
                <w:rFonts w:ascii="Arial" w:cs="Arial" w:eastAsia="Arial" w:hAnsi="Arial"/>
                <w:sz w:val="16"/>
                <w:szCs w:val="16"/>
                <w:b w:val="1"/>
                <w:bCs w:val="1"/>
                <w:color w:val="auto"/>
              </w:rPr>
              <w:t>Tammy L. Browning</w:t>
            </w:r>
          </w:p>
        </w:tc>
        <w:tc>
          <w:tcPr>
            <w:tcW w:w="8160" w:type="dxa"/>
            <w:vAlign w:val="bottom"/>
            <w:gridSpan w:val="2"/>
            <w:shd w:val="clear" w:color="auto" w:fill="EDEDED"/>
          </w:tcPr>
          <w:p>
            <w:pPr>
              <w:ind w:left="160"/>
              <w:spacing w:after="0"/>
              <w:rPr>
                <w:sz w:val="20"/>
                <w:szCs w:val="20"/>
                <w:color w:val="auto"/>
              </w:rPr>
            </w:pPr>
            <w:r>
              <w:rPr>
                <w:rFonts w:ascii="Arial" w:cs="Arial" w:eastAsia="Arial" w:hAnsi="Arial"/>
                <w:sz w:val="16"/>
                <w:szCs w:val="16"/>
                <w:color w:val="auto"/>
              </w:rPr>
              <w:t>49   Ms. Browning most recently served as Senior Vice President and Vice President and Managing Director,</w:t>
            </w:r>
          </w:p>
        </w:tc>
      </w:tr>
      <w:tr>
        <w:trPr>
          <w:trHeight w:val="189"/>
        </w:trPr>
        <w:tc>
          <w:tcPr>
            <w:tcW w:w="2860" w:type="dxa"/>
            <w:vAlign w:val="bottom"/>
            <w:shd w:val="clear" w:color="auto" w:fill="EDEDED"/>
          </w:tcPr>
          <w:p>
            <w:pPr>
              <w:ind w:left="760"/>
              <w:spacing w:after="0"/>
              <w:rPr>
                <w:sz w:val="20"/>
                <w:szCs w:val="20"/>
                <w:color w:val="auto"/>
              </w:rPr>
            </w:pPr>
            <w:r>
              <w:rPr>
                <w:rFonts w:ascii="Arial" w:cs="Arial" w:eastAsia="Arial" w:hAnsi="Arial"/>
                <w:sz w:val="16"/>
                <w:szCs w:val="16"/>
                <w:i w:val="1"/>
                <w:iCs w:val="1"/>
                <w:color w:val="auto"/>
              </w:rPr>
              <w:t>Senior Vice President</w:t>
            </w:r>
          </w:p>
        </w:tc>
        <w:tc>
          <w:tcPr>
            <w:tcW w:w="440" w:type="dxa"/>
            <w:vAlign w:val="bottom"/>
            <w:shd w:val="clear" w:color="auto" w:fill="EDEDED"/>
          </w:tcPr>
          <w:p>
            <w:pPr>
              <w:spacing w:after="0"/>
              <w:rPr>
                <w:sz w:val="16"/>
                <w:szCs w:val="16"/>
                <w:color w:val="auto"/>
              </w:rPr>
            </w:pPr>
          </w:p>
        </w:tc>
        <w:tc>
          <w:tcPr>
            <w:tcW w:w="77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GTS Talent Fulfillment from October 2018 to July 2020. She rejoined the Company in April 2017 as</w:t>
            </w:r>
          </w:p>
        </w:tc>
      </w:tr>
      <w:tr>
        <w:trPr>
          <w:trHeight w:val="189"/>
        </w:trPr>
        <w:tc>
          <w:tcPr>
            <w:tcW w:w="2860" w:type="dxa"/>
            <w:vAlign w:val="bottom"/>
            <w:shd w:val="clear" w:color="auto" w:fill="EDEDED"/>
          </w:tcPr>
          <w:p>
            <w:pPr>
              <w:ind w:left="760"/>
              <w:spacing w:after="0"/>
              <w:rPr>
                <w:sz w:val="20"/>
                <w:szCs w:val="20"/>
                <w:color w:val="auto"/>
              </w:rPr>
            </w:pPr>
            <w:r>
              <w:rPr>
                <w:rFonts w:ascii="Arial" w:cs="Arial" w:eastAsia="Arial" w:hAnsi="Arial"/>
                <w:sz w:val="16"/>
                <w:szCs w:val="16"/>
                <w:i w:val="1"/>
                <w:iCs w:val="1"/>
                <w:color w:val="auto"/>
              </w:rPr>
              <w:t>President, KellyOCG</w:t>
            </w:r>
          </w:p>
        </w:tc>
        <w:tc>
          <w:tcPr>
            <w:tcW w:w="440" w:type="dxa"/>
            <w:vAlign w:val="bottom"/>
            <w:shd w:val="clear" w:color="auto" w:fill="EDEDED"/>
          </w:tcPr>
          <w:p>
            <w:pPr>
              <w:spacing w:after="0"/>
              <w:rPr>
                <w:sz w:val="16"/>
                <w:szCs w:val="16"/>
                <w:color w:val="auto"/>
              </w:rPr>
            </w:pPr>
          </w:p>
        </w:tc>
        <w:tc>
          <w:tcPr>
            <w:tcW w:w="77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Integrated Vertical Lead after leaving in 2010 to join Yoh as Senior Vice President of their U.S.</w:t>
            </w:r>
          </w:p>
        </w:tc>
      </w:tr>
      <w:tr>
        <w:trPr>
          <w:trHeight w:val="189"/>
        </w:trPr>
        <w:tc>
          <w:tcPr>
            <w:tcW w:w="2860" w:type="dxa"/>
            <w:vAlign w:val="bottom"/>
            <w:shd w:val="clear" w:color="auto" w:fill="EDEDED"/>
          </w:tcPr>
          <w:p>
            <w:pPr>
              <w:spacing w:after="0"/>
              <w:rPr>
                <w:sz w:val="16"/>
                <w:szCs w:val="16"/>
                <w:color w:val="auto"/>
              </w:rPr>
            </w:pPr>
          </w:p>
        </w:tc>
        <w:tc>
          <w:tcPr>
            <w:tcW w:w="440" w:type="dxa"/>
            <w:vAlign w:val="bottom"/>
            <w:shd w:val="clear" w:color="auto" w:fill="EDEDED"/>
          </w:tcPr>
          <w:p>
            <w:pPr>
              <w:spacing w:after="0"/>
              <w:rPr>
                <w:sz w:val="16"/>
                <w:szCs w:val="16"/>
                <w:color w:val="auto"/>
              </w:rPr>
            </w:pPr>
          </w:p>
        </w:tc>
        <w:tc>
          <w:tcPr>
            <w:tcW w:w="77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Operations. During her previous tenure with the Company, Ms. Browning served as Americas Product</w:t>
            </w:r>
          </w:p>
        </w:tc>
      </w:tr>
      <w:tr>
        <w:trPr>
          <w:trHeight w:val="189"/>
        </w:trPr>
        <w:tc>
          <w:tcPr>
            <w:tcW w:w="2860" w:type="dxa"/>
            <w:vAlign w:val="bottom"/>
            <w:shd w:val="clear" w:color="auto" w:fill="EDEDED"/>
          </w:tcPr>
          <w:p>
            <w:pPr>
              <w:spacing w:after="0"/>
              <w:rPr>
                <w:sz w:val="16"/>
                <w:szCs w:val="16"/>
                <w:color w:val="auto"/>
              </w:rPr>
            </w:pPr>
          </w:p>
        </w:tc>
        <w:tc>
          <w:tcPr>
            <w:tcW w:w="440" w:type="dxa"/>
            <w:vAlign w:val="bottom"/>
            <w:shd w:val="clear" w:color="auto" w:fill="EDEDED"/>
          </w:tcPr>
          <w:p>
            <w:pPr>
              <w:spacing w:after="0"/>
              <w:rPr>
                <w:sz w:val="16"/>
                <w:szCs w:val="16"/>
                <w:color w:val="auto"/>
              </w:rPr>
            </w:pPr>
          </w:p>
        </w:tc>
        <w:tc>
          <w:tcPr>
            <w:tcW w:w="77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Group Leader from September 2009 to February 2010, West Region Manager from May 2006 to</w:t>
            </w:r>
          </w:p>
        </w:tc>
      </w:tr>
      <w:tr>
        <w:trPr>
          <w:trHeight w:val="189"/>
        </w:trPr>
        <w:tc>
          <w:tcPr>
            <w:tcW w:w="2860" w:type="dxa"/>
            <w:vAlign w:val="bottom"/>
            <w:shd w:val="clear" w:color="auto" w:fill="EDEDED"/>
          </w:tcPr>
          <w:p>
            <w:pPr>
              <w:spacing w:after="0"/>
              <w:rPr>
                <w:sz w:val="16"/>
                <w:szCs w:val="16"/>
                <w:color w:val="auto"/>
              </w:rPr>
            </w:pPr>
          </w:p>
        </w:tc>
        <w:tc>
          <w:tcPr>
            <w:tcW w:w="440" w:type="dxa"/>
            <w:vAlign w:val="bottom"/>
            <w:shd w:val="clear" w:color="auto" w:fill="EDEDED"/>
          </w:tcPr>
          <w:p>
            <w:pPr>
              <w:spacing w:after="0"/>
              <w:rPr>
                <w:sz w:val="16"/>
                <w:szCs w:val="16"/>
                <w:color w:val="auto"/>
              </w:rPr>
            </w:pPr>
          </w:p>
        </w:tc>
        <w:tc>
          <w:tcPr>
            <w:tcW w:w="77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September 2009, Branch Manager from April 2004 to May 2006, and Sales Manager from February 2003</w:t>
            </w:r>
          </w:p>
        </w:tc>
      </w:tr>
      <w:tr>
        <w:trPr>
          <w:trHeight w:val="215"/>
        </w:trPr>
        <w:tc>
          <w:tcPr>
            <w:tcW w:w="2860" w:type="dxa"/>
            <w:vAlign w:val="bottom"/>
            <w:shd w:val="clear" w:color="auto" w:fill="EDEDED"/>
          </w:tcPr>
          <w:p>
            <w:pPr>
              <w:spacing w:after="0"/>
              <w:rPr>
                <w:sz w:val="18"/>
                <w:szCs w:val="18"/>
                <w:color w:val="auto"/>
              </w:rPr>
            </w:pPr>
          </w:p>
        </w:tc>
        <w:tc>
          <w:tcPr>
            <w:tcW w:w="440" w:type="dxa"/>
            <w:vAlign w:val="bottom"/>
            <w:shd w:val="clear" w:color="auto" w:fill="EDEDED"/>
          </w:tcPr>
          <w:p>
            <w:pPr>
              <w:spacing w:after="0"/>
              <w:rPr>
                <w:sz w:val="18"/>
                <w:szCs w:val="18"/>
                <w:color w:val="auto"/>
              </w:rPr>
            </w:pPr>
          </w:p>
        </w:tc>
        <w:tc>
          <w:tcPr>
            <w:tcW w:w="77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to April 2004.</w:t>
            </w:r>
          </w:p>
        </w:tc>
      </w:tr>
      <w:tr>
        <w:trPr>
          <w:trHeight w:val="97"/>
        </w:trPr>
        <w:tc>
          <w:tcPr>
            <w:tcW w:w="2860" w:type="dxa"/>
            <w:vAlign w:val="bottom"/>
            <w:shd w:val="clear" w:color="auto" w:fill="EDEDED"/>
          </w:tcPr>
          <w:p>
            <w:pPr>
              <w:spacing w:after="0"/>
              <w:rPr>
                <w:sz w:val="8"/>
                <w:szCs w:val="8"/>
                <w:color w:val="auto"/>
              </w:rPr>
            </w:pPr>
          </w:p>
        </w:tc>
        <w:tc>
          <w:tcPr>
            <w:tcW w:w="8160" w:type="dxa"/>
            <w:vAlign w:val="bottom"/>
            <w:gridSpan w:val="2"/>
            <w:shd w:val="clear" w:color="auto" w:fill="EDEDED"/>
          </w:tcPr>
          <w:p>
            <w:pPr>
              <w:spacing w:after="0"/>
              <w:rPr>
                <w:sz w:val="8"/>
                <w:szCs w:val="8"/>
                <w:color w:val="auto"/>
              </w:rPr>
            </w:pPr>
          </w:p>
        </w:tc>
      </w:tr>
      <w:tr>
        <w:trPr>
          <w:trHeight w:val="242"/>
        </w:trPr>
        <w:tc>
          <w:tcPr>
            <w:tcW w:w="2860" w:type="dxa"/>
            <w:vAlign w:val="bottom"/>
          </w:tcPr>
          <w:p>
            <w:pPr>
              <w:ind w:left="760"/>
              <w:spacing w:after="0"/>
              <w:rPr>
                <w:sz w:val="20"/>
                <w:szCs w:val="20"/>
                <w:color w:val="auto"/>
              </w:rPr>
            </w:pPr>
            <w:r>
              <w:rPr>
                <w:rFonts w:ascii="Arial" w:cs="Arial" w:eastAsia="Arial" w:hAnsi="Arial"/>
                <w:sz w:val="16"/>
                <w:szCs w:val="16"/>
                <w:b w:val="1"/>
                <w:bCs w:val="1"/>
                <w:color w:val="auto"/>
              </w:rPr>
              <w:t>Timothy L. Dupree</w:t>
            </w:r>
          </w:p>
        </w:tc>
        <w:tc>
          <w:tcPr>
            <w:tcW w:w="8160" w:type="dxa"/>
            <w:vAlign w:val="bottom"/>
            <w:gridSpan w:val="2"/>
          </w:tcPr>
          <w:p>
            <w:pPr>
              <w:ind w:left="160"/>
              <w:spacing w:after="0"/>
              <w:rPr>
                <w:sz w:val="20"/>
                <w:szCs w:val="20"/>
                <w:color w:val="auto"/>
              </w:rPr>
            </w:pPr>
            <w:r>
              <w:rPr>
                <w:rFonts w:ascii="Arial" w:cs="Arial" w:eastAsia="Arial" w:hAnsi="Arial"/>
                <w:sz w:val="16"/>
                <w:szCs w:val="16"/>
                <w:color w:val="auto"/>
              </w:rPr>
              <w:t>46   Mr. Dupree most recently served as the Company’s Senior Vice President and Chief Growth Officer from</w:t>
            </w:r>
          </w:p>
        </w:tc>
      </w:tr>
      <w:tr>
        <w:trPr>
          <w:trHeight w:val="189"/>
        </w:trPr>
        <w:tc>
          <w:tcPr>
            <w:tcW w:w="2860" w:type="dxa"/>
            <w:vAlign w:val="bottom"/>
          </w:tcPr>
          <w:p>
            <w:pPr>
              <w:ind w:left="760"/>
              <w:spacing w:after="0"/>
              <w:rPr>
                <w:sz w:val="20"/>
                <w:szCs w:val="20"/>
                <w:color w:val="auto"/>
              </w:rPr>
            </w:pPr>
            <w:r>
              <w:rPr>
                <w:rFonts w:ascii="Arial" w:cs="Arial" w:eastAsia="Arial" w:hAnsi="Arial"/>
                <w:sz w:val="16"/>
                <w:szCs w:val="16"/>
                <w:color w:val="auto"/>
              </w:rPr>
              <w:t>Senior Vice President</w:t>
            </w:r>
          </w:p>
        </w:tc>
        <w:tc>
          <w:tcPr>
            <w:tcW w:w="440" w:type="dxa"/>
            <w:vAlign w:val="bottom"/>
          </w:tcPr>
          <w:p>
            <w:pPr>
              <w:spacing w:after="0"/>
              <w:rPr>
                <w:sz w:val="16"/>
                <w:szCs w:val="16"/>
                <w:color w:val="auto"/>
              </w:rPr>
            </w:pPr>
          </w:p>
        </w:tc>
        <w:tc>
          <w:tcPr>
            <w:tcW w:w="7720" w:type="dxa"/>
            <w:vAlign w:val="bottom"/>
          </w:tcPr>
          <w:p>
            <w:pPr>
              <w:ind w:left="120"/>
              <w:spacing w:after="0"/>
              <w:rPr>
                <w:sz w:val="20"/>
                <w:szCs w:val="20"/>
                <w:color w:val="auto"/>
              </w:rPr>
            </w:pPr>
            <w:r>
              <w:rPr>
                <w:rFonts w:ascii="Arial" w:cs="Arial" w:eastAsia="Arial" w:hAnsi="Arial"/>
                <w:sz w:val="16"/>
                <w:szCs w:val="16"/>
                <w:color w:val="auto"/>
              </w:rPr>
              <w:t>January 2020 to January 2021. He served as Vice President and Managing Director, Global Service from</w:t>
            </w:r>
          </w:p>
        </w:tc>
      </w:tr>
      <w:tr>
        <w:trPr>
          <w:trHeight w:val="189"/>
        </w:trPr>
        <w:tc>
          <w:tcPr>
            <w:tcW w:w="2860" w:type="dxa"/>
            <w:vAlign w:val="bottom"/>
          </w:tcPr>
          <w:p>
            <w:pPr>
              <w:ind w:left="760"/>
              <w:spacing w:after="0"/>
              <w:rPr>
                <w:sz w:val="20"/>
                <w:szCs w:val="20"/>
                <w:color w:val="auto"/>
              </w:rPr>
            </w:pPr>
            <w:r>
              <w:rPr>
                <w:rFonts w:ascii="Arial" w:cs="Arial" w:eastAsia="Arial" w:hAnsi="Arial"/>
                <w:sz w:val="16"/>
                <w:szCs w:val="16"/>
                <w:color w:val="auto"/>
              </w:rPr>
              <w:t xml:space="preserve">President, </w:t>
            </w:r>
            <w:r>
              <w:rPr>
                <w:rFonts w:ascii="Arial" w:cs="Arial" w:eastAsia="Arial" w:hAnsi="Arial"/>
                <w:sz w:val="16"/>
                <w:szCs w:val="16"/>
                <w:i w:val="1"/>
                <w:iCs w:val="1"/>
                <w:color w:val="auto"/>
              </w:rPr>
              <w:t>Kelly</w:t>
            </w:r>
          </w:p>
        </w:tc>
        <w:tc>
          <w:tcPr>
            <w:tcW w:w="440" w:type="dxa"/>
            <w:vAlign w:val="bottom"/>
          </w:tcPr>
          <w:p>
            <w:pPr>
              <w:spacing w:after="0"/>
              <w:rPr>
                <w:sz w:val="16"/>
                <w:szCs w:val="16"/>
                <w:color w:val="auto"/>
              </w:rPr>
            </w:pPr>
          </w:p>
        </w:tc>
        <w:tc>
          <w:tcPr>
            <w:tcW w:w="7720" w:type="dxa"/>
            <w:vAlign w:val="bottom"/>
          </w:tcPr>
          <w:p>
            <w:pPr>
              <w:ind w:left="120"/>
              <w:spacing w:after="0"/>
              <w:rPr>
                <w:sz w:val="20"/>
                <w:szCs w:val="20"/>
                <w:color w:val="auto"/>
              </w:rPr>
            </w:pPr>
            <w:r>
              <w:rPr>
                <w:rFonts w:ascii="Arial" w:cs="Arial" w:eastAsia="Arial" w:hAnsi="Arial"/>
                <w:sz w:val="16"/>
                <w:szCs w:val="16"/>
                <w:color w:val="auto"/>
              </w:rPr>
              <w:t>August 2017 through December 2019, Vice President, Global Solutions Design from October 2014 to</w:t>
            </w:r>
          </w:p>
        </w:tc>
      </w:tr>
      <w:tr>
        <w:trPr>
          <w:trHeight w:val="189"/>
        </w:trPr>
        <w:tc>
          <w:tcPr>
            <w:tcW w:w="2860" w:type="dxa"/>
            <w:vAlign w:val="bottom"/>
          </w:tcPr>
          <w:p>
            <w:pPr>
              <w:ind w:left="760"/>
              <w:spacing w:after="0"/>
              <w:rPr>
                <w:sz w:val="20"/>
                <w:szCs w:val="20"/>
                <w:color w:val="auto"/>
              </w:rPr>
            </w:pPr>
            <w:r>
              <w:rPr>
                <w:rFonts w:ascii="Arial" w:cs="Arial" w:eastAsia="Arial" w:hAnsi="Arial"/>
                <w:sz w:val="16"/>
                <w:szCs w:val="16"/>
                <w:i w:val="1"/>
                <w:iCs w:val="1"/>
                <w:color w:val="auto"/>
              </w:rPr>
              <w:t>Professional &amp; Industrial</w:t>
            </w:r>
          </w:p>
        </w:tc>
        <w:tc>
          <w:tcPr>
            <w:tcW w:w="440" w:type="dxa"/>
            <w:vAlign w:val="bottom"/>
          </w:tcPr>
          <w:p>
            <w:pPr>
              <w:spacing w:after="0"/>
              <w:rPr>
                <w:sz w:val="16"/>
                <w:szCs w:val="16"/>
                <w:color w:val="auto"/>
              </w:rPr>
            </w:pPr>
          </w:p>
        </w:tc>
        <w:tc>
          <w:tcPr>
            <w:tcW w:w="7720" w:type="dxa"/>
            <w:vAlign w:val="bottom"/>
          </w:tcPr>
          <w:p>
            <w:pPr>
              <w:ind w:left="120"/>
              <w:spacing w:after="0"/>
              <w:rPr>
                <w:sz w:val="20"/>
                <w:szCs w:val="20"/>
                <w:color w:val="auto"/>
              </w:rPr>
            </w:pPr>
            <w:r>
              <w:rPr>
                <w:rFonts w:ascii="Arial" w:cs="Arial" w:eastAsia="Arial" w:hAnsi="Arial"/>
                <w:sz w:val="16"/>
                <w:szCs w:val="16"/>
                <w:color w:val="auto"/>
              </w:rPr>
              <w:t>August 2017, Vice President, Global Talent Supply Chain Management from November 2013 to October</w:t>
            </w:r>
          </w:p>
        </w:tc>
      </w:tr>
      <w:tr>
        <w:trPr>
          <w:trHeight w:val="189"/>
        </w:trPr>
        <w:tc>
          <w:tcPr>
            <w:tcW w:w="2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720" w:type="dxa"/>
            <w:vAlign w:val="bottom"/>
          </w:tcPr>
          <w:p>
            <w:pPr>
              <w:ind w:left="120"/>
              <w:spacing w:after="0"/>
              <w:rPr>
                <w:sz w:val="20"/>
                <w:szCs w:val="20"/>
                <w:color w:val="auto"/>
              </w:rPr>
            </w:pPr>
            <w:r>
              <w:rPr>
                <w:rFonts w:ascii="Arial" w:cs="Arial" w:eastAsia="Arial" w:hAnsi="Arial"/>
                <w:sz w:val="16"/>
                <w:szCs w:val="16"/>
                <w:color w:val="auto"/>
              </w:rPr>
              <w:t>2014, Director and Vice President, Global Solutions from January 2009 to November 2013, Sr. Manager</w:t>
            </w:r>
          </w:p>
        </w:tc>
      </w:tr>
      <w:tr>
        <w:trPr>
          <w:trHeight w:val="189"/>
        </w:trPr>
        <w:tc>
          <w:tcPr>
            <w:tcW w:w="2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720" w:type="dxa"/>
            <w:vAlign w:val="bottom"/>
          </w:tcPr>
          <w:p>
            <w:pPr>
              <w:ind w:left="120"/>
              <w:spacing w:after="0"/>
              <w:rPr>
                <w:sz w:val="20"/>
                <w:szCs w:val="20"/>
                <w:color w:val="auto"/>
              </w:rPr>
            </w:pPr>
            <w:r>
              <w:rPr>
                <w:rFonts w:ascii="Arial" w:cs="Arial" w:eastAsia="Arial" w:hAnsi="Arial"/>
                <w:sz w:val="16"/>
                <w:szCs w:val="16"/>
                <w:color w:val="auto"/>
              </w:rPr>
              <w:t>and Manager, Corporate Accounts from March 2004 to December 2008, and Recruiting &amp; Sales Manager</w:t>
            </w:r>
          </w:p>
        </w:tc>
      </w:tr>
      <w:tr>
        <w:trPr>
          <w:trHeight w:val="215"/>
        </w:trPr>
        <w:tc>
          <w:tcPr>
            <w:tcW w:w="2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720" w:type="dxa"/>
            <w:vAlign w:val="bottom"/>
          </w:tcPr>
          <w:p>
            <w:pPr>
              <w:ind w:left="120"/>
              <w:spacing w:after="0"/>
              <w:rPr>
                <w:sz w:val="20"/>
                <w:szCs w:val="20"/>
                <w:color w:val="auto"/>
              </w:rPr>
            </w:pPr>
            <w:r>
              <w:rPr>
                <w:rFonts w:ascii="Arial" w:cs="Arial" w:eastAsia="Arial" w:hAnsi="Arial"/>
                <w:sz w:val="16"/>
                <w:szCs w:val="16"/>
                <w:color w:val="auto"/>
              </w:rPr>
              <w:t>from August 2000 to April 2004.</w:t>
            </w:r>
          </w:p>
        </w:tc>
      </w:tr>
      <w:tr>
        <w:trPr>
          <w:trHeight w:val="96"/>
        </w:trPr>
        <w:tc>
          <w:tcPr>
            <w:tcW w:w="2860" w:type="dxa"/>
            <w:vAlign w:val="bottom"/>
          </w:tcPr>
          <w:p>
            <w:pPr>
              <w:spacing w:after="0"/>
              <w:rPr>
                <w:sz w:val="8"/>
                <w:szCs w:val="8"/>
                <w:color w:val="auto"/>
              </w:rPr>
            </w:pPr>
          </w:p>
        </w:tc>
        <w:tc>
          <w:tcPr>
            <w:tcW w:w="8160" w:type="dxa"/>
            <w:vAlign w:val="bottom"/>
            <w:gridSpan w:val="2"/>
          </w:tcPr>
          <w:p>
            <w:pPr>
              <w:spacing w:after="0"/>
              <w:rPr>
                <w:sz w:val="8"/>
                <w:szCs w:val="8"/>
                <w:color w:val="auto"/>
              </w:rPr>
            </w:pPr>
          </w:p>
        </w:tc>
      </w:tr>
      <w:tr>
        <w:trPr>
          <w:trHeight w:val="242"/>
        </w:trPr>
        <w:tc>
          <w:tcPr>
            <w:tcW w:w="2860" w:type="dxa"/>
            <w:vAlign w:val="bottom"/>
            <w:shd w:val="clear" w:color="auto" w:fill="EDEDED"/>
          </w:tcPr>
          <w:p>
            <w:pPr>
              <w:ind w:left="760"/>
              <w:spacing w:after="0"/>
              <w:rPr>
                <w:sz w:val="20"/>
                <w:szCs w:val="20"/>
                <w:color w:val="auto"/>
              </w:rPr>
            </w:pPr>
            <w:r>
              <w:rPr>
                <w:rFonts w:ascii="Arial" w:cs="Arial" w:eastAsia="Arial" w:hAnsi="Arial"/>
                <w:sz w:val="16"/>
                <w:szCs w:val="16"/>
                <w:b w:val="1"/>
                <w:bCs w:val="1"/>
                <w:color w:val="auto"/>
              </w:rPr>
              <w:t>Dinette Koolhaas</w:t>
            </w:r>
          </w:p>
        </w:tc>
        <w:tc>
          <w:tcPr>
            <w:tcW w:w="8160" w:type="dxa"/>
            <w:vAlign w:val="bottom"/>
            <w:gridSpan w:val="2"/>
            <w:shd w:val="clear" w:color="auto" w:fill="EDEDED"/>
          </w:tcPr>
          <w:p>
            <w:pPr>
              <w:ind w:left="160"/>
              <w:spacing w:after="0"/>
              <w:rPr>
                <w:sz w:val="20"/>
                <w:szCs w:val="20"/>
                <w:color w:val="auto"/>
              </w:rPr>
            </w:pPr>
            <w:r>
              <w:rPr>
                <w:rFonts w:ascii="Arial" w:cs="Arial" w:eastAsia="Arial" w:hAnsi="Arial"/>
                <w:sz w:val="16"/>
                <w:szCs w:val="16"/>
                <w:color w:val="auto"/>
              </w:rPr>
              <w:t>54   Ms. Koolhaas previously served as Vice President, EMEA Operations from September 2013 to February</w:t>
            </w:r>
          </w:p>
        </w:tc>
      </w:tr>
      <w:tr>
        <w:trPr>
          <w:trHeight w:val="189"/>
        </w:trPr>
        <w:tc>
          <w:tcPr>
            <w:tcW w:w="2860" w:type="dxa"/>
            <w:vAlign w:val="bottom"/>
            <w:shd w:val="clear" w:color="auto" w:fill="EDEDED"/>
          </w:tcPr>
          <w:p>
            <w:pPr>
              <w:ind w:left="760"/>
              <w:spacing w:after="0"/>
              <w:rPr>
                <w:sz w:val="20"/>
                <w:szCs w:val="20"/>
                <w:color w:val="auto"/>
              </w:rPr>
            </w:pPr>
            <w:r>
              <w:rPr>
                <w:rFonts w:ascii="Arial" w:cs="Arial" w:eastAsia="Arial" w:hAnsi="Arial"/>
                <w:sz w:val="16"/>
                <w:szCs w:val="16"/>
                <w:i w:val="1"/>
                <w:iCs w:val="1"/>
                <w:color w:val="auto"/>
              </w:rPr>
              <w:t>Senior Vice President</w:t>
            </w:r>
          </w:p>
        </w:tc>
        <w:tc>
          <w:tcPr>
            <w:tcW w:w="440" w:type="dxa"/>
            <w:vAlign w:val="bottom"/>
            <w:shd w:val="clear" w:color="auto" w:fill="EDEDED"/>
          </w:tcPr>
          <w:p>
            <w:pPr>
              <w:spacing w:after="0"/>
              <w:rPr>
                <w:sz w:val="16"/>
                <w:szCs w:val="16"/>
                <w:color w:val="auto"/>
              </w:rPr>
            </w:pPr>
          </w:p>
        </w:tc>
        <w:tc>
          <w:tcPr>
            <w:tcW w:w="77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2017, at which time she took on Managing Director responsibilities for EMEA until July 2020 when she</w:t>
            </w:r>
          </w:p>
        </w:tc>
      </w:tr>
      <w:tr>
        <w:trPr>
          <w:trHeight w:val="189"/>
        </w:trPr>
        <w:tc>
          <w:tcPr>
            <w:tcW w:w="2860" w:type="dxa"/>
            <w:vAlign w:val="bottom"/>
            <w:shd w:val="clear" w:color="auto" w:fill="EDEDED"/>
          </w:tcPr>
          <w:p>
            <w:pPr>
              <w:ind w:left="760"/>
              <w:spacing w:after="0"/>
              <w:rPr>
                <w:sz w:val="20"/>
                <w:szCs w:val="20"/>
                <w:color w:val="auto"/>
              </w:rPr>
            </w:pPr>
            <w:r>
              <w:rPr>
                <w:rFonts w:ascii="Arial" w:cs="Arial" w:eastAsia="Arial" w:hAnsi="Arial"/>
                <w:sz w:val="16"/>
                <w:szCs w:val="16"/>
                <w:i w:val="1"/>
                <w:iCs w:val="1"/>
                <w:color w:val="auto"/>
              </w:rPr>
              <w:t>President, Kelly International</w:t>
            </w:r>
          </w:p>
        </w:tc>
        <w:tc>
          <w:tcPr>
            <w:tcW w:w="440" w:type="dxa"/>
            <w:vAlign w:val="bottom"/>
            <w:shd w:val="clear" w:color="auto" w:fill="EDEDED"/>
          </w:tcPr>
          <w:p>
            <w:pPr>
              <w:spacing w:after="0"/>
              <w:rPr>
                <w:sz w:val="16"/>
                <w:szCs w:val="16"/>
                <w:color w:val="auto"/>
              </w:rPr>
            </w:pPr>
          </w:p>
        </w:tc>
        <w:tc>
          <w:tcPr>
            <w:tcW w:w="77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took on her current role. Prior to that, she was Vice President and Regional Manager of Western Europe</w:t>
            </w:r>
          </w:p>
        </w:tc>
      </w:tr>
      <w:tr>
        <w:trPr>
          <w:trHeight w:val="189"/>
        </w:trPr>
        <w:tc>
          <w:tcPr>
            <w:tcW w:w="2860" w:type="dxa"/>
            <w:vAlign w:val="bottom"/>
            <w:shd w:val="clear" w:color="auto" w:fill="EDEDED"/>
          </w:tcPr>
          <w:p>
            <w:pPr>
              <w:spacing w:after="0"/>
              <w:rPr>
                <w:sz w:val="16"/>
                <w:szCs w:val="16"/>
                <w:color w:val="auto"/>
              </w:rPr>
            </w:pPr>
          </w:p>
        </w:tc>
        <w:tc>
          <w:tcPr>
            <w:tcW w:w="440" w:type="dxa"/>
            <w:vAlign w:val="bottom"/>
            <w:shd w:val="clear" w:color="auto" w:fill="EDEDED"/>
          </w:tcPr>
          <w:p>
            <w:pPr>
              <w:spacing w:after="0"/>
              <w:rPr>
                <w:sz w:val="16"/>
                <w:szCs w:val="16"/>
                <w:color w:val="auto"/>
              </w:rPr>
            </w:pPr>
          </w:p>
        </w:tc>
        <w:tc>
          <w:tcPr>
            <w:tcW w:w="77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from June 2008 through August 2013. Prior to joining the Company in 2008, Ms. Koolhaas served in</w:t>
            </w:r>
          </w:p>
        </w:tc>
      </w:tr>
      <w:tr>
        <w:trPr>
          <w:trHeight w:val="215"/>
        </w:trPr>
        <w:tc>
          <w:tcPr>
            <w:tcW w:w="2860" w:type="dxa"/>
            <w:vAlign w:val="bottom"/>
            <w:shd w:val="clear" w:color="auto" w:fill="EDEDED"/>
          </w:tcPr>
          <w:p>
            <w:pPr>
              <w:spacing w:after="0"/>
              <w:rPr>
                <w:sz w:val="18"/>
                <w:szCs w:val="18"/>
                <w:color w:val="auto"/>
              </w:rPr>
            </w:pPr>
          </w:p>
        </w:tc>
        <w:tc>
          <w:tcPr>
            <w:tcW w:w="440" w:type="dxa"/>
            <w:vAlign w:val="bottom"/>
            <w:shd w:val="clear" w:color="auto" w:fill="EDEDED"/>
          </w:tcPr>
          <w:p>
            <w:pPr>
              <w:spacing w:after="0"/>
              <w:rPr>
                <w:sz w:val="18"/>
                <w:szCs w:val="18"/>
                <w:color w:val="auto"/>
              </w:rPr>
            </w:pPr>
          </w:p>
        </w:tc>
        <w:tc>
          <w:tcPr>
            <w:tcW w:w="77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various roles with USG People.</w:t>
            </w:r>
          </w:p>
        </w:tc>
      </w:tr>
      <w:tr>
        <w:trPr>
          <w:trHeight w:val="96"/>
        </w:trPr>
        <w:tc>
          <w:tcPr>
            <w:tcW w:w="2860" w:type="dxa"/>
            <w:vAlign w:val="bottom"/>
            <w:shd w:val="clear" w:color="auto" w:fill="EDEDED"/>
          </w:tcPr>
          <w:p>
            <w:pPr>
              <w:spacing w:after="0"/>
              <w:rPr>
                <w:sz w:val="8"/>
                <w:szCs w:val="8"/>
                <w:color w:val="auto"/>
              </w:rPr>
            </w:pPr>
          </w:p>
        </w:tc>
        <w:tc>
          <w:tcPr>
            <w:tcW w:w="8160" w:type="dxa"/>
            <w:vAlign w:val="bottom"/>
            <w:gridSpan w:val="2"/>
            <w:shd w:val="clear" w:color="auto" w:fill="EDEDED"/>
          </w:tcPr>
          <w:p>
            <w:pPr>
              <w:spacing w:after="0"/>
              <w:rPr>
                <w:sz w:val="8"/>
                <w:szCs w:val="8"/>
                <w:color w:val="auto"/>
              </w:rPr>
            </w:pPr>
          </w:p>
        </w:tc>
      </w:tr>
      <w:tr>
        <w:trPr>
          <w:trHeight w:val="242"/>
        </w:trPr>
        <w:tc>
          <w:tcPr>
            <w:tcW w:w="2860" w:type="dxa"/>
            <w:vAlign w:val="bottom"/>
          </w:tcPr>
          <w:p>
            <w:pPr>
              <w:ind w:left="760"/>
              <w:spacing w:after="0"/>
              <w:rPr>
                <w:sz w:val="20"/>
                <w:szCs w:val="20"/>
                <w:color w:val="auto"/>
              </w:rPr>
            </w:pPr>
            <w:r>
              <w:rPr>
                <w:rFonts w:ascii="Arial" w:cs="Arial" w:eastAsia="Arial" w:hAnsi="Arial"/>
                <w:sz w:val="16"/>
                <w:szCs w:val="16"/>
                <w:b w:val="1"/>
                <w:bCs w:val="1"/>
                <w:color w:val="auto"/>
              </w:rPr>
              <w:t>Daniel Hugo Malan</w:t>
            </w:r>
          </w:p>
        </w:tc>
        <w:tc>
          <w:tcPr>
            <w:tcW w:w="8160" w:type="dxa"/>
            <w:vAlign w:val="bottom"/>
            <w:gridSpan w:val="2"/>
          </w:tcPr>
          <w:p>
            <w:pPr>
              <w:ind w:left="160"/>
              <w:spacing w:after="0"/>
              <w:rPr>
                <w:sz w:val="20"/>
                <w:szCs w:val="20"/>
                <w:color w:val="auto"/>
              </w:rPr>
            </w:pPr>
            <w:r>
              <w:rPr>
                <w:rFonts w:ascii="Arial" w:cs="Arial" w:eastAsia="Arial" w:hAnsi="Arial"/>
                <w:sz w:val="16"/>
                <w:szCs w:val="16"/>
                <w:color w:val="auto"/>
              </w:rPr>
              <w:t>53   Mr. Malan has served as the Company’s President of Science, Engineering, and Technology since March</w:t>
            </w:r>
          </w:p>
        </w:tc>
      </w:tr>
      <w:tr>
        <w:trPr>
          <w:trHeight w:val="189"/>
        </w:trPr>
        <w:tc>
          <w:tcPr>
            <w:tcW w:w="2860" w:type="dxa"/>
            <w:vAlign w:val="bottom"/>
          </w:tcPr>
          <w:p>
            <w:pPr>
              <w:ind w:left="760"/>
              <w:spacing w:after="0"/>
              <w:rPr>
                <w:sz w:val="20"/>
                <w:szCs w:val="20"/>
                <w:color w:val="auto"/>
              </w:rPr>
            </w:pPr>
            <w:r>
              <w:rPr>
                <w:rFonts w:ascii="Arial" w:cs="Arial" w:eastAsia="Arial" w:hAnsi="Arial"/>
                <w:sz w:val="16"/>
                <w:szCs w:val="16"/>
                <w:i w:val="1"/>
                <w:iCs w:val="1"/>
                <w:color w:val="auto"/>
              </w:rPr>
              <w:t>Senior Vice President</w:t>
            </w:r>
          </w:p>
        </w:tc>
        <w:tc>
          <w:tcPr>
            <w:tcW w:w="440" w:type="dxa"/>
            <w:vAlign w:val="bottom"/>
          </w:tcPr>
          <w:p>
            <w:pPr>
              <w:spacing w:after="0"/>
              <w:rPr>
                <w:sz w:val="16"/>
                <w:szCs w:val="16"/>
                <w:color w:val="auto"/>
              </w:rPr>
            </w:pPr>
          </w:p>
        </w:tc>
        <w:tc>
          <w:tcPr>
            <w:tcW w:w="7720" w:type="dxa"/>
            <w:vAlign w:val="bottom"/>
          </w:tcPr>
          <w:p>
            <w:pPr>
              <w:ind w:left="120"/>
              <w:spacing w:after="0"/>
              <w:rPr>
                <w:sz w:val="20"/>
                <w:szCs w:val="20"/>
                <w:color w:val="auto"/>
              </w:rPr>
            </w:pPr>
            <w:r>
              <w:rPr>
                <w:rFonts w:ascii="Arial" w:cs="Arial" w:eastAsia="Arial" w:hAnsi="Arial"/>
                <w:sz w:val="16"/>
                <w:szCs w:val="16"/>
                <w:color w:val="auto"/>
              </w:rPr>
              <w:t>2020. Prior to that he worked at EmployBridge for three years, serving as President of its Commercial</w:t>
            </w:r>
          </w:p>
        </w:tc>
      </w:tr>
      <w:tr>
        <w:trPr>
          <w:trHeight w:val="189"/>
        </w:trPr>
        <w:tc>
          <w:tcPr>
            <w:tcW w:w="2860" w:type="dxa"/>
            <w:vAlign w:val="bottom"/>
          </w:tcPr>
          <w:p>
            <w:pPr>
              <w:ind w:left="760"/>
              <w:spacing w:after="0"/>
              <w:rPr>
                <w:sz w:val="20"/>
                <w:szCs w:val="20"/>
                <w:color w:val="auto"/>
              </w:rPr>
            </w:pPr>
            <w:r>
              <w:rPr>
                <w:rFonts w:ascii="Arial" w:cs="Arial" w:eastAsia="Arial" w:hAnsi="Arial"/>
                <w:sz w:val="16"/>
                <w:szCs w:val="16"/>
                <w:i w:val="1"/>
                <w:iCs w:val="1"/>
                <w:color w:val="auto"/>
              </w:rPr>
              <w:t>President, Kelly Science,</w:t>
            </w:r>
          </w:p>
        </w:tc>
        <w:tc>
          <w:tcPr>
            <w:tcW w:w="440" w:type="dxa"/>
            <w:vAlign w:val="bottom"/>
          </w:tcPr>
          <w:p>
            <w:pPr>
              <w:spacing w:after="0"/>
              <w:rPr>
                <w:sz w:val="16"/>
                <w:szCs w:val="16"/>
                <w:color w:val="auto"/>
              </w:rPr>
            </w:pPr>
          </w:p>
        </w:tc>
        <w:tc>
          <w:tcPr>
            <w:tcW w:w="7720" w:type="dxa"/>
            <w:vAlign w:val="bottom"/>
          </w:tcPr>
          <w:p>
            <w:pPr>
              <w:ind w:left="120"/>
              <w:spacing w:after="0"/>
              <w:rPr>
                <w:sz w:val="20"/>
                <w:szCs w:val="20"/>
                <w:color w:val="auto"/>
              </w:rPr>
            </w:pPr>
            <w:r>
              <w:rPr>
                <w:rFonts w:ascii="Arial" w:cs="Arial" w:eastAsia="Arial" w:hAnsi="Arial"/>
                <w:sz w:val="16"/>
                <w:szCs w:val="16"/>
                <w:color w:val="auto"/>
              </w:rPr>
              <w:t>Business from December 2016 to July 2018 before being named Chief Operating Officer in August 2018</w:t>
            </w:r>
          </w:p>
        </w:tc>
      </w:tr>
      <w:tr>
        <w:trPr>
          <w:trHeight w:val="189"/>
        </w:trPr>
        <w:tc>
          <w:tcPr>
            <w:tcW w:w="2860" w:type="dxa"/>
            <w:vAlign w:val="bottom"/>
          </w:tcPr>
          <w:p>
            <w:pPr>
              <w:ind w:left="760"/>
              <w:spacing w:after="0"/>
              <w:rPr>
                <w:sz w:val="20"/>
                <w:szCs w:val="20"/>
                <w:color w:val="auto"/>
              </w:rPr>
            </w:pPr>
            <w:r>
              <w:rPr>
                <w:rFonts w:ascii="Arial" w:cs="Arial" w:eastAsia="Arial" w:hAnsi="Arial"/>
                <w:sz w:val="16"/>
                <w:szCs w:val="16"/>
                <w:i w:val="1"/>
                <w:iCs w:val="1"/>
                <w:color w:val="auto"/>
              </w:rPr>
              <w:t>Engineering, Technology &amp;</w:t>
            </w:r>
          </w:p>
        </w:tc>
        <w:tc>
          <w:tcPr>
            <w:tcW w:w="440" w:type="dxa"/>
            <w:vAlign w:val="bottom"/>
          </w:tcPr>
          <w:p>
            <w:pPr>
              <w:spacing w:after="0"/>
              <w:rPr>
                <w:sz w:val="16"/>
                <w:szCs w:val="16"/>
                <w:color w:val="auto"/>
              </w:rPr>
            </w:pPr>
          </w:p>
        </w:tc>
        <w:tc>
          <w:tcPr>
            <w:tcW w:w="7720" w:type="dxa"/>
            <w:vAlign w:val="bottom"/>
          </w:tcPr>
          <w:p>
            <w:pPr>
              <w:ind w:left="120"/>
              <w:spacing w:after="0"/>
              <w:rPr>
                <w:sz w:val="20"/>
                <w:szCs w:val="20"/>
                <w:color w:val="auto"/>
              </w:rPr>
            </w:pPr>
            <w:r>
              <w:rPr>
                <w:rFonts w:ascii="Arial" w:cs="Arial" w:eastAsia="Arial" w:hAnsi="Arial"/>
                <w:sz w:val="16"/>
                <w:szCs w:val="16"/>
                <w:color w:val="auto"/>
              </w:rPr>
              <w:t>through November 2019. From November 2014 to November 2016, Mr. Malan was Executive Vice</w:t>
            </w:r>
          </w:p>
        </w:tc>
      </w:tr>
      <w:tr>
        <w:trPr>
          <w:trHeight w:val="189"/>
        </w:trPr>
        <w:tc>
          <w:tcPr>
            <w:tcW w:w="2860" w:type="dxa"/>
            <w:vAlign w:val="bottom"/>
          </w:tcPr>
          <w:p>
            <w:pPr>
              <w:ind w:left="760"/>
              <w:spacing w:after="0"/>
              <w:rPr>
                <w:sz w:val="20"/>
                <w:szCs w:val="20"/>
                <w:color w:val="auto"/>
              </w:rPr>
            </w:pPr>
            <w:r>
              <w:rPr>
                <w:rFonts w:ascii="Arial" w:cs="Arial" w:eastAsia="Arial" w:hAnsi="Arial"/>
                <w:sz w:val="16"/>
                <w:szCs w:val="16"/>
                <w:i w:val="1"/>
                <w:iCs w:val="1"/>
                <w:color w:val="auto"/>
              </w:rPr>
              <w:t>Telecom</w:t>
            </w:r>
          </w:p>
        </w:tc>
        <w:tc>
          <w:tcPr>
            <w:tcW w:w="440" w:type="dxa"/>
            <w:vAlign w:val="bottom"/>
          </w:tcPr>
          <w:p>
            <w:pPr>
              <w:spacing w:after="0"/>
              <w:rPr>
                <w:sz w:val="16"/>
                <w:szCs w:val="16"/>
                <w:color w:val="auto"/>
              </w:rPr>
            </w:pPr>
          </w:p>
        </w:tc>
        <w:tc>
          <w:tcPr>
            <w:tcW w:w="7720" w:type="dxa"/>
            <w:vAlign w:val="bottom"/>
          </w:tcPr>
          <w:p>
            <w:pPr>
              <w:ind w:left="120"/>
              <w:spacing w:after="0"/>
              <w:rPr>
                <w:sz w:val="20"/>
                <w:szCs w:val="20"/>
                <w:color w:val="auto"/>
              </w:rPr>
            </w:pPr>
            <w:r>
              <w:rPr>
                <w:rFonts w:ascii="Arial" w:cs="Arial" w:eastAsia="Arial" w:hAnsi="Arial"/>
                <w:sz w:val="16"/>
                <w:szCs w:val="16"/>
                <w:color w:val="auto"/>
              </w:rPr>
              <w:t>President and President, North America Staffing for CDI Talent and Technology Solutions, and from March</w:t>
            </w:r>
          </w:p>
        </w:tc>
      </w:tr>
      <w:tr>
        <w:trPr>
          <w:trHeight w:val="189"/>
        </w:trPr>
        <w:tc>
          <w:tcPr>
            <w:tcW w:w="2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720" w:type="dxa"/>
            <w:vAlign w:val="bottom"/>
          </w:tcPr>
          <w:p>
            <w:pPr>
              <w:ind w:left="120"/>
              <w:spacing w:after="0"/>
              <w:rPr>
                <w:sz w:val="20"/>
                <w:szCs w:val="20"/>
                <w:color w:val="auto"/>
              </w:rPr>
            </w:pPr>
            <w:r>
              <w:rPr>
                <w:rFonts w:ascii="Arial" w:cs="Arial" w:eastAsia="Arial" w:hAnsi="Arial"/>
                <w:sz w:val="16"/>
                <w:szCs w:val="16"/>
                <w:color w:val="auto"/>
              </w:rPr>
              <w:t>2009 to October 2014 served as Senior Vice President and President of operating units for Sears</w:t>
            </w:r>
          </w:p>
        </w:tc>
      </w:tr>
      <w:tr>
        <w:trPr>
          <w:trHeight w:val="215"/>
        </w:trPr>
        <w:tc>
          <w:tcPr>
            <w:tcW w:w="2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720" w:type="dxa"/>
            <w:vAlign w:val="bottom"/>
          </w:tcPr>
          <w:p>
            <w:pPr>
              <w:ind w:left="120"/>
              <w:spacing w:after="0"/>
              <w:rPr>
                <w:sz w:val="20"/>
                <w:szCs w:val="20"/>
                <w:color w:val="auto"/>
              </w:rPr>
            </w:pPr>
            <w:r>
              <w:rPr>
                <w:rFonts w:ascii="Arial" w:cs="Arial" w:eastAsia="Arial" w:hAnsi="Arial"/>
                <w:sz w:val="16"/>
                <w:szCs w:val="16"/>
                <w:color w:val="auto"/>
              </w:rPr>
              <w:t>Holdings.</w:t>
            </w:r>
          </w:p>
        </w:tc>
      </w:tr>
      <w:tr>
        <w:trPr>
          <w:trHeight w:val="96"/>
        </w:trPr>
        <w:tc>
          <w:tcPr>
            <w:tcW w:w="2860" w:type="dxa"/>
            <w:vAlign w:val="bottom"/>
          </w:tcPr>
          <w:p>
            <w:pPr>
              <w:spacing w:after="0"/>
              <w:rPr>
                <w:sz w:val="8"/>
                <w:szCs w:val="8"/>
                <w:color w:val="auto"/>
              </w:rPr>
            </w:pPr>
          </w:p>
        </w:tc>
        <w:tc>
          <w:tcPr>
            <w:tcW w:w="8160" w:type="dxa"/>
            <w:vAlign w:val="bottom"/>
            <w:gridSpan w:val="2"/>
          </w:tcPr>
          <w:p>
            <w:pPr>
              <w:spacing w:after="0"/>
              <w:rPr>
                <w:sz w:val="8"/>
                <w:szCs w:val="8"/>
                <w:color w:val="auto"/>
              </w:rPr>
            </w:pPr>
          </w:p>
        </w:tc>
      </w:tr>
      <w:tr>
        <w:trPr>
          <w:trHeight w:val="242"/>
        </w:trPr>
        <w:tc>
          <w:tcPr>
            <w:tcW w:w="2860" w:type="dxa"/>
            <w:vAlign w:val="bottom"/>
            <w:shd w:val="clear" w:color="auto" w:fill="EDEDED"/>
          </w:tcPr>
          <w:p>
            <w:pPr>
              <w:ind w:left="760"/>
              <w:spacing w:after="0"/>
              <w:rPr>
                <w:sz w:val="20"/>
                <w:szCs w:val="20"/>
                <w:color w:val="auto"/>
              </w:rPr>
            </w:pPr>
            <w:r>
              <w:rPr>
                <w:rFonts w:ascii="Arial" w:cs="Arial" w:eastAsia="Arial" w:hAnsi="Arial"/>
                <w:sz w:val="16"/>
                <w:szCs w:val="16"/>
                <w:b w:val="1"/>
                <w:bCs w:val="1"/>
                <w:color w:val="auto"/>
              </w:rPr>
              <w:t>Darren L. Simons</w:t>
            </w:r>
          </w:p>
        </w:tc>
        <w:tc>
          <w:tcPr>
            <w:tcW w:w="8160" w:type="dxa"/>
            <w:vAlign w:val="bottom"/>
            <w:gridSpan w:val="2"/>
            <w:shd w:val="clear" w:color="auto" w:fill="EDEDED"/>
          </w:tcPr>
          <w:p>
            <w:pPr>
              <w:ind w:left="160"/>
              <w:spacing w:after="0"/>
              <w:rPr>
                <w:sz w:val="20"/>
                <w:szCs w:val="20"/>
                <w:color w:val="auto"/>
              </w:rPr>
            </w:pPr>
            <w:r>
              <w:rPr>
                <w:rFonts w:ascii="Arial" w:cs="Arial" w:eastAsia="Arial" w:hAnsi="Arial"/>
                <w:sz w:val="16"/>
                <w:szCs w:val="16"/>
                <w:color w:val="auto"/>
              </w:rPr>
              <w:t>52   Mr. Simons has served as Kelly’s Chief Digital Officer since July 2021. Prior to that he served as the</w:t>
            </w:r>
          </w:p>
        </w:tc>
      </w:tr>
      <w:tr>
        <w:trPr>
          <w:trHeight w:val="189"/>
        </w:trPr>
        <w:tc>
          <w:tcPr>
            <w:tcW w:w="2860" w:type="dxa"/>
            <w:vAlign w:val="bottom"/>
            <w:shd w:val="clear" w:color="auto" w:fill="EDEDED"/>
          </w:tcPr>
          <w:p>
            <w:pPr>
              <w:ind w:left="760"/>
              <w:spacing w:after="0"/>
              <w:rPr>
                <w:sz w:val="20"/>
                <w:szCs w:val="20"/>
                <w:color w:val="auto"/>
              </w:rPr>
            </w:pPr>
            <w:r>
              <w:rPr>
                <w:rFonts w:ascii="Arial" w:cs="Arial" w:eastAsia="Arial" w:hAnsi="Arial"/>
                <w:sz w:val="16"/>
                <w:szCs w:val="16"/>
                <w:i w:val="1"/>
                <w:iCs w:val="1"/>
                <w:color w:val="auto"/>
              </w:rPr>
              <w:t>Senior Vice President Chief</w:t>
            </w:r>
          </w:p>
        </w:tc>
        <w:tc>
          <w:tcPr>
            <w:tcW w:w="440" w:type="dxa"/>
            <w:vAlign w:val="bottom"/>
            <w:shd w:val="clear" w:color="auto" w:fill="EDEDED"/>
          </w:tcPr>
          <w:p>
            <w:pPr>
              <w:spacing w:after="0"/>
              <w:rPr>
                <w:sz w:val="16"/>
                <w:szCs w:val="16"/>
                <w:color w:val="auto"/>
              </w:rPr>
            </w:pPr>
          </w:p>
        </w:tc>
        <w:tc>
          <w:tcPr>
            <w:tcW w:w="77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President at RDI Global Solutions from July of 2020 to July 2021. Mr. Simons was the President at Cielo</w:t>
            </w:r>
          </w:p>
        </w:tc>
      </w:tr>
      <w:tr>
        <w:trPr>
          <w:trHeight w:val="189"/>
        </w:trPr>
        <w:tc>
          <w:tcPr>
            <w:tcW w:w="2860" w:type="dxa"/>
            <w:vAlign w:val="bottom"/>
            <w:shd w:val="clear" w:color="auto" w:fill="EDEDED"/>
          </w:tcPr>
          <w:p>
            <w:pPr>
              <w:ind w:left="760"/>
              <w:spacing w:after="0"/>
              <w:rPr>
                <w:sz w:val="20"/>
                <w:szCs w:val="20"/>
                <w:color w:val="auto"/>
              </w:rPr>
            </w:pPr>
            <w:r>
              <w:rPr>
                <w:rFonts w:ascii="Arial" w:cs="Arial" w:eastAsia="Arial" w:hAnsi="Arial"/>
                <w:sz w:val="16"/>
                <w:szCs w:val="16"/>
                <w:i w:val="1"/>
                <w:iCs w:val="1"/>
                <w:color w:val="auto"/>
              </w:rPr>
              <w:t>Digital Officer</w:t>
            </w:r>
          </w:p>
        </w:tc>
        <w:tc>
          <w:tcPr>
            <w:tcW w:w="440" w:type="dxa"/>
            <w:vAlign w:val="bottom"/>
            <w:shd w:val="clear" w:color="auto" w:fill="EDEDED"/>
          </w:tcPr>
          <w:p>
            <w:pPr>
              <w:spacing w:after="0"/>
              <w:rPr>
                <w:sz w:val="16"/>
                <w:szCs w:val="16"/>
                <w:color w:val="auto"/>
              </w:rPr>
            </w:pPr>
          </w:p>
        </w:tc>
        <w:tc>
          <w:tcPr>
            <w:tcW w:w="77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from May 2019 to July 2020 and served as Senior Vice President and President at CDI from May 2014 to</w:t>
            </w:r>
          </w:p>
        </w:tc>
      </w:tr>
      <w:tr>
        <w:trPr>
          <w:trHeight w:val="215"/>
        </w:trPr>
        <w:tc>
          <w:tcPr>
            <w:tcW w:w="2860" w:type="dxa"/>
            <w:vAlign w:val="bottom"/>
            <w:shd w:val="clear" w:color="auto" w:fill="EDEDED"/>
          </w:tcPr>
          <w:p>
            <w:pPr>
              <w:spacing w:after="0"/>
              <w:rPr>
                <w:sz w:val="18"/>
                <w:szCs w:val="18"/>
                <w:color w:val="auto"/>
              </w:rPr>
            </w:pPr>
          </w:p>
        </w:tc>
        <w:tc>
          <w:tcPr>
            <w:tcW w:w="440" w:type="dxa"/>
            <w:vAlign w:val="bottom"/>
            <w:shd w:val="clear" w:color="auto" w:fill="EDEDED"/>
          </w:tcPr>
          <w:p>
            <w:pPr>
              <w:spacing w:after="0"/>
              <w:rPr>
                <w:sz w:val="18"/>
                <w:szCs w:val="18"/>
                <w:color w:val="auto"/>
              </w:rPr>
            </w:pPr>
          </w:p>
        </w:tc>
        <w:tc>
          <w:tcPr>
            <w:tcW w:w="7720" w:type="dxa"/>
            <w:vAlign w:val="bottom"/>
            <w:shd w:val="clear" w:color="auto" w:fill="EDEDED"/>
          </w:tcPr>
          <w:p>
            <w:pPr>
              <w:ind w:left="120"/>
              <w:spacing w:after="0"/>
              <w:rPr>
                <w:sz w:val="20"/>
                <w:szCs w:val="20"/>
                <w:color w:val="auto"/>
              </w:rPr>
            </w:pPr>
            <w:r>
              <w:rPr>
                <w:rFonts w:ascii="Arial" w:cs="Arial" w:eastAsia="Arial" w:hAnsi="Arial"/>
                <w:sz w:val="16"/>
                <w:szCs w:val="16"/>
                <w:color w:val="auto"/>
              </w:rPr>
              <w:t>April 2019.</w:t>
            </w:r>
          </w:p>
        </w:tc>
      </w:tr>
      <w:tr>
        <w:trPr>
          <w:trHeight w:val="97"/>
        </w:trPr>
        <w:tc>
          <w:tcPr>
            <w:tcW w:w="2860" w:type="dxa"/>
            <w:vAlign w:val="bottom"/>
            <w:tcBorders>
              <w:bottom w:val="single" w:sz="8" w:color="auto"/>
            </w:tcBorders>
            <w:shd w:val="clear" w:color="auto" w:fill="EDEDED"/>
          </w:tcPr>
          <w:p>
            <w:pPr>
              <w:spacing w:after="0"/>
              <w:rPr>
                <w:sz w:val="8"/>
                <w:szCs w:val="8"/>
                <w:color w:val="auto"/>
              </w:rPr>
            </w:pPr>
          </w:p>
        </w:tc>
        <w:tc>
          <w:tcPr>
            <w:tcW w:w="440" w:type="dxa"/>
            <w:vAlign w:val="bottom"/>
            <w:tcBorders>
              <w:bottom w:val="single" w:sz="8" w:color="auto"/>
            </w:tcBorders>
            <w:shd w:val="clear" w:color="auto" w:fill="EDEDED"/>
          </w:tcPr>
          <w:p>
            <w:pPr>
              <w:spacing w:after="0"/>
              <w:rPr>
                <w:sz w:val="8"/>
                <w:szCs w:val="8"/>
                <w:color w:val="auto"/>
              </w:rPr>
            </w:pPr>
          </w:p>
        </w:tc>
        <w:tc>
          <w:tcPr>
            <w:tcW w:w="7720" w:type="dxa"/>
            <w:vAlign w:val="bottom"/>
            <w:tcBorders>
              <w:bottom w:val="single" w:sz="8" w:color="auto"/>
            </w:tcBorders>
            <w:shd w:val="clear" w:color="auto" w:fill="EDEDED"/>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-5734685</wp:posOffset>
            </wp:positionV>
            <wp:extent cx="385445" cy="3860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85445" cy="3860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-4928870</wp:posOffset>
            </wp:positionV>
            <wp:extent cx="385445" cy="3860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5445" cy="3860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-4097020</wp:posOffset>
            </wp:positionV>
            <wp:extent cx="385445" cy="3860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85445" cy="3860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-3119755</wp:posOffset>
            </wp:positionV>
            <wp:extent cx="411480" cy="4114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11480" cy="4114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-2168525</wp:posOffset>
            </wp:positionV>
            <wp:extent cx="385445" cy="3860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85445" cy="3860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-1456690</wp:posOffset>
            </wp:positionV>
            <wp:extent cx="385445" cy="3860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85445" cy="3860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-505460</wp:posOffset>
            </wp:positionV>
            <wp:extent cx="385445" cy="38608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85445" cy="386080"/>
                    </a:xfrm>
                    <a:prstGeom prst="rect">
                      <a:avLst/>
                    </a:prstGeom>
                    <a:noFill/>
                  </pic:spPr>
                </pic:pic>
              </a:graphicData>
            </a:graphic>
          </wp:anchor>
        </w:drawing>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1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-142875</wp:posOffset>
            </wp:positionV>
            <wp:extent cx="411480" cy="1968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720" w:type="dxa"/>
            <w:vAlign w:val="bottom"/>
            <w:gridSpan w:val="3"/>
          </w:tcPr>
          <w:p>
            <w:pPr>
              <w:ind w:left="6060"/>
              <w:spacing w:after="0"/>
              <w:rPr>
                <w:sz w:val="20"/>
                <w:szCs w:val="20"/>
                <w:color w:val="auto"/>
              </w:rPr>
            </w:pPr>
            <w:r>
              <w:rPr>
                <w:rFonts w:ascii="Arial" w:cs="Arial" w:eastAsia="Arial" w:hAnsi="Arial"/>
                <w:sz w:val="15"/>
                <w:szCs w:val="15"/>
                <w:b w:val="1"/>
                <w:bCs w:val="1"/>
                <w:color w:val="auto"/>
              </w:rPr>
              <w:t>Corporate Governance</w:t>
            </w:r>
          </w:p>
        </w:tc>
        <w:tc>
          <w:tcPr>
            <w:tcW w:w="0" w:type="dxa"/>
            <w:vAlign w:val="bottom"/>
          </w:tcPr>
          <w:p>
            <w:pPr>
              <w:spacing w:after="0"/>
              <w:rPr>
                <w:sz w:val="1"/>
                <w:szCs w:val="1"/>
                <w:color w:val="auto"/>
              </w:rPr>
            </w:pPr>
          </w:p>
        </w:tc>
      </w:tr>
      <w:tr>
        <w:trPr>
          <w:trHeight w:val="307"/>
        </w:trPr>
        <w:tc>
          <w:tcPr>
            <w:tcW w:w="2760" w:type="dxa"/>
            <w:vAlign w:val="bottom"/>
          </w:tcPr>
          <w:p>
            <w:pPr>
              <w:ind w:left="1260"/>
              <w:spacing w:after="0"/>
              <w:rPr>
                <w:sz w:val="20"/>
                <w:szCs w:val="20"/>
                <w:color w:val="auto"/>
              </w:rPr>
            </w:pPr>
            <w:r>
              <w:rPr>
                <w:rFonts w:ascii="Arial" w:cs="Arial" w:eastAsia="Arial" w:hAnsi="Arial"/>
                <w:sz w:val="14"/>
                <w:szCs w:val="14"/>
                <w:b w:val="1"/>
                <w:bCs w:val="1"/>
                <w:color w:val="00AF41"/>
              </w:rPr>
              <w:t>Name</w:t>
            </w:r>
          </w:p>
        </w:tc>
        <w:tc>
          <w:tcPr>
            <w:tcW w:w="540" w:type="dxa"/>
            <w:vAlign w:val="bottom"/>
          </w:tcPr>
          <w:p>
            <w:pPr>
              <w:jc w:val="right"/>
              <w:ind w:right="42"/>
              <w:spacing w:after="0"/>
              <w:rPr>
                <w:sz w:val="20"/>
                <w:szCs w:val="20"/>
                <w:color w:val="auto"/>
              </w:rPr>
            </w:pPr>
            <w:r>
              <w:rPr>
                <w:rFonts w:ascii="Arial" w:cs="Arial" w:eastAsia="Arial" w:hAnsi="Arial"/>
                <w:sz w:val="14"/>
                <w:szCs w:val="14"/>
                <w:b w:val="1"/>
                <w:bCs w:val="1"/>
                <w:color w:val="00AF41"/>
              </w:rPr>
              <w:t>Age</w:t>
            </w:r>
          </w:p>
        </w:tc>
        <w:tc>
          <w:tcPr>
            <w:tcW w:w="7720" w:type="dxa"/>
            <w:vAlign w:val="bottom"/>
            <w:gridSpan w:val="3"/>
          </w:tcPr>
          <w:p>
            <w:pPr>
              <w:ind w:left="3060"/>
              <w:spacing w:after="0"/>
              <w:rPr>
                <w:sz w:val="20"/>
                <w:szCs w:val="20"/>
                <w:color w:val="auto"/>
              </w:rPr>
            </w:pPr>
            <w:r>
              <w:rPr>
                <w:rFonts w:ascii="Arial" w:cs="Arial" w:eastAsia="Arial" w:hAnsi="Arial"/>
                <w:sz w:val="14"/>
                <w:szCs w:val="14"/>
                <w:b w:val="1"/>
                <w:bCs w:val="1"/>
                <w:color w:val="00AF41"/>
              </w:rPr>
              <w:t>Biographical Information</w:t>
            </w:r>
          </w:p>
        </w:tc>
        <w:tc>
          <w:tcPr>
            <w:tcW w:w="0" w:type="dxa"/>
            <w:vAlign w:val="bottom"/>
          </w:tcPr>
          <w:p>
            <w:pPr>
              <w:spacing w:after="0"/>
              <w:rPr>
                <w:sz w:val="1"/>
                <w:szCs w:val="1"/>
                <w:color w:val="auto"/>
              </w:rPr>
            </w:pPr>
          </w:p>
        </w:tc>
      </w:tr>
      <w:tr>
        <w:trPr>
          <w:trHeight w:val="43"/>
        </w:trPr>
        <w:tc>
          <w:tcPr>
            <w:tcW w:w="27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760" w:type="dxa"/>
            <w:vAlign w:val="bottom"/>
          </w:tcPr>
          <w:p>
            <w:pPr>
              <w:ind w:left="740"/>
              <w:spacing w:after="0"/>
              <w:rPr>
                <w:sz w:val="20"/>
                <w:szCs w:val="20"/>
                <w:color w:val="auto"/>
              </w:rPr>
            </w:pPr>
            <w:r>
              <w:rPr>
                <w:rFonts w:ascii="Arial" w:cs="Arial" w:eastAsia="Arial" w:hAnsi="Arial"/>
                <w:sz w:val="16"/>
                <w:szCs w:val="16"/>
                <w:b w:val="1"/>
                <w:bCs w:val="1"/>
                <w:color w:val="auto"/>
              </w:rPr>
              <w:t>Nicola Soares</w:t>
            </w:r>
          </w:p>
        </w:tc>
        <w:tc>
          <w:tcPr>
            <w:tcW w:w="540" w:type="dxa"/>
            <w:vAlign w:val="bottom"/>
          </w:tcPr>
          <w:p>
            <w:pPr>
              <w:jc w:val="right"/>
              <w:ind w:right="22"/>
              <w:spacing w:after="0"/>
              <w:rPr>
                <w:sz w:val="20"/>
                <w:szCs w:val="20"/>
                <w:color w:val="auto"/>
              </w:rPr>
            </w:pPr>
            <w:r>
              <w:rPr>
                <w:rFonts w:ascii="Arial" w:cs="Arial" w:eastAsia="Arial" w:hAnsi="Arial"/>
                <w:sz w:val="16"/>
                <w:szCs w:val="16"/>
                <w:color w:val="auto"/>
              </w:rPr>
              <w:t>54</w:t>
            </w:r>
          </w:p>
        </w:tc>
        <w:tc>
          <w:tcPr>
            <w:tcW w:w="7720" w:type="dxa"/>
            <w:vAlign w:val="bottom"/>
            <w:gridSpan w:val="3"/>
          </w:tcPr>
          <w:p>
            <w:pPr>
              <w:ind w:left="120"/>
              <w:spacing w:after="0"/>
              <w:rPr>
                <w:sz w:val="20"/>
                <w:szCs w:val="20"/>
                <w:color w:val="auto"/>
              </w:rPr>
            </w:pPr>
            <w:r>
              <w:rPr>
                <w:rFonts w:ascii="Arial" w:cs="Arial" w:eastAsia="Arial" w:hAnsi="Arial"/>
                <w:sz w:val="16"/>
                <w:szCs w:val="16"/>
                <w:color w:val="auto"/>
              </w:rPr>
              <w:t>Ms. Soares has led the Education business since joining the Company in November 2010. Prior to that,</w:t>
            </w:r>
          </w:p>
        </w:tc>
        <w:tc>
          <w:tcPr>
            <w:tcW w:w="0" w:type="dxa"/>
            <w:vAlign w:val="bottom"/>
          </w:tcPr>
          <w:p>
            <w:pPr>
              <w:spacing w:after="0"/>
              <w:rPr>
                <w:sz w:val="1"/>
                <w:szCs w:val="1"/>
                <w:color w:val="auto"/>
              </w:rPr>
            </w:pPr>
          </w:p>
        </w:tc>
      </w:tr>
      <w:tr>
        <w:trPr>
          <w:trHeight w:val="189"/>
        </w:trPr>
        <w:tc>
          <w:tcPr>
            <w:tcW w:w="2760" w:type="dxa"/>
            <w:vAlign w:val="bottom"/>
          </w:tcPr>
          <w:p>
            <w:pPr>
              <w:ind w:left="740"/>
              <w:spacing w:after="0"/>
              <w:rPr>
                <w:sz w:val="20"/>
                <w:szCs w:val="20"/>
                <w:color w:val="auto"/>
              </w:rPr>
            </w:pPr>
            <w:r>
              <w:rPr>
                <w:rFonts w:ascii="Arial" w:cs="Arial" w:eastAsia="Arial" w:hAnsi="Arial"/>
                <w:sz w:val="16"/>
                <w:szCs w:val="16"/>
                <w:i w:val="1"/>
                <w:iCs w:val="1"/>
                <w:color w:val="auto"/>
              </w:rPr>
              <w:t>Senior Vice President</w:t>
            </w:r>
          </w:p>
        </w:tc>
        <w:tc>
          <w:tcPr>
            <w:tcW w:w="540" w:type="dxa"/>
            <w:vAlign w:val="bottom"/>
          </w:tcPr>
          <w:p>
            <w:pPr>
              <w:spacing w:after="0"/>
              <w:rPr>
                <w:sz w:val="16"/>
                <w:szCs w:val="16"/>
                <w:color w:val="auto"/>
              </w:rPr>
            </w:pPr>
          </w:p>
        </w:tc>
        <w:tc>
          <w:tcPr>
            <w:tcW w:w="7720" w:type="dxa"/>
            <w:vAlign w:val="bottom"/>
            <w:gridSpan w:val="3"/>
          </w:tcPr>
          <w:p>
            <w:pPr>
              <w:ind w:left="120"/>
              <w:spacing w:after="0"/>
              <w:rPr>
                <w:sz w:val="20"/>
                <w:szCs w:val="20"/>
                <w:color w:val="auto"/>
              </w:rPr>
            </w:pPr>
            <w:r>
              <w:rPr>
                <w:rFonts w:ascii="Arial" w:cs="Arial" w:eastAsia="Arial" w:hAnsi="Arial"/>
                <w:sz w:val="16"/>
                <w:szCs w:val="16"/>
                <w:color w:val="auto"/>
              </w:rPr>
              <w:t>she was Vice President, Marketing and Sales NBC Learn for NBC Universal from May 2007 through</w:t>
            </w:r>
          </w:p>
        </w:tc>
        <w:tc>
          <w:tcPr>
            <w:tcW w:w="0" w:type="dxa"/>
            <w:vAlign w:val="bottom"/>
          </w:tcPr>
          <w:p>
            <w:pPr>
              <w:spacing w:after="0"/>
              <w:rPr>
                <w:sz w:val="1"/>
                <w:szCs w:val="1"/>
                <w:color w:val="auto"/>
              </w:rPr>
            </w:pPr>
          </w:p>
        </w:tc>
      </w:tr>
      <w:tr>
        <w:trPr>
          <w:trHeight w:val="189"/>
        </w:trPr>
        <w:tc>
          <w:tcPr>
            <w:tcW w:w="2760" w:type="dxa"/>
            <w:vAlign w:val="bottom"/>
          </w:tcPr>
          <w:p>
            <w:pPr>
              <w:ind w:left="740"/>
              <w:spacing w:after="0"/>
              <w:rPr>
                <w:sz w:val="20"/>
                <w:szCs w:val="20"/>
                <w:color w:val="auto"/>
              </w:rPr>
            </w:pPr>
            <w:r>
              <w:rPr>
                <w:rFonts w:ascii="Arial" w:cs="Arial" w:eastAsia="Arial" w:hAnsi="Arial"/>
                <w:sz w:val="16"/>
                <w:szCs w:val="16"/>
                <w:i w:val="1"/>
                <w:iCs w:val="1"/>
                <w:color w:val="auto"/>
              </w:rPr>
              <w:t>President, Kelly Education</w:t>
            </w:r>
          </w:p>
        </w:tc>
        <w:tc>
          <w:tcPr>
            <w:tcW w:w="540" w:type="dxa"/>
            <w:vAlign w:val="bottom"/>
          </w:tcPr>
          <w:p>
            <w:pPr>
              <w:spacing w:after="0"/>
              <w:rPr>
                <w:sz w:val="16"/>
                <w:szCs w:val="16"/>
                <w:color w:val="auto"/>
              </w:rPr>
            </w:pPr>
          </w:p>
        </w:tc>
        <w:tc>
          <w:tcPr>
            <w:tcW w:w="7720" w:type="dxa"/>
            <w:vAlign w:val="bottom"/>
            <w:gridSpan w:val="3"/>
          </w:tcPr>
          <w:p>
            <w:pPr>
              <w:ind w:left="120"/>
              <w:spacing w:after="0"/>
              <w:rPr>
                <w:sz w:val="20"/>
                <w:szCs w:val="20"/>
                <w:color w:val="auto"/>
              </w:rPr>
            </w:pPr>
            <w:r>
              <w:rPr>
                <w:rFonts w:ascii="Arial" w:cs="Arial" w:eastAsia="Arial" w:hAnsi="Arial"/>
                <w:sz w:val="16"/>
                <w:szCs w:val="16"/>
                <w:color w:val="auto"/>
              </w:rPr>
              <w:t>December 2009. She also held various positions at McGraw-Hill Education including Vice President,</w:t>
            </w: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720" w:type="dxa"/>
            <w:vAlign w:val="bottom"/>
            <w:gridSpan w:val="3"/>
          </w:tcPr>
          <w:p>
            <w:pPr>
              <w:ind w:left="120"/>
              <w:spacing w:after="0"/>
              <w:rPr>
                <w:sz w:val="20"/>
                <w:szCs w:val="20"/>
                <w:color w:val="auto"/>
              </w:rPr>
            </w:pPr>
            <w:r>
              <w:rPr>
                <w:rFonts w:ascii="Arial" w:cs="Arial" w:eastAsia="Arial" w:hAnsi="Arial"/>
                <w:sz w:val="16"/>
                <w:szCs w:val="16"/>
                <w:color w:val="auto"/>
              </w:rPr>
              <w:t>National Sales Manager K-12, Vice President of Product Innovation and Director of Marketing, Secondary</w:t>
            </w: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720" w:type="dxa"/>
            <w:vAlign w:val="bottom"/>
            <w:gridSpan w:val="3"/>
          </w:tcPr>
          <w:p>
            <w:pPr>
              <w:ind w:left="120"/>
              <w:spacing w:after="0"/>
              <w:rPr>
                <w:sz w:val="20"/>
                <w:szCs w:val="20"/>
                <w:color w:val="auto"/>
              </w:rPr>
            </w:pPr>
            <w:r>
              <w:rPr>
                <w:rFonts w:ascii="Arial" w:cs="Arial" w:eastAsia="Arial" w:hAnsi="Arial"/>
                <w:sz w:val="16"/>
                <w:szCs w:val="16"/>
                <w:color w:val="auto"/>
              </w:rPr>
              <w:t>Social Studies from November 1996 through May 2007. Early in her career, Ms. Soares spent five years</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720" w:type="dxa"/>
            <w:vAlign w:val="bottom"/>
            <w:gridSpan w:val="3"/>
          </w:tcPr>
          <w:p>
            <w:pPr>
              <w:ind w:left="120"/>
              <w:spacing w:after="0"/>
              <w:rPr>
                <w:sz w:val="20"/>
                <w:szCs w:val="20"/>
                <w:color w:val="auto"/>
              </w:rPr>
            </w:pPr>
            <w:r>
              <w:rPr>
                <w:rFonts w:ascii="Arial" w:cs="Arial" w:eastAsia="Arial" w:hAnsi="Arial"/>
                <w:sz w:val="16"/>
                <w:szCs w:val="16"/>
                <w:color w:val="auto"/>
              </w:rPr>
              <w:t>as a public-school educator teaching at both middle and high school levels.</w:t>
            </w:r>
          </w:p>
        </w:tc>
        <w:tc>
          <w:tcPr>
            <w:tcW w:w="0" w:type="dxa"/>
            <w:vAlign w:val="bottom"/>
          </w:tcPr>
          <w:p>
            <w:pPr>
              <w:spacing w:after="0"/>
              <w:rPr>
                <w:sz w:val="1"/>
                <w:szCs w:val="1"/>
                <w:color w:val="auto"/>
              </w:rPr>
            </w:pPr>
          </w:p>
        </w:tc>
      </w:tr>
      <w:tr>
        <w:trPr>
          <w:trHeight w:val="97"/>
        </w:trPr>
        <w:tc>
          <w:tcPr>
            <w:tcW w:w="2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9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2"/>
        </w:trPr>
        <w:tc>
          <w:tcPr>
            <w:tcW w:w="2760" w:type="dxa"/>
            <w:vAlign w:val="bottom"/>
            <w:shd w:val="clear" w:color="auto" w:fill="EDEDED"/>
          </w:tcPr>
          <w:p>
            <w:pPr>
              <w:ind w:left="740"/>
              <w:spacing w:after="0"/>
              <w:rPr>
                <w:sz w:val="20"/>
                <w:szCs w:val="20"/>
                <w:color w:val="auto"/>
              </w:rPr>
            </w:pPr>
            <w:r>
              <w:rPr>
                <w:rFonts w:ascii="Arial" w:cs="Arial" w:eastAsia="Arial" w:hAnsi="Arial"/>
                <w:sz w:val="16"/>
                <w:szCs w:val="16"/>
                <w:b w:val="1"/>
                <w:bCs w:val="1"/>
                <w:color w:val="auto"/>
              </w:rPr>
              <w:t>Vanessa P. Williams</w:t>
            </w:r>
          </w:p>
        </w:tc>
        <w:tc>
          <w:tcPr>
            <w:tcW w:w="540" w:type="dxa"/>
            <w:vAlign w:val="bottom"/>
            <w:shd w:val="clear" w:color="auto" w:fill="EDEDED"/>
          </w:tcPr>
          <w:p>
            <w:pPr>
              <w:jc w:val="right"/>
              <w:ind w:right="22"/>
              <w:spacing w:after="0"/>
              <w:rPr>
                <w:sz w:val="20"/>
                <w:szCs w:val="20"/>
                <w:color w:val="auto"/>
              </w:rPr>
            </w:pPr>
            <w:r>
              <w:rPr>
                <w:rFonts w:ascii="Arial" w:cs="Arial" w:eastAsia="Arial" w:hAnsi="Arial"/>
                <w:sz w:val="16"/>
                <w:szCs w:val="16"/>
                <w:color w:val="auto"/>
              </w:rPr>
              <w:t>51</w:t>
            </w:r>
          </w:p>
        </w:tc>
        <w:tc>
          <w:tcPr>
            <w:tcW w:w="7720" w:type="dxa"/>
            <w:vAlign w:val="bottom"/>
            <w:gridSpan w:val="3"/>
            <w:shd w:val="clear" w:color="auto" w:fill="EDEDED"/>
          </w:tcPr>
          <w:p>
            <w:pPr>
              <w:ind w:left="120"/>
              <w:spacing w:after="0"/>
              <w:rPr>
                <w:sz w:val="20"/>
                <w:szCs w:val="20"/>
                <w:color w:val="auto"/>
              </w:rPr>
            </w:pPr>
            <w:r>
              <w:rPr>
                <w:rFonts w:ascii="Arial" w:cs="Arial" w:eastAsia="Arial" w:hAnsi="Arial"/>
                <w:sz w:val="16"/>
                <w:szCs w:val="16"/>
                <w:color w:val="auto"/>
              </w:rPr>
              <w:t>Ms. Williams has served as General Counsel since joining the Company in September 2020. Previously,</w:t>
            </w:r>
          </w:p>
        </w:tc>
        <w:tc>
          <w:tcPr>
            <w:tcW w:w="0" w:type="dxa"/>
            <w:vAlign w:val="bottom"/>
          </w:tcPr>
          <w:p>
            <w:pPr>
              <w:spacing w:after="0"/>
              <w:rPr>
                <w:sz w:val="1"/>
                <w:szCs w:val="1"/>
                <w:color w:val="auto"/>
              </w:rPr>
            </w:pPr>
          </w:p>
        </w:tc>
      </w:tr>
      <w:tr>
        <w:trPr>
          <w:trHeight w:val="189"/>
        </w:trPr>
        <w:tc>
          <w:tcPr>
            <w:tcW w:w="2760" w:type="dxa"/>
            <w:vAlign w:val="bottom"/>
            <w:shd w:val="clear" w:color="auto" w:fill="EDEDED"/>
          </w:tcPr>
          <w:p>
            <w:pPr>
              <w:ind w:left="740"/>
              <w:spacing w:after="0"/>
              <w:rPr>
                <w:sz w:val="20"/>
                <w:szCs w:val="20"/>
                <w:color w:val="auto"/>
              </w:rPr>
            </w:pPr>
            <w:r>
              <w:rPr>
                <w:rFonts w:ascii="Arial" w:cs="Arial" w:eastAsia="Arial" w:hAnsi="Arial"/>
                <w:sz w:val="16"/>
                <w:szCs w:val="16"/>
                <w:i w:val="1"/>
                <w:iCs w:val="1"/>
                <w:color w:val="auto"/>
              </w:rPr>
              <w:t>Senior Vice President</w:t>
            </w:r>
          </w:p>
        </w:tc>
        <w:tc>
          <w:tcPr>
            <w:tcW w:w="540" w:type="dxa"/>
            <w:vAlign w:val="bottom"/>
            <w:shd w:val="clear" w:color="auto" w:fill="EDEDED"/>
          </w:tcPr>
          <w:p>
            <w:pPr>
              <w:spacing w:after="0"/>
              <w:rPr>
                <w:sz w:val="16"/>
                <w:szCs w:val="16"/>
                <w:color w:val="auto"/>
              </w:rPr>
            </w:pPr>
          </w:p>
        </w:tc>
        <w:tc>
          <w:tcPr>
            <w:tcW w:w="7720" w:type="dxa"/>
            <w:vAlign w:val="bottom"/>
            <w:gridSpan w:val="3"/>
            <w:shd w:val="clear" w:color="auto" w:fill="EDEDED"/>
          </w:tcPr>
          <w:p>
            <w:pPr>
              <w:ind w:left="120"/>
              <w:spacing w:after="0"/>
              <w:rPr>
                <w:sz w:val="20"/>
                <w:szCs w:val="20"/>
                <w:color w:val="auto"/>
              </w:rPr>
            </w:pPr>
            <w:r>
              <w:rPr>
                <w:rFonts w:ascii="Arial" w:cs="Arial" w:eastAsia="Arial" w:hAnsi="Arial"/>
                <w:sz w:val="16"/>
                <w:szCs w:val="16"/>
                <w:color w:val="auto"/>
              </w:rPr>
              <w:t>she worked from July 2006 to September 2020 in a variety of roles for IHS Markit including Senior Vice</w:t>
            </w:r>
          </w:p>
        </w:tc>
        <w:tc>
          <w:tcPr>
            <w:tcW w:w="0" w:type="dxa"/>
            <w:vAlign w:val="bottom"/>
          </w:tcPr>
          <w:p>
            <w:pPr>
              <w:spacing w:after="0"/>
              <w:rPr>
                <w:sz w:val="1"/>
                <w:szCs w:val="1"/>
                <w:color w:val="auto"/>
              </w:rPr>
            </w:pPr>
          </w:p>
        </w:tc>
      </w:tr>
      <w:tr>
        <w:trPr>
          <w:trHeight w:val="189"/>
        </w:trPr>
        <w:tc>
          <w:tcPr>
            <w:tcW w:w="2760" w:type="dxa"/>
            <w:vAlign w:val="bottom"/>
            <w:shd w:val="clear" w:color="auto" w:fill="EDEDED"/>
          </w:tcPr>
          <w:p>
            <w:pPr>
              <w:ind w:left="740"/>
              <w:spacing w:after="0"/>
              <w:rPr>
                <w:sz w:val="20"/>
                <w:szCs w:val="20"/>
                <w:color w:val="auto"/>
              </w:rPr>
            </w:pPr>
            <w:r>
              <w:rPr>
                <w:rFonts w:ascii="Arial" w:cs="Arial" w:eastAsia="Arial" w:hAnsi="Arial"/>
                <w:sz w:val="16"/>
                <w:szCs w:val="16"/>
                <w:i w:val="1"/>
                <w:iCs w:val="1"/>
                <w:color w:val="auto"/>
              </w:rPr>
              <w:t>General Counsel and</w:t>
            </w:r>
          </w:p>
        </w:tc>
        <w:tc>
          <w:tcPr>
            <w:tcW w:w="540" w:type="dxa"/>
            <w:vAlign w:val="bottom"/>
            <w:shd w:val="clear" w:color="auto" w:fill="EDEDED"/>
          </w:tcPr>
          <w:p>
            <w:pPr>
              <w:spacing w:after="0"/>
              <w:rPr>
                <w:sz w:val="16"/>
                <w:szCs w:val="16"/>
                <w:color w:val="auto"/>
              </w:rPr>
            </w:pPr>
          </w:p>
        </w:tc>
        <w:tc>
          <w:tcPr>
            <w:tcW w:w="7720" w:type="dxa"/>
            <w:vAlign w:val="bottom"/>
            <w:gridSpan w:val="3"/>
            <w:shd w:val="clear" w:color="auto" w:fill="EDEDED"/>
          </w:tcPr>
          <w:p>
            <w:pPr>
              <w:ind w:left="120"/>
              <w:spacing w:after="0"/>
              <w:rPr>
                <w:sz w:val="20"/>
                <w:szCs w:val="20"/>
                <w:color w:val="auto"/>
              </w:rPr>
            </w:pPr>
            <w:r>
              <w:rPr>
                <w:rFonts w:ascii="Arial" w:cs="Arial" w:eastAsia="Arial" w:hAnsi="Arial"/>
                <w:sz w:val="16"/>
                <w:szCs w:val="16"/>
                <w:color w:val="auto"/>
              </w:rPr>
              <w:t>President, Legal, Risk and Compliance; Vice President, Divisional General Counsel-Transportation; Vice</w:t>
            </w:r>
          </w:p>
        </w:tc>
        <w:tc>
          <w:tcPr>
            <w:tcW w:w="0" w:type="dxa"/>
            <w:vAlign w:val="bottom"/>
          </w:tcPr>
          <w:p>
            <w:pPr>
              <w:spacing w:after="0"/>
              <w:rPr>
                <w:sz w:val="1"/>
                <w:szCs w:val="1"/>
                <w:color w:val="auto"/>
              </w:rPr>
            </w:pPr>
          </w:p>
        </w:tc>
      </w:tr>
      <w:tr>
        <w:trPr>
          <w:trHeight w:val="189"/>
        </w:trPr>
        <w:tc>
          <w:tcPr>
            <w:tcW w:w="2760" w:type="dxa"/>
            <w:vAlign w:val="bottom"/>
            <w:shd w:val="clear" w:color="auto" w:fill="EDEDED"/>
          </w:tcPr>
          <w:p>
            <w:pPr>
              <w:ind w:left="740"/>
              <w:spacing w:after="0"/>
              <w:rPr>
                <w:sz w:val="20"/>
                <w:szCs w:val="20"/>
                <w:color w:val="auto"/>
              </w:rPr>
            </w:pPr>
            <w:r>
              <w:rPr>
                <w:rFonts w:ascii="Arial" w:cs="Arial" w:eastAsia="Arial" w:hAnsi="Arial"/>
                <w:sz w:val="16"/>
                <w:szCs w:val="16"/>
                <w:i w:val="1"/>
                <w:iCs w:val="1"/>
                <w:color w:val="auto"/>
              </w:rPr>
              <w:t>Assistant Secretary</w:t>
            </w:r>
          </w:p>
        </w:tc>
        <w:tc>
          <w:tcPr>
            <w:tcW w:w="540" w:type="dxa"/>
            <w:vAlign w:val="bottom"/>
            <w:shd w:val="clear" w:color="auto" w:fill="EDEDED"/>
          </w:tcPr>
          <w:p>
            <w:pPr>
              <w:spacing w:after="0"/>
              <w:rPr>
                <w:sz w:val="16"/>
                <w:szCs w:val="16"/>
                <w:color w:val="auto"/>
              </w:rPr>
            </w:pPr>
          </w:p>
        </w:tc>
        <w:tc>
          <w:tcPr>
            <w:tcW w:w="7720" w:type="dxa"/>
            <w:vAlign w:val="bottom"/>
            <w:gridSpan w:val="3"/>
            <w:shd w:val="clear" w:color="auto" w:fill="EDEDED"/>
          </w:tcPr>
          <w:p>
            <w:pPr>
              <w:ind w:left="120"/>
              <w:spacing w:after="0"/>
              <w:rPr>
                <w:sz w:val="20"/>
                <w:szCs w:val="20"/>
                <w:color w:val="auto"/>
              </w:rPr>
            </w:pPr>
            <w:r>
              <w:rPr>
                <w:rFonts w:ascii="Arial" w:cs="Arial" w:eastAsia="Arial" w:hAnsi="Arial"/>
                <w:sz w:val="16"/>
                <w:szCs w:val="16"/>
                <w:color w:val="auto"/>
              </w:rPr>
              <w:t>President, Chief Legal Counsel and Global Privacy Officer (IHS, Inc.); Vice President and Deputy General</w:t>
            </w:r>
          </w:p>
        </w:tc>
        <w:tc>
          <w:tcPr>
            <w:tcW w:w="0" w:type="dxa"/>
            <w:vAlign w:val="bottom"/>
          </w:tcPr>
          <w:p>
            <w:pPr>
              <w:spacing w:after="0"/>
              <w:rPr>
                <w:sz w:val="1"/>
                <w:szCs w:val="1"/>
                <w:color w:val="auto"/>
              </w:rPr>
            </w:pPr>
          </w:p>
        </w:tc>
      </w:tr>
      <w:tr>
        <w:trPr>
          <w:trHeight w:val="189"/>
        </w:trPr>
        <w:tc>
          <w:tcPr>
            <w:tcW w:w="2760" w:type="dxa"/>
            <w:vAlign w:val="bottom"/>
            <w:shd w:val="clear" w:color="auto" w:fill="EDEDED"/>
          </w:tcPr>
          <w:p>
            <w:pPr>
              <w:spacing w:after="0"/>
              <w:rPr>
                <w:sz w:val="16"/>
                <w:szCs w:val="16"/>
                <w:color w:val="auto"/>
              </w:rPr>
            </w:pPr>
          </w:p>
        </w:tc>
        <w:tc>
          <w:tcPr>
            <w:tcW w:w="540" w:type="dxa"/>
            <w:vAlign w:val="bottom"/>
            <w:shd w:val="clear" w:color="auto" w:fill="EDEDED"/>
          </w:tcPr>
          <w:p>
            <w:pPr>
              <w:spacing w:after="0"/>
              <w:rPr>
                <w:sz w:val="16"/>
                <w:szCs w:val="16"/>
                <w:color w:val="auto"/>
              </w:rPr>
            </w:pPr>
          </w:p>
        </w:tc>
        <w:tc>
          <w:tcPr>
            <w:tcW w:w="7720" w:type="dxa"/>
            <w:vAlign w:val="bottom"/>
            <w:gridSpan w:val="3"/>
            <w:shd w:val="clear" w:color="auto" w:fill="EDEDED"/>
          </w:tcPr>
          <w:p>
            <w:pPr>
              <w:ind w:left="120"/>
              <w:spacing w:after="0"/>
              <w:rPr>
                <w:sz w:val="20"/>
                <w:szCs w:val="20"/>
                <w:color w:val="auto"/>
              </w:rPr>
            </w:pPr>
            <w:r>
              <w:rPr>
                <w:rFonts w:ascii="Arial" w:cs="Arial" w:eastAsia="Arial" w:hAnsi="Arial"/>
                <w:sz w:val="16"/>
                <w:szCs w:val="16"/>
                <w:color w:val="auto"/>
              </w:rPr>
              <w:t>Counsel and Chief Compliance Officer; Deputy General Counsel; and Associate General Counsel (R.L.</w:t>
            </w:r>
          </w:p>
        </w:tc>
        <w:tc>
          <w:tcPr>
            <w:tcW w:w="0" w:type="dxa"/>
            <w:vAlign w:val="bottom"/>
          </w:tcPr>
          <w:p>
            <w:pPr>
              <w:spacing w:after="0"/>
              <w:rPr>
                <w:sz w:val="1"/>
                <w:szCs w:val="1"/>
                <w:color w:val="auto"/>
              </w:rPr>
            </w:pPr>
          </w:p>
        </w:tc>
      </w:tr>
      <w:tr>
        <w:trPr>
          <w:trHeight w:val="215"/>
        </w:trPr>
        <w:tc>
          <w:tcPr>
            <w:tcW w:w="2760" w:type="dxa"/>
            <w:vAlign w:val="bottom"/>
            <w:shd w:val="clear" w:color="auto" w:fill="EDEDED"/>
          </w:tcPr>
          <w:p>
            <w:pPr>
              <w:spacing w:after="0"/>
              <w:rPr>
                <w:sz w:val="18"/>
                <w:szCs w:val="18"/>
                <w:color w:val="auto"/>
              </w:rPr>
            </w:pPr>
          </w:p>
        </w:tc>
        <w:tc>
          <w:tcPr>
            <w:tcW w:w="540" w:type="dxa"/>
            <w:vAlign w:val="bottom"/>
            <w:shd w:val="clear" w:color="auto" w:fill="EDEDED"/>
          </w:tcPr>
          <w:p>
            <w:pPr>
              <w:spacing w:after="0"/>
              <w:rPr>
                <w:sz w:val="18"/>
                <w:szCs w:val="18"/>
                <w:color w:val="auto"/>
              </w:rPr>
            </w:pPr>
          </w:p>
        </w:tc>
        <w:tc>
          <w:tcPr>
            <w:tcW w:w="7720" w:type="dxa"/>
            <w:vAlign w:val="bottom"/>
            <w:gridSpan w:val="3"/>
            <w:shd w:val="clear" w:color="auto" w:fill="EDEDED"/>
          </w:tcPr>
          <w:p>
            <w:pPr>
              <w:ind w:left="120"/>
              <w:spacing w:after="0"/>
              <w:rPr>
                <w:sz w:val="20"/>
                <w:szCs w:val="20"/>
                <w:color w:val="auto"/>
              </w:rPr>
            </w:pPr>
            <w:r>
              <w:rPr>
                <w:rFonts w:ascii="Arial" w:cs="Arial" w:eastAsia="Arial" w:hAnsi="Arial"/>
                <w:sz w:val="16"/>
                <w:szCs w:val="16"/>
                <w:color w:val="auto"/>
              </w:rPr>
              <w:t>Polk &amp; Co.).</w:t>
            </w:r>
          </w:p>
        </w:tc>
        <w:tc>
          <w:tcPr>
            <w:tcW w:w="0" w:type="dxa"/>
            <w:vAlign w:val="bottom"/>
          </w:tcPr>
          <w:p>
            <w:pPr>
              <w:spacing w:after="0"/>
              <w:rPr>
                <w:sz w:val="1"/>
                <w:szCs w:val="1"/>
                <w:color w:val="auto"/>
              </w:rPr>
            </w:pPr>
          </w:p>
        </w:tc>
      </w:tr>
      <w:tr>
        <w:trPr>
          <w:trHeight w:val="97"/>
        </w:trPr>
        <w:tc>
          <w:tcPr>
            <w:tcW w:w="2760" w:type="dxa"/>
            <w:vAlign w:val="bottom"/>
            <w:tcBorders>
              <w:bottom w:val="single" w:sz="8" w:color="auto"/>
            </w:tcBorders>
            <w:shd w:val="clear" w:color="auto" w:fill="EDEDED"/>
          </w:tcPr>
          <w:p>
            <w:pPr>
              <w:spacing w:after="0"/>
              <w:rPr>
                <w:sz w:val="8"/>
                <w:szCs w:val="8"/>
                <w:color w:val="auto"/>
              </w:rPr>
            </w:pPr>
          </w:p>
        </w:tc>
        <w:tc>
          <w:tcPr>
            <w:tcW w:w="540" w:type="dxa"/>
            <w:vAlign w:val="bottom"/>
            <w:tcBorders>
              <w:bottom w:val="single" w:sz="8" w:color="auto"/>
            </w:tcBorders>
            <w:shd w:val="clear" w:color="auto" w:fill="EDEDED"/>
          </w:tcPr>
          <w:p>
            <w:pPr>
              <w:spacing w:after="0"/>
              <w:rPr>
                <w:sz w:val="8"/>
                <w:szCs w:val="8"/>
                <w:color w:val="auto"/>
              </w:rPr>
            </w:pPr>
          </w:p>
        </w:tc>
        <w:tc>
          <w:tcPr>
            <w:tcW w:w="6980" w:type="dxa"/>
            <w:vAlign w:val="bottom"/>
            <w:tcBorders>
              <w:bottom w:val="single" w:sz="8" w:color="auto"/>
            </w:tcBorders>
            <w:shd w:val="clear" w:color="auto" w:fill="EDEDED"/>
          </w:tcPr>
          <w:p>
            <w:pPr>
              <w:spacing w:after="0"/>
              <w:rPr>
                <w:sz w:val="8"/>
                <w:szCs w:val="8"/>
                <w:color w:val="auto"/>
              </w:rPr>
            </w:pPr>
          </w:p>
        </w:tc>
        <w:tc>
          <w:tcPr>
            <w:tcW w:w="20" w:type="dxa"/>
            <w:vAlign w:val="bottom"/>
            <w:tcBorders>
              <w:bottom w:val="single" w:sz="8" w:color="auto"/>
            </w:tcBorders>
            <w:shd w:val="clear" w:color="auto" w:fill="EDEDED"/>
          </w:tcPr>
          <w:p>
            <w:pPr>
              <w:spacing w:after="0"/>
              <w:rPr>
                <w:sz w:val="8"/>
                <w:szCs w:val="8"/>
                <w:color w:val="auto"/>
              </w:rPr>
            </w:pPr>
          </w:p>
        </w:tc>
        <w:tc>
          <w:tcPr>
            <w:tcW w:w="720" w:type="dxa"/>
            <w:vAlign w:val="bottom"/>
            <w:tcBorders>
              <w:bottom w:val="single" w:sz="8" w:color="auto"/>
            </w:tcBorders>
            <w:shd w:val="clear" w:color="auto" w:fill="EDEDED"/>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9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257"/>
        </w:trPr>
        <w:tc>
          <w:tcPr>
            <w:tcW w:w="2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98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07"/>
        </w:trPr>
        <w:tc>
          <w:tcPr>
            <w:tcW w:w="2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98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-1071245</wp:posOffset>
            </wp:positionV>
            <wp:extent cx="385445" cy="3860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85445" cy="38608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-230505</wp:posOffset>
            </wp:positionV>
            <wp:extent cx="411480" cy="1968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Corporate Governance</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 Governance and Oversight</w:t>
      </w:r>
    </w:p>
    <w:p>
      <w:pPr>
        <w:spacing w:after="0" w:line="112"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color w:val="auto"/>
        </w:rPr>
        <w:t>Risk is inherent in business, and while management is responsible for managing risk, the Board’s oversight, assessment, and decisions regarding risks occur in conjunction with the other activities of the Board and its committees.</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Risk Governance and Oversight Responsibilities</w:t>
      </w:r>
    </w:p>
    <w:p>
      <w:pPr>
        <w:spacing w:after="0" w:line="25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00AF41"/>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-95885</wp:posOffset>
            </wp:positionV>
            <wp:extent cx="6995160" cy="1117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111760"/>
                    </a:xfrm>
                    <a:prstGeom prst="rect">
                      <a:avLst/>
                    </a:prstGeom>
                    <a:noFill/>
                  </pic:spPr>
                </pic:pic>
              </a:graphicData>
            </a:graphic>
          </wp:anchor>
        </w:drawing>
      </w:r>
    </w:p>
    <w:p>
      <w:pPr>
        <w:spacing w:after="0" w:line="111" w:lineRule="exact"/>
        <w:rPr>
          <w:sz w:val="20"/>
          <w:szCs w:val="20"/>
          <w:color w:val="auto"/>
        </w:rPr>
      </w:pPr>
    </w:p>
    <w:p>
      <w:pPr>
        <w:ind w:left="240" w:right="120"/>
        <w:spacing w:after="0" w:line="256" w:lineRule="auto"/>
        <w:rPr>
          <w:sz w:val="20"/>
          <w:szCs w:val="20"/>
          <w:color w:val="auto"/>
        </w:rPr>
      </w:pPr>
      <w:r>
        <w:rPr>
          <w:rFonts w:ascii="Arial" w:cs="Arial" w:eastAsia="Arial" w:hAnsi="Arial"/>
          <w:sz w:val="16"/>
          <w:szCs w:val="16"/>
          <w:color w:val="auto"/>
        </w:rPr>
        <w:t>Oversees consideration of strategic issues and risks to the Company as well as management’s actions to address and mitigate those risks. The Board is kept apprised of its committees’ risk oversight activities through reports from the committee chairs presented at regular Board meetings. These reports and Board attention focus on risk management strategy and risks of greatest significance and seek to ensure that risks assumed by the Company are consistent with the Company’s risk tolerance and risk appetite. Risk oversight is also addressed as part of the full Board’s regular oversight of strategic planning.</w:t>
      </w:r>
    </w:p>
    <w:p>
      <w:pPr>
        <w:sectPr>
          <w:pgSz w:w="11900" w:h="16838" w:orient="portrait"/>
          <w:cols w:equalWidth="0" w:num="1">
            <w:col w:w="11100"/>
          </w:cols>
          <w:pgMar w:left="320" w:top="482" w:right="479" w:bottom="1440" w:gutter="0" w:footer="0" w:header="0"/>
        </w:sectPr>
      </w:pPr>
    </w:p>
    <w:p>
      <w:pPr>
        <w:spacing w:after="0" w:line="387" w:lineRule="exact"/>
        <w:rPr>
          <w:sz w:val="20"/>
          <w:szCs w:val="20"/>
          <w:color w:val="auto"/>
        </w:rPr>
      </w:pPr>
    </w:p>
    <w:p>
      <w:pPr>
        <w:jc w:val="center"/>
        <w:ind w:left="180"/>
        <w:spacing w:after="0"/>
        <w:rPr>
          <w:sz w:val="20"/>
          <w:szCs w:val="20"/>
          <w:color w:val="auto"/>
        </w:rPr>
      </w:pPr>
      <w:r>
        <w:rPr>
          <w:rFonts w:ascii="Arial" w:cs="Arial" w:eastAsia="Arial" w:hAnsi="Arial"/>
          <w:sz w:val="14"/>
          <w:szCs w:val="14"/>
          <w:color w:val="00AF41"/>
        </w:rPr>
        <w:t>Audit Committee</w:t>
      </w:r>
    </w:p>
    <w:p>
      <w:pPr>
        <w:spacing w:after="0" w:line="29" w:lineRule="exact"/>
        <w:rPr>
          <w:sz w:val="20"/>
          <w:szCs w:val="20"/>
          <w:color w:val="auto"/>
        </w:rPr>
      </w:pPr>
    </w:p>
    <w:p>
      <w:pPr>
        <w:ind w:left="520" w:right="20" w:hanging="242"/>
        <w:spacing w:after="0" w:line="250" w:lineRule="auto"/>
        <w:rPr>
          <w:sz w:val="20"/>
          <w:szCs w:val="20"/>
          <w:color w:val="auto"/>
        </w:rPr>
      </w:pPr>
      <w:r>
        <w:rPr>
          <w:rFonts w:ascii="Arial" w:cs="Arial" w:eastAsia="Arial" w:hAnsi="Arial"/>
          <w:sz w:val="16"/>
          <w:szCs w:val="16"/>
          <w:color w:val="auto"/>
        </w:rPr>
        <w:t>•   Plays a key role in the Board’s risk oversight process, particularly with respect to risks that could have a financial impact, such as financial reporting and disclosure, accounting practices, internal controls, conflicts of interest, compliance with legal and regulatory requirements, and cybersecurity, and assess the steps and processes management has implemented to monitor and control such exposure</w:t>
      </w:r>
    </w:p>
    <w:p>
      <w:pPr>
        <w:spacing w:after="0" w:line="48" w:lineRule="exact"/>
        <w:rPr>
          <w:sz w:val="20"/>
          <w:szCs w:val="20"/>
          <w:color w:val="auto"/>
        </w:rPr>
      </w:pPr>
    </w:p>
    <w:p>
      <w:pPr>
        <w:ind w:left="520" w:right="100" w:hanging="242"/>
        <w:spacing w:after="0" w:line="259" w:lineRule="auto"/>
        <w:rPr>
          <w:sz w:val="20"/>
          <w:szCs w:val="20"/>
          <w:color w:val="auto"/>
        </w:rPr>
      </w:pPr>
      <w:r>
        <w:rPr>
          <w:rFonts w:ascii="Arial" w:cs="Arial" w:eastAsia="Arial" w:hAnsi="Arial"/>
          <w:sz w:val="16"/>
          <w:szCs w:val="16"/>
          <w:color w:val="auto"/>
        </w:rPr>
        <w:t>•   Oversees the Company’s overall risk management governance structure, risk assessment, and enterprise risk management processes</w:t>
      </w:r>
    </w:p>
    <w:p>
      <w:pPr>
        <w:spacing w:after="0" w:line="43" w:lineRule="exact"/>
        <w:rPr>
          <w:sz w:val="20"/>
          <w:szCs w:val="20"/>
          <w:color w:val="auto"/>
        </w:rPr>
      </w:pPr>
    </w:p>
    <w:p>
      <w:pPr>
        <w:ind w:left="520" w:right="260" w:hanging="242"/>
        <w:spacing w:after="0" w:line="259" w:lineRule="auto"/>
        <w:rPr>
          <w:sz w:val="20"/>
          <w:szCs w:val="20"/>
          <w:color w:val="auto"/>
        </w:rPr>
      </w:pPr>
      <w:r>
        <w:rPr>
          <w:rFonts w:ascii="Arial" w:cs="Arial" w:eastAsia="Arial" w:hAnsi="Arial"/>
          <w:sz w:val="16"/>
          <w:szCs w:val="16"/>
          <w:color w:val="auto"/>
        </w:rPr>
        <w:t>•   Oversees risks associated with information technology security, cybersecurity, and data privacy, and breach preparedness and response plans</w:t>
      </w:r>
    </w:p>
    <w:p>
      <w:pPr>
        <w:spacing w:after="0" w:line="43" w:lineRule="exact"/>
        <w:rPr>
          <w:sz w:val="20"/>
          <w:szCs w:val="20"/>
          <w:color w:val="auto"/>
        </w:rPr>
      </w:pPr>
    </w:p>
    <w:p>
      <w:pPr>
        <w:ind w:left="520" w:hanging="242"/>
        <w:spacing w:after="0" w:line="266" w:lineRule="auto"/>
        <w:rPr>
          <w:sz w:val="20"/>
          <w:szCs w:val="20"/>
          <w:color w:val="auto"/>
        </w:rPr>
      </w:pPr>
      <w:r>
        <w:rPr>
          <w:rFonts w:ascii="Arial" w:cs="Arial" w:eastAsia="Arial" w:hAnsi="Arial"/>
          <w:sz w:val="16"/>
          <w:szCs w:val="16"/>
          <w:color w:val="auto"/>
        </w:rPr>
        <w:t>•   Reviews all quarterly and annual reports, including any disclosure of risk factors affecting the business</w:t>
      </w:r>
    </w:p>
    <w:p>
      <w:pPr>
        <w:spacing w:after="0" w:line="36" w:lineRule="exact"/>
        <w:rPr>
          <w:sz w:val="20"/>
          <w:szCs w:val="20"/>
          <w:color w:val="auto"/>
        </w:rPr>
      </w:pPr>
    </w:p>
    <w:p>
      <w:pPr>
        <w:ind w:left="520" w:right="160" w:hanging="242"/>
        <w:spacing w:after="0" w:line="266" w:lineRule="auto"/>
        <w:rPr>
          <w:sz w:val="20"/>
          <w:szCs w:val="20"/>
          <w:color w:val="auto"/>
        </w:rPr>
      </w:pPr>
      <w:r>
        <w:rPr>
          <w:rFonts w:ascii="Arial" w:cs="Arial" w:eastAsia="Arial" w:hAnsi="Arial"/>
          <w:sz w:val="16"/>
          <w:szCs w:val="16"/>
          <w:color w:val="auto"/>
        </w:rPr>
        <w:t>•   Oversees the performance of the Company’s Internal Audit function including Chief Audit Executive (“CAE”)</w:t>
      </w:r>
    </w:p>
    <w:p>
      <w:pPr>
        <w:spacing w:after="0" w:line="36" w:lineRule="exact"/>
        <w:rPr>
          <w:sz w:val="20"/>
          <w:szCs w:val="20"/>
          <w:color w:val="auto"/>
        </w:rPr>
      </w:pPr>
    </w:p>
    <w:p>
      <w:pPr>
        <w:ind w:left="520" w:right="80" w:hanging="242"/>
        <w:spacing w:after="0" w:line="286" w:lineRule="auto"/>
        <w:rPr>
          <w:sz w:val="20"/>
          <w:szCs w:val="20"/>
          <w:color w:val="auto"/>
        </w:rPr>
      </w:pPr>
      <w:r>
        <w:rPr>
          <w:rFonts w:ascii="Arial" w:cs="Arial" w:eastAsia="Arial" w:hAnsi="Arial"/>
          <w:sz w:val="16"/>
          <w:szCs w:val="16"/>
          <w:color w:val="auto"/>
        </w:rPr>
        <w:t>•   Reviews and approves Internal Audit’s budget and resource plan</w:t>
      </w:r>
    </w:p>
    <w:p>
      <w:pPr>
        <w:spacing w:after="0" w:line="21" w:lineRule="exact"/>
        <w:rPr>
          <w:sz w:val="20"/>
          <w:szCs w:val="20"/>
          <w:color w:val="auto"/>
        </w:rPr>
      </w:pPr>
    </w:p>
    <w:p>
      <w:pPr>
        <w:jc w:val="both"/>
        <w:ind w:left="520" w:right="120" w:hanging="242"/>
        <w:spacing w:after="0" w:line="266" w:lineRule="auto"/>
        <w:rPr>
          <w:sz w:val="20"/>
          <w:szCs w:val="20"/>
          <w:color w:val="auto"/>
        </w:rPr>
      </w:pPr>
      <w:r>
        <w:rPr>
          <w:rFonts w:ascii="Arial" w:cs="Arial" w:eastAsia="Arial" w:hAnsi="Arial"/>
          <w:sz w:val="16"/>
          <w:szCs w:val="16"/>
          <w:color w:val="auto"/>
        </w:rPr>
        <w:t>•   Monitors the qualifications, performance, and independence of the Company’s independent auditors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00AF41"/>
        </w:rPr>
        <w:t>Compensation and Talent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-2618105</wp:posOffset>
            </wp:positionH>
            <wp:positionV relativeFrom="paragraph">
              <wp:posOffset>-95885</wp:posOffset>
            </wp:positionV>
            <wp:extent cx="6978015" cy="45262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78015" cy="4526280"/>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14"/>
          <w:szCs w:val="14"/>
          <w:color w:val="00AF41"/>
        </w:rPr>
        <w:t>Committee</w:t>
      </w:r>
    </w:p>
    <w:p>
      <w:pPr>
        <w:spacing w:after="0" w:line="15" w:lineRule="exact"/>
        <w:rPr>
          <w:sz w:val="20"/>
          <w:szCs w:val="20"/>
          <w:color w:val="auto"/>
        </w:rPr>
      </w:pPr>
    </w:p>
    <w:p>
      <w:pPr>
        <w:ind w:left="240" w:right="20" w:hanging="242"/>
        <w:spacing w:after="0" w:line="257" w:lineRule="auto"/>
        <w:rPr>
          <w:sz w:val="20"/>
          <w:szCs w:val="20"/>
          <w:color w:val="auto"/>
        </w:rPr>
      </w:pPr>
      <w:r>
        <w:rPr>
          <w:rFonts w:ascii="Arial" w:cs="Arial" w:eastAsia="Arial" w:hAnsi="Arial"/>
          <w:sz w:val="16"/>
          <w:szCs w:val="16"/>
          <w:color w:val="auto"/>
        </w:rPr>
        <w:t>•   Oversees our compensation plans, policies, and practices to ensure alignment with our Executive Compensation Risk Assessment Framework</w:t>
      </w:r>
    </w:p>
    <w:p>
      <w:pPr>
        <w:spacing w:after="0" w:line="43" w:lineRule="exact"/>
        <w:rPr>
          <w:sz w:val="20"/>
          <w:szCs w:val="20"/>
          <w:color w:val="auto"/>
        </w:rPr>
      </w:pPr>
    </w:p>
    <w:p>
      <w:pPr>
        <w:ind w:left="240" w:right="40" w:hanging="242"/>
        <w:spacing w:after="0" w:line="254" w:lineRule="auto"/>
        <w:rPr>
          <w:sz w:val="20"/>
          <w:szCs w:val="20"/>
          <w:color w:val="auto"/>
        </w:rPr>
      </w:pPr>
      <w:r>
        <w:rPr>
          <w:rFonts w:ascii="Arial" w:cs="Arial" w:eastAsia="Arial" w:hAnsi="Arial"/>
          <w:sz w:val="16"/>
          <w:szCs w:val="16"/>
          <w:color w:val="auto"/>
        </w:rPr>
        <w:t>•   Reviews the Company’s compensation program risk assessment for employee compensation programs and reports to the Board any compensation program that is reasonably likely to have a material adverse effect on the Company</w:t>
      </w:r>
    </w:p>
    <w:p>
      <w:pPr>
        <w:spacing w:after="0" w:line="47" w:lineRule="exact"/>
        <w:rPr>
          <w:sz w:val="20"/>
          <w:szCs w:val="20"/>
          <w:color w:val="auto"/>
        </w:rPr>
      </w:pPr>
    </w:p>
    <w:p>
      <w:pPr>
        <w:ind w:left="240" w:right="120" w:hanging="242"/>
        <w:spacing w:after="0" w:line="254" w:lineRule="auto"/>
        <w:rPr>
          <w:sz w:val="20"/>
          <w:szCs w:val="20"/>
          <w:color w:val="auto"/>
        </w:rPr>
      </w:pPr>
      <w:r>
        <w:rPr>
          <w:rFonts w:ascii="Arial" w:cs="Arial" w:eastAsia="Arial" w:hAnsi="Arial"/>
          <w:sz w:val="16"/>
          <w:szCs w:val="16"/>
          <w:color w:val="auto"/>
        </w:rPr>
        <w:t>•   Together with the Committee’s independent consultant, provides input to management regarding their annual assessment of potential risks created by our compensation plans, policies, and practices</w:t>
      </w:r>
    </w:p>
    <w:p>
      <w:pPr>
        <w:spacing w:after="0" w:line="47" w:lineRule="exact"/>
        <w:rPr>
          <w:sz w:val="20"/>
          <w:szCs w:val="20"/>
          <w:color w:val="auto"/>
        </w:rPr>
      </w:pPr>
    </w:p>
    <w:p>
      <w:pPr>
        <w:ind w:left="240" w:hanging="242"/>
        <w:spacing w:after="0" w:line="253" w:lineRule="auto"/>
        <w:rPr>
          <w:sz w:val="20"/>
          <w:szCs w:val="20"/>
          <w:color w:val="auto"/>
        </w:rPr>
      </w:pPr>
      <w:r>
        <w:rPr>
          <w:rFonts w:ascii="Arial" w:cs="Arial" w:eastAsia="Arial" w:hAnsi="Arial"/>
          <w:sz w:val="16"/>
          <w:szCs w:val="16"/>
          <w:color w:val="auto"/>
        </w:rPr>
        <w:t>•   Sets performance goals under our annual and long-term incentive plans that provide an appropriate balance between the achievement of short- and long-term performance objectives, with emphasis on managing the sustainability of the business and mitigation of risk</w:t>
      </w:r>
    </w:p>
    <w:p>
      <w:pPr>
        <w:spacing w:after="0" w:line="46" w:lineRule="exact"/>
        <w:rPr>
          <w:sz w:val="20"/>
          <w:szCs w:val="20"/>
          <w:color w:val="auto"/>
        </w:rPr>
      </w:pPr>
    </w:p>
    <w:p>
      <w:pPr>
        <w:ind w:left="240" w:right="240" w:hanging="242"/>
        <w:spacing w:after="0" w:line="286" w:lineRule="auto"/>
        <w:rPr>
          <w:sz w:val="20"/>
          <w:szCs w:val="20"/>
          <w:color w:val="auto"/>
        </w:rPr>
      </w:pPr>
      <w:r>
        <w:rPr>
          <w:rFonts w:ascii="Arial" w:cs="Arial" w:eastAsia="Arial" w:hAnsi="Arial"/>
          <w:sz w:val="16"/>
          <w:szCs w:val="16"/>
          <w:color w:val="auto"/>
        </w:rPr>
        <w:t>•   Manages risk associated with CEO and senior officer succession planning</w:t>
      </w:r>
    </w:p>
    <w:p>
      <w:pPr>
        <w:spacing w:after="0" w:line="21" w:lineRule="exact"/>
        <w:rPr>
          <w:sz w:val="20"/>
          <w:szCs w:val="20"/>
          <w:color w:val="auto"/>
        </w:rPr>
      </w:pPr>
    </w:p>
    <w:p>
      <w:pPr>
        <w:ind w:left="240" w:right="120" w:hanging="242"/>
        <w:spacing w:after="0" w:line="286" w:lineRule="auto"/>
        <w:rPr>
          <w:sz w:val="20"/>
          <w:szCs w:val="20"/>
          <w:color w:val="auto"/>
        </w:rPr>
      </w:pPr>
      <w:r>
        <w:rPr>
          <w:rFonts w:ascii="Arial" w:cs="Arial" w:eastAsia="Arial" w:hAnsi="Arial"/>
          <w:sz w:val="16"/>
          <w:szCs w:val="16"/>
          <w:color w:val="auto"/>
        </w:rPr>
        <w:t>•   Oversees management of risks related to the Company’s human capital</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•    Oversees the Company’s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-2618105</wp:posOffset>
            </wp:positionH>
            <wp:positionV relativeFrom="paragraph">
              <wp:posOffset>654050</wp:posOffset>
            </wp:positionV>
            <wp:extent cx="697801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78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00AF41"/>
        </w:rPr>
        <w:t>Corporate Governance and Nominating</w:t>
      </w:r>
    </w:p>
    <w:p>
      <w:pPr>
        <w:spacing w:after="0" w:line="15" w:lineRule="exact"/>
        <w:rPr>
          <w:sz w:val="20"/>
          <w:szCs w:val="20"/>
          <w:color w:val="auto"/>
        </w:rPr>
      </w:pPr>
    </w:p>
    <w:p>
      <w:pPr>
        <w:jc w:val="center"/>
        <w:ind w:right="160"/>
        <w:spacing w:after="0"/>
        <w:rPr>
          <w:sz w:val="20"/>
          <w:szCs w:val="20"/>
          <w:color w:val="auto"/>
        </w:rPr>
      </w:pPr>
      <w:r>
        <w:rPr>
          <w:rFonts w:ascii="Arial" w:cs="Arial" w:eastAsia="Arial" w:hAnsi="Arial"/>
          <w:sz w:val="14"/>
          <w:szCs w:val="14"/>
          <w:color w:val="00AF41"/>
        </w:rPr>
        <w:t>Committee</w:t>
      </w:r>
    </w:p>
    <w:p>
      <w:pPr>
        <w:spacing w:after="0" w:line="15" w:lineRule="exact"/>
        <w:rPr>
          <w:sz w:val="20"/>
          <w:szCs w:val="20"/>
          <w:color w:val="auto"/>
        </w:rPr>
      </w:pPr>
    </w:p>
    <w:p>
      <w:pPr>
        <w:ind w:left="240" w:right="40" w:hanging="242"/>
        <w:spacing w:after="0" w:line="251" w:lineRule="auto"/>
        <w:rPr>
          <w:sz w:val="20"/>
          <w:szCs w:val="20"/>
          <w:color w:val="auto"/>
        </w:rPr>
      </w:pPr>
      <w:r>
        <w:rPr>
          <w:rFonts w:ascii="Arial" w:cs="Arial" w:eastAsia="Arial" w:hAnsi="Arial"/>
          <w:sz w:val="16"/>
          <w:szCs w:val="16"/>
          <w:color w:val="auto"/>
        </w:rPr>
        <w:t>•   Manages risk associated with governance issues, such as the independence of the Board and its committees, Board and committee effectiveness and organization, corporate governance, and director succession planning</w:t>
      </w:r>
    </w:p>
    <w:p>
      <w:pPr>
        <w:spacing w:after="0" w:line="51" w:lineRule="exact"/>
        <w:rPr>
          <w:sz w:val="20"/>
          <w:szCs w:val="20"/>
          <w:color w:val="auto"/>
        </w:rPr>
      </w:pPr>
    </w:p>
    <w:p>
      <w:pPr>
        <w:ind w:left="240" w:right="220" w:hanging="242"/>
        <w:spacing w:after="0" w:line="253" w:lineRule="auto"/>
        <w:rPr>
          <w:sz w:val="20"/>
          <w:szCs w:val="20"/>
          <w:color w:val="auto"/>
        </w:rPr>
      </w:pPr>
      <w:r>
        <w:rPr>
          <w:rFonts w:ascii="Arial" w:cs="Arial" w:eastAsia="Arial" w:hAnsi="Arial"/>
          <w:sz w:val="16"/>
          <w:szCs w:val="16"/>
          <w:color w:val="auto"/>
        </w:rPr>
        <w:t>•   Maintains Corporate Governance Principles and procedures designed to assure compliance with all applicable legal and regulatory requirements and governance standards and the Company’s Code of Business Conduct and Ethics and Insider Trading Policy</w:t>
      </w:r>
    </w:p>
    <w:p>
      <w:pPr>
        <w:spacing w:after="0" w:line="46" w:lineRule="exact"/>
        <w:rPr>
          <w:sz w:val="20"/>
          <w:szCs w:val="20"/>
          <w:color w:val="auto"/>
        </w:rPr>
      </w:pPr>
    </w:p>
    <w:p>
      <w:pPr>
        <w:ind w:left="240" w:right="20" w:hanging="242"/>
        <w:spacing w:after="0" w:line="256" w:lineRule="auto"/>
        <w:rPr>
          <w:sz w:val="20"/>
          <w:szCs w:val="20"/>
          <w:color w:val="auto"/>
        </w:rPr>
      </w:pPr>
      <w:r>
        <w:rPr>
          <w:rFonts w:ascii="Arial" w:cs="Arial" w:eastAsia="Arial" w:hAnsi="Arial"/>
          <w:sz w:val="16"/>
          <w:szCs w:val="16"/>
          <w:color w:val="auto"/>
        </w:rPr>
        <w:t>•   Annually reviews the Company’s ESG Strategy, initiatives and policies related to sustainability and corporate responsibility and monitors associated risk (including reputational)</w:t>
      </w:r>
    </w:p>
    <w:p>
      <w:pPr>
        <w:spacing w:after="0" w:line="45" w:lineRule="exact"/>
        <w:rPr>
          <w:sz w:val="20"/>
          <w:szCs w:val="20"/>
          <w:color w:val="auto"/>
        </w:rPr>
      </w:pPr>
    </w:p>
    <w:p>
      <w:pPr>
        <w:ind w:left="240" w:right="100" w:hanging="242"/>
        <w:spacing w:after="0" w:line="253" w:lineRule="auto"/>
        <w:rPr>
          <w:sz w:val="20"/>
          <w:szCs w:val="20"/>
          <w:color w:val="auto"/>
        </w:rPr>
      </w:pPr>
      <w:r>
        <w:rPr>
          <w:rFonts w:ascii="Arial" w:cs="Arial" w:eastAsia="Arial" w:hAnsi="Arial"/>
          <w:sz w:val="16"/>
          <w:szCs w:val="16"/>
          <w:color w:val="auto"/>
        </w:rPr>
        <w:t>•   Reviews the skills and experience of the Board and its committees on a regular basis, and as needed for potential candidates to serve on the Board, to ensure the diversity and relevant experience necessary for an effective Board</w:t>
      </w:r>
    </w:p>
    <w:p>
      <w:pPr>
        <w:spacing w:after="0" w:line="46" w:lineRule="exact"/>
        <w:rPr>
          <w:sz w:val="20"/>
          <w:szCs w:val="20"/>
          <w:color w:val="auto"/>
        </w:rPr>
      </w:pPr>
    </w:p>
    <w:p>
      <w:pPr>
        <w:ind w:left="240" w:right="420" w:hanging="242"/>
        <w:spacing w:after="0" w:line="286" w:lineRule="auto"/>
        <w:rPr>
          <w:sz w:val="20"/>
          <w:szCs w:val="20"/>
          <w:color w:val="auto"/>
        </w:rPr>
      </w:pPr>
      <w:r>
        <w:rPr>
          <w:rFonts w:ascii="Arial" w:cs="Arial" w:eastAsia="Arial" w:hAnsi="Arial"/>
          <w:sz w:val="16"/>
          <w:szCs w:val="16"/>
          <w:color w:val="auto"/>
        </w:rPr>
        <w:t>•   Oversees emergency succession planning for the CEO and Chairman</w:t>
      </w:r>
    </w:p>
    <w:p>
      <w:pPr>
        <w:spacing w:after="0" w:line="21" w:lineRule="exact"/>
        <w:rPr>
          <w:sz w:val="20"/>
          <w:szCs w:val="20"/>
          <w:color w:val="auto"/>
        </w:rPr>
      </w:pPr>
    </w:p>
    <w:p>
      <w:pPr>
        <w:ind w:left="240" w:hanging="242"/>
        <w:spacing w:after="0" w:line="256" w:lineRule="auto"/>
        <w:rPr>
          <w:sz w:val="20"/>
          <w:szCs w:val="20"/>
          <w:color w:val="auto"/>
        </w:rPr>
      </w:pPr>
      <w:r>
        <w:rPr>
          <w:rFonts w:ascii="Arial" w:cs="Arial" w:eastAsia="Arial" w:hAnsi="Arial"/>
          <w:sz w:val="16"/>
          <w:szCs w:val="16"/>
          <w:color w:val="auto"/>
        </w:rPr>
        <w:t>•   Oversees the orientation and education of directors to ensure clear understanding of their Board responsibilities and recommends continuing education programs, as appropriate.</w:t>
      </w:r>
    </w:p>
    <w:p>
      <w:pPr>
        <w:spacing w:after="0" w:line="200" w:lineRule="exact"/>
        <w:rPr>
          <w:sz w:val="20"/>
          <w:szCs w:val="20"/>
          <w:color w:val="auto"/>
        </w:rPr>
      </w:pPr>
    </w:p>
    <w:p>
      <w:pPr>
        <w:sectPr>
          <w:pgSz w:w="11900" w:h="16838" w:orient="portrait"/>
          <w:cols w:equalWidth="0" w:num="3">
            <w:col w:w="3900" w:space="340"/>
            <w:col w:w="3320" w:space="300"/>
            <w:col w:w="3240"/>
          </w:cols>
          <w:pgMar w:left="320" w:top="482" w:right="479" w:bottom="1440" w:gutter="0" w:footer="0" w:header="0"/>
          <w:type w:val="continuous"/>
        </w:sectPr>
      </w:pPr>
    </w:p>
    <w:p>
      <w:pPr>
        <w:spacing w:after="0" w:line="48" w:lineRule="exact"/>
        <w:rPr>
          <w:sz w:val="20"/>
          <w:szCs w:val="20"/>
          <w:color w:val="auto"/>
        </w:rPr>
      </w:pPr>
    </w:p>
    <w:p>
      <w:pPr>
        <w:ind w:left="180"/>
        <w:spacing w:after="0"/>
        <w:rPr>
          <w:sz w:val="20"/>
          <w:szCs w:val="20"/>
          <w:color w:val="auto"/>
        </w:rPr>
      </w:pPr>
      <w:r>
        <w:rPr>
          <w:rFonts w:ascii="Arial" w:cs="Arial" w:eastAsia="Arial" w:hAnsi="Arial"/>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-135890</wp:posOffset>
            </wp:positionV>
            <wp:extent cx="8255" cy="2311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-135890</wp:posOffset>
            </wp:positionV>
            <wp:extent cx="411480" cy="1968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00"/>
          </w:cols>
          <w:pgMar w:left="320" w:top="482" w:right="47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Corporate Governance</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00AF41"/>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-95885</wp:posOffset>
            </wp:positionV>
            <wp:extent cx="6995160" cy="1289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138" w:lineRule="exact"/>
        <w:rPr>
          <w:sz w:val="20"/>
          <w:szCs w:val="20"/>
          <w:color w:val="auto"/>
        </w:rPr>
      </w:pPr>
    </w:p>
    <w:p>
      <w:pPr>
        <w:ind w:left="260" w:right="20"/>
        <w:spacing w:after="0" w:line="252" w:lineRule="auto"/>
        <w:rPr>
          <w:sz w:val="20"/>
          <w:szCs w:val="20"/>
          <w:color w:val="auto"/>
        </w:rPr>
      </w:pPr>
      <w:r>
        <w:rPr>
          <w:rFonts w:ascii="Arial" w:cs="Arial" w:eastAsia="Arial" w:hAnsi="Arial"/>
          <w:sz w:val="16"/>
          <w:szCs w:val="16"/>
          <w:color w:val="auto"/>
        </w:rPr>
        <w:t>Management assesses and manages critical risks, including the execution of the Company’s Enterprise Risk Management (“ERM”) program. The Company’s risk-related departments and functions in collaboration with the Vice President and Chief Risk, Compliance, and Privacy Officer (“Chief Risk Officer”), are responsible for risk assessment and mitigation. The Chief Risk Officer reports directly to the Company’s Senior Vice President, General Counsel and Assistant Secretary (“General Counsel”). For ESG-related risk, the Company maintains the ESG Advisory Committee to oversee goals and progress toward achievement of goals as established by the ESG team. The ESG Advisory Committee meets monthly and includes the following members from cross-functional areas of the organization: the Company’s General Counsel, Chief Financial Officer, Chief People Officer, Chief Risk Officer, Corporate Secretary, Chief Diversity Officer, Chief Accounting Officer, Chief Audit Executive, and the Corporate Sustainability &amp; ESG Lead. The General Counsel reports results of the ESG Advisory Committee reviews to the Corporate Governance and Nominating Committee on a quarterly basis.</w:t>
      </w:r>
    </w:p>
    <w:p>
      <w:pPr>
        <w:spacing w:after="0" w:line="88" w:lineRule="exact"/>
        <w:rPr>
          <w:sz w:val="20"/>
          <w:szCs w:val="20"/>
          <w:color w:val="auto"/>
        </w:rPr>
      </w:pPr>
    </w:p>
    <w:p>
      <w:pPr>
        <w:ind w:left="260" w:right="620"/>
        <w:spacing w:after="0" w:line="286" w:lineRule="auto"/>
        <w:rPr>
          <w:sz w:val="20"/>
          <w:szCs w:val="20"/>
          <w:color w:val="auto"/>
        </w:rPr>
      </w:pPr>
      <w:r>
        <w:rPr>
          <w:rFonts w:ascii="Arial" w:cs="Arial" w:eastAsia="Arial" w:hAnsi="Arial"/>
          <w:sz w:val="16"/>
          <w:szCs w:val="16"/>
          <w:color w:val="auto"/>
        </w:rPr>
        <w:t>With respect to the risk assessment of the Company’s compensation programs, management is responsible for the framework and approach as outlined below under Risk Assessment of Employee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22225</wp:posOffset>
            </wp:positionV>
            <wp:extent cx="69951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Enterprise Risk Management Program</w:t>
      </w:r>
    </w:p>
    <w:p>
      <w:pPr>
        <w:spacing w:after="0" w:line="111"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The Company’s ERM program serves as the primary means of identifying and managing the Company’s key risks. The Company’s ERM team, among other activities, performs assessments of risks to the Company, participates in the development and execution of mitigation programs for critical risks, facilitates the corporate risk appetite and tolerance statement, oversees the privacy governance function, provides risk assessment and guidance related to cybersecurity, and assists in the integration of risk concepts within the Company’s strategic planning process and in alignment with the functional and business risk owners.</w:t>
      </w:r>
    </w:p>
    <w:p>
      <w:pPr>
        <w:spacing w:after="0" w:line="180" w:lineRule="exact"/>
        <w:rPr>
          <w:sz w:val="20"/>
          <w:szCs w:val="20"/>
          <w:color w:val="auto"/>
        </w:rPr>
      </w:pPr>
    </w:p>
    <w:p>
      <w:pPr>
        <w:ind w:left="120" w:right="180"/>
        <w:spacing w:after="0" w:line="256" w:lineRule="auto"/>
        <w:rPr>
          <w:sz w:val="20"/>
          <w:szCs w:val="20"/>
          <w:color w:val="auto"/>
        </w:rPr>
      </w:pPr>
      <w:r>
        <w:rPr>
          <w:rFonts w:ascii="Arial" w:cs="Arial" w:eastAsia="Arial" w:hAnsi="Arial"/>
          <w:sz w:val="16"/>
          <w:szCs w:val="16"/>
          <w:color w:val="auto"/>
        </w:rPr>
        <w:t>The ERM team reports its findings to the Audit Committee on a quarterly basis, providing both written reports and periodic in-person presentations. Its current activities remain focused on mitigation and oversight of specific risk exposures, analysis of the breadth and effectiveness of existing risk management practices, and maturation of measurement and monitoring practices concerning high-priority strategic and operational risks. Current areas of particular emphasis include cybersecurity, data privacy, strategic risk management, integration of risk appetite practices into the Company’s ongoing operations, wage-hour risk management, third-party risk management, and improvements to the Company’s compliance governance practices.</w:t>
      </w:r>
    </w:p>
    <w:p>
      <w:pPr>
        <w:spacing w:after="0" w:line="180"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The Company’s Information Technology and Internal Audit groups provide regular quarterly updates to the Audit Committee with respect to the Company’s proactive approach to cybersecurity and other compliance controls. Controls are reviewed for operational effectiveness and to provide reasonable assurance that: business risk is managed; data, corporate information, and other assets are safeguarded; business processing infrastructure and applications are maintained; and all risks are mitigated to the extent practicable. The Company’s ERM program provides ongoing risk identification, oversight, guidance, and mitigation in coordination with the Company’s Information Technology group. These teams coordinate on cybersecurity and privacy governance, which oversees the Company’s approach to information security, privacy, data governance, and IT infrastructure. This includes internal monitoring to proactively identify potential security threats, maintenance of access controls, asset management, response and recovery activities, and training and awareness programs. The company’s training program provides specialized training on a quarterly basis to employees and directors, including mandatory new hire cyber and privacy training, two focused cyber trainings per quarter, and monthly training exercises for identifying phishing attempts. Evaluation of these practices is reported to the Audit Committee on a quarterly basis, where the Audit Committee provides oversight on the Company’s management of cybersecurity risk.</w:t>
      </w:r>
    </w:p>
    <w:p>
      <w:pPr>
        <w:spacing w:after="0" w:line="187" w:lineRule="exact"/>
        <w:rPr>
          <w:sz w:val="20"/>
          <w:szCs w:val="20"/>
          <w:color w:val="auto"/>
        </w:rPr>
      </w:pPr>
    </w:p>
    <w:p>
      <w:pPr>
        <w:jc w:val="both"/>
        <w:ind w:left="120" w:right="560"/>
        <w:spacing w:after="0" w:line="266" w:lineRule="auto"/>
        <w:rPr>
          <w:sz w:val="20"/>
          <w:szCs w:val="20"/>
          <w:color w:val="auto"/>
        </w:rPr>
      </w:pPr>
      <w:r>
        <w:rPr>
          <w:rFonts w:ascii="Arial" w:cs="Arial" w:eastAsia="Arial" w:hAnsi="Arial"/>
          <w:sz w:val="16"/>
          <w:szCs w:val="16"/>
          <w:color w:val="auto"/>
        </w:rPr>
        <w:t>In addition to the reports submitted quarterly by the Company’s Chief Risk Officer, the Vice President of Internal Audit independently assesses the Company’s risk management process and separately reports on the effectiveness of the Company’s risk identification, prioritization, and mitigation processes to the Audit Committee.</w:t>
      </w:r>
    </w:p>
    <w:p>
      <w:pPr>
        <w:spacing w:after="0" w:line="91" w:lineRule="exact"/>
        <w:rPr>
          <w:sz w:val="20"/>
          <w:szCs w:val="20"/>
          <w:color w:val="auto"/>
        </w:rPr>
      </w:pPr>
    </w:p>
    <w:p>
      <w:pPr>
        <w:ind w:left="1082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7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-142875</wp:posOffset>
            </wp:positionV>
            <wp:extent cx="411480" cy="1968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Corporate Governance</w:t>
      </w:r>
    </w:p>
    <w:p>
      <w:pPr>
        <w:spacing w:after="0" w:line="143"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auto"/>
        </w:rPr>
        <w:t>Recently, the ERM team has played a key role in the Company’s response to various global crises, including the COVID-19 pandemic and the Russian invasion of Ukraine. During the COVID-19 pandemic, the Chief Risk Officer and other senior officers stayed in constant contact with the Board, providing updates on the COVID-19 situation and its impact on the Company at special and regularly planned meetings. During these discussions, the Board provided guidance and support for the Company’s initiatives to mitigate the risks presented by the pandemic and its impact on global markets. Likewise, as tensions increased in Eastern Europe in early 2022, the Chief Risk Officer and other senior officers discussed potential geopolitical scenarios and their impacts on cybersecurity, corporate operations, and global markets with the Board. The guidance, oversight, and support provided by the Board during these discussions served to enhance the risk mitigation techniques used by the Company upon the outbreak of conflict in the region.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140970</wp:posOffset>
            </wp:positionV>
            <wp:extent cx="6995160" cy="22288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222885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INFORMATION SECURITY AND BUSINESS CONTINUITY</w:t>
      </w:r>
    </w:p>
    <w:p>
      <w:pPr>
        <w:spacing w:after="0" w:line="185" w:lineRule="exact"/>
        <w:rPr>
          <w:sz w:val="20"/>
          <w:szCs w:val="20"/>
          <w:color w:val="auto"/>
        </w:rPr>
      </w:pPr>
    </w:p>
    <w:tbl>
      <w:tblPr>
        <w:tblLayout w:type="fixed"/>
        <w:tblInd w:w="154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Arial" w:cs="Arial" w:eastAsia="Arial" w:hAnsi="Arial"/>
                <w:sz w:val="14"/>
                <w:szCs w:val="14"/>
                <w:b w:val="1"/>
                <w:bCs w:val="1"/>
                <w:color w:val="auto"/>
              </w:rPr>
              <w:t>Emergency</w:t>
            </w:r>
          </w:p>
        </w:tc>
        <w:tc>
          <w:tcPr>
            <w:tcW w:w="4720" w:type="dxa"/>
            <w:vAlign w:val="bottom"/>
          </w:tcPr>
          <w:p>
            <w:pPr>
              <w:ind w:left="520"/>
              <w:spacing w:after="0"/>
              <w:rPr>
                <w:sz w:val="20"/>
                <w:szCs w:val="20"/>
                <w:color w:val="auto"/>
              </w:rPr>
            </w:pPr>
            <w:r>
              <w:rPr>
                <w:rFonts w:ascii="Arial" w:cs="Arial" w:eastAsia="Arial" w:hAnsi="Arial"/>
                <w:sz w:val="14"/>
                <w:szCs w:val="14"/>
                <w:b w:val="1"/>
                <w:bCs w:val="1"/>
                <w:color w:val="auto"/>
              </w:rPr>
              <w:t>Third Party Risk Management</w:t>
            </w:r>
          </w:p>
        </w:tc>
      </w:tr>
      <w:tr>
        <w:trPr>
          <w:trHeight w:val="207"/>
        </w:trPr>
        <w:tc>
          <w:tcPr>
            <w:tcW w:w="4880" w:type="dxa"/>
            <w:vAlign w:val="bottom"/>
          </w:tcPr>
          <w:p>
            <w:pPr>
              <w:spacing w:after="0"/>
              <w:rPr>
                <w:sz w:val="20"/>
                <w:szCs w:val="20"/>
                <w:color w:val="auto"/>
              </w:rPr>
            </w:pPr>
            <w:r>
              <w:rPr>
                <w:rFonts w:ascii="Arial" w:cs="Arial" w:eastAsia="Arial" w:hAnsi="Arial"/>
                <w:sz w:val="14"/>
                <w:szCs w:val="14"/>
                <w:b w:val="1"/>
                <w:bCs w:val="1"/>
                <w:color w:val="auto"/>
              </w:rPr>
              <w:t>Management Team</w:t>
            </w:r>
          </w:p>
        </w:tc>
        <w:tc>
          <w:tcPr>
            <w:tcW w:w="4720" w:type="dxa"/>
            <w:vAlign w:val="bottom"/>
          </w:tcPr>
          <w:p>
            <w:pPr>
              <w:ind w:left="520"/>
              <w:spacing w:after="0"/>
              <w:rPr>
                <w:sz w:val="20"/>
                <w:szCs w:val="20"/>
                <w:color w:val="auto"/>
              </w:rPr>
            </w:pPr>
            <w:r>
              <w:rPr>
                <w:rFonts w:ascii="Arial" w:cs="Arial" w:eastAsia="Arial" w:hAnsi="Arial"/>
                <w:sz w:val="13"/>
                <w:szCs w:val="13"/>
                <w:color w:val="auto"/>
              </w:rPr>
              <w:t>Critical engagements with vendors and partners are monitored for their</w:t>
            </w:r>
          </w:p>
        </w:tc>
      </w:tr>
      <w:tr>
        <w:trPr>
          <w:trHeight w:val="162"/>
        </w:trPr>
        <w:tc>
          <w:tcPr>
            <w:tcW w:w="4880" w:type="dxa"/>
            <w:vAlign w:val="bottom"/>
          </w:tcPr>
          <w:p>
            <w:pPr>
              <w:spacing w:after="0"/>
              <w:rPr>
                <w:sz w:val="20"/>
                <w:szCs w:val="20"/>
                <w:color w:val="auto"/>
              </w:rPr>
            </w:pPr>
            <w:r>
              <w:rPr>
                <w:rFonts w:ascii="Arial" w:cs="Arial" w:eastAsia="Arial" w:hAnsi="Arial"/>
                <w:sz w:val="13"/>
                <w:szCs w:val="13"/>
                <w:color w:val="auto"/>
              </w:rPr>
              <w:t>Global, interdepartmental group is empowered to quickly make strategic</w:t>
            </w:r>
          </w:p>
        </w:tc>
        <w:tc>
          <w:tcPr>
            <w:tcW w:w="4720" w:type="dxa"/>
            <w:vAlign w:val="bottom"/>
          </w:tcPr>
          <w:p>
            <w:pPr>
              <w:ind w:left="520"/>
              <w:spacing w:after="0"/>
              <w:rPr>
                <w:sz w:val="20"/>
                <w:szCs w:val="20"/>
                <w:color w:val="auto"/>
              </w:rPr>
            </w:pPr>
            <w:r>
              <w:rPr>
                <w:rFonts w:ascii="Arial" w:cs="Arial" w:eastAsia="Arial" w:hAnsi="Arial"/>
                <w:sz w:val="13"/>
                <w:szCs w:val="13"/>
                <w:color w:val="auto"/>
              </w:rPr>
              <w:t>cyber risk to reduce the potential for exposure from third parties.</w:t>
            </w:r>
          </w:p>
        </w:tc>
      </w:tr>
      <w:tr>
        <w:trPr>
          <w:trHeight w:val="166"/>
        </w:trPr>
        <w:tc>
          <w:tcPr>
            <w:tcW w:w="4880" w:type="dxa"/>
            <w:vAlign w:val="bottom"/>
          </w:tcPr>
          <w:p>
            <w:pPr>
              <w:spacing w:after="0"/>
              <w:rPr>
                <w:sz w:val="20"/>
                <w:szCs w:val="20"/>
                <w:color w:val="auto"/>
              </w:rPr>
            </w:pPr>
            <w:r>
              <w:rPr>
                <w:rFonts w:ascii="Arial" w:cs="Arial" w:eastAsia="Arial" w:hAnsi="Arial"/>
                <w:sz w:val="13"/>
                <w:szCs w:val="13"/>
                <w:color w:val="auto"/>
              </w:rPr>
              <w:t>decisions in response to critical events that affect our employees and facilities.</w:t>
            </w:r>
          </w:p>
        </w:tc>
        <w:tc>
          <w:tcPr>
            <w:tcW w:w="4720" w:type="dxa"/>
            <w:vAlign w:val="bottom"/>
          </w:tcPr>
          <w:p>
            <w:pPr>
              <w:spacing w:after="0"/>
              <w:rPr>
                <w:sz w:val="14"/>
                <w:szCs w:val="14"/>
                <w:color w:val="auto"/>
              </w:rPr>
            </w:pPr>
          </w:p>
        </w:tc>
      </w:tr>
      <w:tr>
        <w:trPr>
          <w:trHeight w:val="309"/>
        </w:trPr>
        <w:tc>
          <w:tcPr>
            <w:tcW w:w="4880" w:type="dxa"/>
            <w:vAlign w:val="bottom"/>
          </w:tcPr>
          <w:p>
            <w:pPr>
              <w:spacing w:after="0"/>
              <w:rPr>
                <w:sz w:val="20"/>
                <w:szCs w:val="20"/>
                <w:color w:val="auto"/>
              </w:rPr>
            </w:pPr>
            <w:r>
              <w:rPr>
                <w:rFonts w:ascii="Arial" w:cs="Arial" w:eastAsia="Arial" w:hAnsi="Arial"/>
                <w:sz w:val="14"/>
                <w:szCs w:val="14"/>
                <w:b w:val="1"/>
                <w:bCs w:val="1"/>
                <w:color w:val="auto"/>
              </w:rPr>
              <w:t>Business Continuity Plan Testing</w:t>
            </w:r>
          </w:p>
        </w:tc>
        <w:tc>
          <w:tcPr>
            <w:tcW w:w="4720" w:type="dxa"/>
            <w:vAlign w:val="bottom"/>
          </w:tcPr>
          <w:p>
            <w:pPr>
              <w:ind w:left="520"/>
              <w:spacing w:after="0"/>
              <w:rPr>
                <w:sz w:val="20"/>
                <w:szCs w:val="20"/>
                <w:color w:val="auto"/>
              </w:rPr>
            </w:pPr>
            <w:r>
              <w:rPr>
                <w:rFonts w:ascii="Arial" w:cs="Arial" w:eastAsia="Arial" w:hAnsi="Arial"/>
                <w:sz w:val="14"/>
                <w:szCs w:val="14"/>
                <w:b w:val="1"/>
                <w:bCs w:val="1"/>
                <w:color w:val="auto"/>
              </w:rPr>
              <w:t>Training and Awareness</w:t>
            </w:r>
          </w:p>
        </w:tc>
      </w:tr>
      <w:tr>
        <w:trPr>
          <w:trHeight w:val="173"/>
        </w:trPr>
        <w:tc>
          <w:tcPr>
            <w:tcW w:w="4880" w:type="dxa"/>
            <w:vAlign w:val="bottom"/>
          </w:tcPr>
          <w:p>
            <w:pPr>
              <w:spacing w:after="0"/>
              <w:rPr>
                <w:sz w:val="20"/>
                <w:szCs w:val="20"/>
                <w:color w:val="auto"/>
              </w:rPr>
            </w:pPr>
            <w:r>
              <w:rPr>
                <w:rFonts w:ascii="Arial" w:cs="Arial" w:eastAsia="Arial" w:hAnsi="Arial"/>
                <w:sz w:val="13"/>
                <w:szCs w:val="13"/>
                <w:color w:val="auto"/>
              </w:rPr>
              <w:t>Kelly’s Business Continuity and IT Disaster Recovery programs are tested at</w:t>
            </w:r>
          </w:p>
        </w:tc>
        <w:tc>
          <w:tcPr>
            <w:tcW w:w="4720" w:type="dxa"/>
            <w:vAlign w:val="bottom"/>
          </w:tcPr>
          <w:p>
            <w:pPr>
              <w:ind w:left="520"/>
              <w:spacing w:after="0"/>
              <w:rPr>
                <w:sz w:val="20"/>
                <w:szCs w:val="20"/>
                <w:color w:val="auto"/>
              </w:rPr>
            </w:pPr>
            <w:r>
              <w:rPr>
                <w:rFonts w:ascii="Arial" w:cs="Arial" w:eastAsia="Arial" w:hAnsi="Arial"/>
                <w:sz w:val="13"/>
                <w:szCs w:val="13"/>
                <w:color w:val="auto"/>
              </w:rPr>
              <w:t>Employees are trained on industry-specific cybersecurity threats and are</w:t>
            </w:r>
          </w:p>
        </w:tc>
      </w:tr>
      <w:tr>
        <w:trPr>
          <w:trHeight w:val="135"/>
        </w:trPr>
        <w:tc>
          <w:tcPr>
            <w:tcW w:w="4880" w:type="dxa"/>
            <w:vAlign w:val="bottom"/>
          </w:tcPr>
          <w:p>
            <w:pPr>
              <w:spacing w:after="0" w:line="135" w:lineRule="exact"/>
              <w:rPr>
                <w:sz w:val="20"/>
                <w:szCs w:val="20"/>
                <w:color w:val="auto"/>
              </w:rPr>
            </w:pPr>
            <w:r>
              <w:rPr>
                <w:rFonts w:ascii="Arial" w:cs="Arial" w:eastAsia="Arial" w:hAnsi="Arial"/>
                <w:sz w:val="13"/>
                <w:szCs w:val="13"/>
                <w:color w:val="auto"/>
              </w:rPr>
              <w:t>least annually. Most recently, the Business Continuity Plan and the Disaster</w:t>
            </w:r>
          </w:p>
        </w:tc>
        <w:tc>
          <w:tcPr>
            <w:tcW w:w="4720" w:type="dxa"/>
            <w:vAlign w:val="bottom"/>
          </w:tcPr>
          <w:p>
            <w:pPr>
              <w:ind w:left="520"/>
              <w:spacing w:after="0" w:line="135" w:lineRule="exact"/>
              <w:rPr>
                <w:sz w:val="20"/>
                <w:szCs w:val="20"/>
                <w:color w:val="auto"/>
              </w:rPr>
            </w:pPr>
            <w:r>
              <w:rPr>
                <w:rFonts w:ascii="Arial" w:cs="Arial" w:eastAsia="Arial" w:hAnsi="Arial"/>
                <w:sz w:val="13"/>
                <w:szCs w:val="13"/>
                <w:color w:val="auto"/>
              </w:rPr>
              <w:t>tested to identify common attack vectors, including business email</w:t>
            </w:r>
          </w:p>
        </w:tc>
      </w:tr>
      <w:tr>
        <w:trPr>
          <w:trHeight w:val="135"/>
        </w:trPr>
        <w:tc>
          <w:tcPr>
            <w:tcW w:w="4880" w:type="dxa"/>
            <w:vAlign w:val="bottom"/>
          </w:tcPr>
          <w:p>
            <w:pPr>
              <w:spacing w:after="0" w:line="135" w:lineRule="exact"/>
              <w:rPr>
                <w:sz w:val="20"/>
                <w:szCs w:val="20"/>
                <w:color w:val="auto"/>
              </w:rPr>
            </w:pPr>
            <w:r>
              <w:rPr>
                <w:rFonts w:ascii="Arial" w:cs="Arial" w:eastAsia="Arial" w:hAnsi="Arial"/>
                <w:sz w:val="13"/>
                <w:szCs w:val="13"/>
                <w:color w:val="auto"/>
              </w:rPr>
              <w:t>Recovery Plan were tested in August 2022. These plans have performed</w:t>
            </w:r>
          </w:p>
        </w:tc>
        <w:tc>
          <w:tcPr>
            <w:tcW w:w="4720" w:type="dxa"/>
            <w:vAlign w:val="bottom"/>
          </w:tcPr>
          <w:p>
            <w:pPr>
              <w:ind w:left="520"/>
              <w:spacing w:after="0" w:line="135" w:lineRule="exact"/>
              <w:rPr>
                <w:sz w:val="20"/>
                <w:szCs w:val="20"/>
                <w:color w:val="auto"/>
              </w:rPr>
            </w:pPr>
            <w:r>
              <w:rPr>
                <w:rFonts w:ascii="Arial" w:cs="Arial" w:eastAsia="Arial" w:hAnsi="Arial"/>
                <w:sz w:val="13"/>
                <w:szCs w:val="13"/>
                <w:color w:val="auto"/>
              </w:rPr>
              <w:t>compromise, domain spoofing, social engineering, and other phishing</w:t>
            </w:r>
          </w:p>
        </w:tc>
      </w:tr>
      <w:tr>
        <w:trPr>
          <w:trHeight w:val="166"/>
        </w:trPr>
        <w:tc>
          <w:tcPr>
            <w:tcW w:w="4880" w:type="dxa"/>
            <w:vAlign w:val="bottom"/>
          </w:tcPr>
          <w:p>
            <w:pPr>
              <w:spacing w:after="0"/>
              <w:rPr>
                <w:sz w:val="20"/>
                <w:szCs w:val="20"/>
                <w:color w:val="auto"/>
              </w:rPr>
            </w:pPr>
            <w:r>
              <w:rPr>
                <w:rFonts w:ascii="Arial" w:cs="Arial" w:eastAsia="Arial" w:hAnsi="Arial"/>
                <w:sz w:val="13"/>
                <w:szCs w:val="13"/>
                <w:color w:val="auto"/>
              </w:rPr>
              <w:t>successfully in both practice and real-world scenarios.</w:t>
            </w:r>
          </w:p>
        </w:tc>
        <w:tc>
          <w:tcPr>
            <w:tcW w:w="4720" w:type="dxa"/>
            <w:vAlign w:val="bottom"/>
          </w:tcPr>
          <w:p>
            <w:pPr>
              <w:ind w:left="520"/>
              <w:spacing w:after="0"/>
              <w:rPr>
                <w:sz w:val="20"/>
                <w:szCs w:val="20"/>
                <w:color w:val="auto"/>
              </w:rPr>
            </w:pPr>
            <w:r>
              <w:rPr>
                <w:rFonts w:ascii="Arial" w:cs="Arial" w:eastAsia="Arial" w:hAnsi="Arial"/>
                <w:sz w:val="13"/>
                <w:szCs w:val="13"/>
                <w:color w:val="auto"/>
              </w:rPr>
              <w:t>techniques.</w:t>
            </w:r>
          </w:p>
        </w:tc>
      </w:tr>
      <w:tr>
        <w:trPr>
          <w:trHeight w:val="309"/>
        </w:trPr>
        <w:tc>
          <w:tcPr>
            <w:tcW w:w="4880" w:type="dxa"/>
            <w:vAlign w:val="bottom"/>
          </w:tcPr>
          <w:p>
            <w:pPr>
              <w:spacing w:after="0"/>
              <w:rPr>
                <w:sz w:val="20"/>
                <w:szCs w:val="20"/>
                <w:color w:val="auto"/>
              </w:rPr>
            </w:pPr>
            <w:r>
              <w:rPr>
                <w:rFonts w:ascii="Arial" w:cs="Arial" w:eastAsia="Arial" w:hAnsi="Arial"/>
                <w:sz w:val="14"/>
                <w:szCs w:val="14"/>
                <w:b w:val="1"/>
                <w:bCs w:val="1"/>
                <w:color w:val="auto"/>
              </w:rPr>
              <w:t>Cyber Governance</w:t>
            </w:r>
          </w:p>
        </w:tc>
        <w:tc>
          <w:tcPr>
            <w:tcW w:w="4720" w:type="dxa"/>
            <w:vAlign w:val="bottom"/>
          </w:tcPr>
          <w:p>
            <w:pPr>
              <w:ind w:left="520"/>
              <w:spacing w:after="0"/>
              <w:rPr>
                <w:sz w:val="20"/>
                <w:szCs w:val="20"/>
                <w:color w:val="auto"/>
              </w:rPr>
            </w:pPr>
            <w:r>
              <w:rPr>
                <w:rFonts w:ascii="Arial" w:cs="Arial" w:eastAsia="Arial" w:hAnsi="Arial"/>
                <w:sz w:val="14"/>
                <w:szCs w:val="14"/>
                <w:b w:val="1"/>
                <w:bCs w:val="1"/>
                <w:color w:val="auto"/>
              </w:rPr>
              <w:t>External Assessments</w:t>
            </w:r>
          </w:p>
        </w:tc>
      </w:tr>
      <w:tr>
        <w:trPr>
          <w:trHeight w:val="173"/>
        </w:trPr>
        <w:tc>
          <w:tcPr>
            <w:tcW w:w="4880" w:type="dxa"/>
            <w:vAlign w:val="bottom"/>
          </w:tcPr>
          <w:p>
            <w:pPr>
              <w:spacing w:after="0"/>
              <w:rPr>
                <w:sz w:val="20"/>
                <w:szCs w:val="20"/>
                <w:color w:val="auto"/>
              </w:rPr>
            </w:pPr>
            <w:r>
              <w:rPr>
                <w:rFonts w:ascii="Arial" w:cs="Arial" w:eastAsia="Arial" w:hAnsi="Arial"/>
                <w:sz w:val="13"/>
                <w:szCs w:val="13"/>
                <w:color w:val="auto"/>
              </w:rPr>
              <w:t>Kelly uses external frameworks to assess the Company’s cybersecurity</w:t>
            </w:r>
          </w:p>
        </w:tc>
        <w:tc>
          <w:tcPr>
            <w:tcW w:w="4720" w:type="dxa"/>
            <w:vAlign w:val="bottom"/>
          </w:tcPr>
          <w:p>
            <w:pPr>
              <w:ind w:left="520"/>
              <w:spacing w:after="0"/>
              <w:rPr>
                <w:sz w:val="20"/>
                <w:szCs w:val="20"/>
                <w:color w:val="auto"/>
              </w:rPr>
            </w:pPr>
            <w:r>
              <w:rPr>
                <w:rFonts w:ascii="Arial" w:cs="Arial" w:eastAsia="Arial" w:hAnsi="Arial"/>
                <w:sz w:val="13"/>
                <w:szCs w:val="13"/>
                <w:color w:val="auto"/>
              </w:rPr>
              <w:t>Kelly has adopted the National Institute of Standards and Technology</w:t>
            </w:r>
          </w:p>
        </w:tc>
      </w:tr>
      <w:tr>
        <w:trPr>
          <w:trHeight w:val="135"/>
        </w:trPr>
        <w:tc>
          <w:tcPr>
            <w:tcW w:w="4880" w:type="dxa"/>
            <w:vAlign w:val="bottom"/>
          </w:tcPr>
          <w:p>
            <w:pPr>
              <w:spacing w:after="0" w:line="135" w:lineRule="exact"/>
              <w:rPr>
                <w:sz w:val="20"/>
                <w:szCs w:val="20"/>
                <w:color w:val="auto"/>
              </w:rPr>
            </w:pPr>
            <w:r>
              <w:rPr>
                <w:rFonts w:ascii="Arial" w:cs="Arial" w:eastAsia="Arial" w:hAnsi="Arial"/>
                <w:sz w:val="13"/>
                <w:szCs w:val="13"/>
                <w:color w:val="auto"/>
              </w:rPr>
              <w:t>maturity as well as internal governance structures to mitigate cybersecurity</w:t>
            </w:r>
          </w:p>
        </w:tc>
        <w:tc>
          <w:tcPr>
            <w:tcW w:w="4720" w:type="dxa"/>
            <w:vAlign w:val="bottom"/>
          </w:tcPr>
          <w:p>
            <w:pPr>
              <w:ind w:left="520"/>
              <w:spacing w:after="0" w:line="135" w:lineRule="exact"/>
              <w:rPr>
                <w:sz w:val="20"/>
                <w:szCs w:val="20"/>
                <w:color w:val="auto"/>
              </w:rPr>
            </w:pPr>
            <w:r>
              <w:rPr>
                <w:rFonts w:ascii="Arial" w:cs="Arial" w:eastAsia="Arial" w:hAnsi="Arial"/>
                <w:sz w:val="13"/>
                <w:szCs w:val="13"/>
                <w:color w:val="auto"/>
                <w:w w:val="97"/>
              </w:rPr>
              <w:t>Cybersecurity Framework, commonly referred to as NIST CSF, to measure</w:t>
            </w:r>
          </w:p>
        </w:tc>
      </w:tr>
      <w:tr>
        <w:trPr>
          <w:trHeight w:val="135"/>
        </w:trPr>
        <w:tc>
          <w:tcPr>
            <w:tcW w:w="4880" w:type="dxa"/>
            <w:vAlign w:val="bottom"/>
          </w:tcPr>
          <w:p>
            <w:pPr>
              <w:spacing w:after="0" w:line="135" w:lineRule="exact"/>
              <w:rPr>
                <w:sz w:val="20"/>
                <w:szCs w:val="20"/>
                <w:color w:val="auto"/>
              </w:rPr>
            </w:pPr>
            <w:r>
              <w:rPr>
                <w:rFonts w:ascii="Arial" w:cs="Arial" w:eastAsia="Arial" w:hAnsi="Arial"/>
                <w:sz w:val="13"/>
                <w:szCs w:val="13"/>
                <w:color w:val="auto"/>
              </w:rPr>
              <w:t>risks.</w:t>
            </w:r>
          </w:p>
        </w:tc>
        <w:tc>
          <w:tcPr>
            <w:tcW w:w="4720" w:type="dxa"/>
            <w:vAlign w:val="bottom"/>
          </w:tcPr>
          <w:p>
            <w:pPr>
              <w:ind w:left="520"/>
              <w:spacing w:after="0" w:line="135" w:lineRule="exact"/>
              <w:rPr>
                <w:sz w:val="20"/>
                <w:szCs w:val="20"/>
                <w:color w:val="auto"/>
              </w:rPr>
            </w:pPr>
            <w:r>
              <w:rPr>
                <w:rFonts w:ascii="Arial" w:cs="Arial" w:eastAsia="Arial" w:hAnsi="Arial"/>
                <w:sz w:val="13"/>
                <w:szCs w:val="13"/>
                <w:color w:val="auto"/>
              </w:rPr>
              <w:t>our cyber maturity and continuously strengthen our program. Kelly is</w:t>
            </w:r>
          </w:p>
        </w:tc>
      </w:tr>
      <w:tr>
        <w:trPr>
          <w:trHeight w:val="135"/>
        </w:trPr>
        <w:tc>
          <w:tcPr>
            <w:tcW w:w="4880" w:type="dxa"/>
            <w:vAlign w:val="bottom"/>
          </w:tcPr>
          <w:p>
            <w:pPr>
              <w:spacing w:after="0"/>
              <w:rPr>
                <w:sz w:val="11"/>
                <w:szCs w:val="11"/>
                <w:color w:val="auto"/>
              </w:rPr>
            </w:pPr>
          </w:p>
        </w:tc>
        <w:tc>
          <w:tcPr>
            <w:tcW w:w="4720" w:type="dxa"/>
            <w:vAlign w:val="bottom"/>
          </w:tcPr>
          <w:p>
            <w:pPr>
              <w:ind w:left="520"/>
              <w:spacing w:after="0" w:line="135" w:lineRule="exact"/>
              <w:rPr>
                <w:sz w:val="20"/>
                <w:szCs w:val="20"/>
                <w:color w:val="auto"/>
              </w:rPr>
            </w:pPr>
            <w:r>
              <w:rPr>
                <w:rFonts w:ascii="Arial" w:cs="Arial" w:eastAsia="Arial" w:hAnsi="Arial"/>
                <w:sz w:val="13"/>
                <w:szCs w:val="13"/>
                <w:color w:val="auto"/>
                <w:w w:val="96"/>
              </w:rPr>
              <w:t>assessed to NIST CSF by a third-party firm at least annually. Kelly has also</w:t>
            </w:r>
          </w:p>
        </w:tc>
      </w:tr>
      <w:tr>
        <w:trPr>
          <w:trHeight w:val="135"/>
        </w:trPr>
        <w:tc>
          <w:tcPr>
            <w:tcW w:w="4880" w:type="dxa"/>
            <w:vAlign w:val="bottom"/>
          </w:tcPr>
          <w:p>
            <w:pPr>
              <w:spacing w:after="0"/>
              <w:rPr>
                <w:sz w:val="11"/>
                <w:szCs w:val="11"/>
                <w:color w:val="auto"/>
              </w:rPr>
            </w:pPr>
          </w:p>
        </w:tc>
        <w:tc>
          <w:tcPr>
            <w:tcW w:w="4720" w:type="dxa"/>
            <w:vAlign w:val="bottom"/>
          </w:tcPr>
          <w:p>
            <w:pPr>
              <w:ind w:left="520"/>
              <w:spacing w:after="0" w:line="135" w:lineRule="exact"/>
              <w:rPr>
                <w:sz w:val="20"/>
                <w:szCs w:val="20"/>
                <w:color w:val="auto"/>
              </w:rPr>
            </w:pPr>
            <w:r>
              <w:rPr>
                <w:rFonts w:ascii="Arial" w:cs="Arial" w:eastAsia="Arial" w:hAnsi="Arial"/>
                <w:sz w:val="13"/>
                <w:szCs w:val="13"/>
                <w:color w:val="auto"/>
              </w:rPr>
              <w:t>aligned this with NIST SP 800-53 Security and Privacy Controls for</w:t>
            </w:r>
          </w:p>
        </w:tc>
      </w:tr>
      <w:tr>
        <w:trPr>
          <w:trHeight w:val="166"/>
        </w:trPr>
        <w:tc>
          <w:tcPr>
            <w:tcW w:w="4880" w:type="dxa"/>
            <w:vAlign w:val="bottom"/>
          </w:tcPr>
          <w:p>
            <w:pPr>
              <w:spacing w:after="0"/>
              <w:rPr>
                <w:sz w:val="14"/>
                <w:szCs w:val="14"/>
                <w:color w:val="auto"/>
              </w:rPr>
            </w:pPr>
          </w:p>
        </w:tc>
        <w:tc>
          <w:tcPr>
            <w:tcW w:w="4720" w:type="dxa"/>
            <w:vAlign w:val="bottom"/>
          </w:tcPr>
          <w:p>
            <w:pPr>
              <w:ind w:left="520"/>
              <w:spacing w:after="0"/>
              <w:rPr>
                <w:sz w:val="20"/>
                <w:szCs w:val="20"/>
                <w:color w:val="auto"/>
              </w:rPr>
            </w:pPr>
            <w:r>
              <w:rPr>
                <w:rFonts w:ascii="Arial" w:cs="Arial" w:eastAsia="Arial" w:hAnsi="Arial"/>
                <w:sz w:val="13"/>
                <w:szCs w:val="13"/>
                <w:color w:val="auto"/>
              </w:rPr>
              <w:t>Information Systems and Organizations.</w:t>
            </w:r>
          </w:p>
        </w:tc>
      </w:tr>
    </w:tbl>
    <w:p>
      <w:pPr>
        <w:spacing w:after="0" w:line="32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Risk Assessment of Employee Compensation Programs</w:t>
      </w:r>
    </w:p>
    <w:p>
      <w:pPr>
        <w:spacing w:after="0" w:line="111"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Annually, at its February meeting, the Compensation and Talent Management Committee reviews management’s Compensation Program Risk Assessment Report. The report is prepared by the Company’s Compensation group and reviewed by the Company’s Chief Risk Officer. The review and update of the Executive Compensation Program Risk Assessment Framework occurs, as needed, to ensure a robust and comprehensive assessment process. In addition, the Board’s independent compensation consultant reviewed the assessment prepared for the executive compensation section of the report.</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7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-142875</wp:posOffset>
            </wp:positionV>
            <wp:extent cx="411480" cy="1968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Corporate Governance</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0AF41"/>
        </w:rPr>
        <w:t>The Company’s Executive Compensation Program Risk Assessment</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0AF41"/>
        </w:rPr>
        <w:t>Framework takes into consideration the following guiding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Short- and long-term incentive performance measures and equity award types do not encourage excessive risk-taking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6995160" cy="29146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291465"/>
                    </a:xfrm>
                    <a:prstGeom prst="rect">
                      <a:avLst/>
                    </a:prstGeom>
                    <a:noFill/>
                  </pic:spPr>
                </pic:pic>
              </a:graphicData>
            </a:graphic>
          </wp:anchor>
        </w:drawing>
      </w:r>
    </w:p>
    <w:p>
      <w:pPr>
        <w:spacing w:after="0" w:line="66" w:lineRule="exact"/>
        <w:rPr>
          <w:sz w:val="20"/>
          <w:szCs w:val="20"/>
          <w:color w:val="auto"/>
        </w:rPr>
      </w:pPr>
    </w:p>
    <w:p>
      <w:pPr>
        <w:ind w:left="660" w:right="120" w:hanging="242"/>
        <w:spacing w:after="0" w:line="286" w:lineRule="auto"/>
        <w:rPr>
          <w:sz w:val="20"/>
          <w:szCs w:val="20"/>
          <w:color w:val="auto"/>
        </w:rPr>
      </w:pPr>
      <w:r>
        <w:rPr>
          <w:rFonts w:ascii="Arial" w:cs="Arial" w:eastAsia="Arial" w:hAnsi="Arial"/>
          <w:sz w:val="16"/>
          <w:szCs w:val="16"/>
          <w:color w:val="auto"/>
        </w:rPr>
        <w:t>•   A balanced compensation structure that includes an appropriate mix of fixed and variable cash and equity; with a balance of short- and long-term incentive opportunities</w:t>
      </w:r>
    </w:p>
    <w:p>
      <w:pPr>
        <w:spacing w:after="0" w:line="21" w:lineRule="exact"/>
        <w:rPr>
          <w:sz w:val="20"/>
          <w:szCs w:val="20"/>
          <w:color w:val="auto"/>
        </w:rPr>
      </w:pPr>
    </w:p>
    <w:p>
      <w:pPr>
        <w:ind w:left="660" w:right="60" w:hanging="242"/>
        <w:spacing w:after="0" w:line="286" w:lineRule="auto"/>
        <w:rPr>
          <w:sz w:val="20"/>
          <w:szCs w:val="20"/>
          <w:color w:val="auto"/>
        </w:rPr>
      </w:pPr>
      <w:r>
        <w:rPr>
          <w:rFonts w:ascii="Arial" w:cs="Arial" w:eastAsia="Arial" w:hAnsi="Arial"/>
          <w:sz w:val="16"/>
          <w:szCs w:val="16"/>
          <w:color w:val="auto"/>
        </w:rPr>
        <w:t>•   Performance criteria and corresponding objectives include a balance of performance and the quality of such performance; include the appropriate use of top line vs. bottom-line metrics; and use annual and long-term measures that complement each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wp:posOffset>
            </wp:positionV>
            <wp:extent cx="6995160" cy="1714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pacing w:after="0" w:line="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Well-designed plans that do not include steep payout curves, uncapped incentive payouts, or misaligned payout timing</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Incentive plans tested for multiple scenarios under realistic assumptions to ensure that potential payouts are reasonable relative to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6995160" cy="1714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171450"/>
                    </a:xfrm>
                    <a:prstGeom prst="rect">
                      <a:avLst/>
                    </a:prstGeom>
                    <a:noFill/>
                  </pic:spPr>
                </pic:pic>
              </a:graphicData>
            </a:graphic>
          </wp:anchor>
        </w:drawing>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•    A thorough and qualitative assessment of the achievement, quality, and sustainability of results</w:t>
      </w:r>
    </w:p>
    <w:p>
      <w:pPr>
        <w:spacing w:after="0" w:line="86" w:lineRule="exact"/>
        <w:rPr>
          <w:sz w:val="20"/>
          <w:szCs w:val="20"/>
          <w:color w:val="auto"/>
        </w:rPr>
      </w:pPr>
    </w:p>
    <w:p>
      <w:pPr>
        <w:ind w:left="660" w:right="60" w:hanging="242"/>
        <w:spacing w:after="0" w:line="286" w:lineRule="auto"/>
        <w:rPr>
          <w:sz w:val="20"/>
          <w:szCs w:val="20"/>
          <w:color w:val="auto"/>
        </w:rPr>
      </w:pPr>
      <w:r>
        <w:rPr>
          <w:rFonts w:ascii="Arial" w:cs="Arial" w:eastAsia="Arial" w:hAnsi="Arial"/>
          <w:sz w:val="16"/>
          <w:szCs w:val="16"/>
          <w:color w:val="auto"/>
        </w:rPr>
        <w:t>•   Benchmarked incentive plan payouts relative to performance, to ensure competitive practices in comparison with a representative peer group and general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wp:posOffset>
            </wp:positionV>
            <wp:extent cx="6995160" cy="4114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pacing w:after="0" w:line="1" w:lineRule="exact"/>
        <w:rPr>
          <w:sz w:val="20"/>
          <w:szCs w:val="20"/>
          <w:color w:val="auto"/>
        </w:rPr>
      </w:pPr>
    </w:p>
    <w:p>
      <w:pPr>
        <w:ind w:left="660" w:right="540" w:hanging="242"/>
        <w:spacing w:after="0" w:line="266" w:lineRule="auto"/>
        <w:rPr>
          <w:sz w:val="20"/>
          <w:szCs w:val="20"/>
          <w:color w:val="auto"/>
        </w:rPr>
      </w:pPr>
      <w:r>
        <w:rPr>
          <w:rFonts w:ascii="Arial" w:cs="Arial" w:eastAsia="Arial" w:hAnsi="Arial"/>
          <w:sz w:val="16"/>
          <w:szCs w:val="16"/>
          <w:color w:val="auto"/>
        </w:rPr>
        <w:t>•   Implementation of risk-mitigating features such as a clawback policy that applies in certain circumstances (e.g., the restatement of financial results) and a policy that requires a portion of the shares received from incentive award payouts to be retained by the participants through ownership/retention requirements</w:t>
      </w:r>
    </w:p>
    <w:p>
      <w:pPr>
        <w:spacing w:after="0" w:line="36" w:lineRule="exact"/>
        <w:rPr>
          <w:sz w:val="20"/>
          <w:szCs w:val="20"/>
          <w:color w:val="auto"/>
        </w:rPr>
      </w:pPr>
    </w:p>
    <w:p>
      <w:pPr>
        <w:ind w:left="660" w:right="140" w:hanging="242"/>
        <w:spacing w:after="0" w:line="286" w:lineRule="auto"/>
        <w:rPr>
          <w:sz w:val="20"/>
          <w:szCs w:val="20"/>
          <w:color w:val="auto"/>
        </w:rPr>
      </w:pPr>
      <w:r>
        <w:rPr>
          <w:rFonts w:ascii="Arial" w:cs="Arial" w:eastAsia="Arial" w:hAnsi="Arial"/>
          <w:sz w:val="16"/>
          <w:szCs w:val="16"/>
          <w:color w:val="auto"/>
        </w:rPr>
        <w:t>•   Incentive plan governance includes involvement at a variety of levels from the Compensation and Talent Management Committee to various corporate functions including Corporate Governance, Compensation, Finance, HR, Legal, and the Committee’s outside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wp:posOffset>
            </wp:positionV>
            <wp:extent cx="6995160" cy="2914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291465"/>
                    </a:xfrm>
                    <a:prstGeom prst="rect">
                      <a:avLst/>
                    </a:prstGeom>
                    <a:noFill/>
                  </pic:spPr>
                </pic:pic>
              </a:graphicData>
            </a:graphic>
          </wp:anchor>
        </w:drawing>
      </w:r>
    </w:p>
    <w:p>
      <w:pPr>
        <w:spacing w:after="0" w:line="1" w:lineRule="exact"/>
        <w:rPr>
          <w:sz w:val="20"/>
          <w:szCs w:val="20"/>
          <w:color w:val="auto"/>
        </w:rPr>
      </w:pPr>
    </w:p>
    <w:p>
      <w:pPr>
        <w:ind w:left="660" w:right="580" w:hanging="242"/>
        <w:spacing w:after="0" w:line="286" w:lineRule="auto"/>
        <w:rPr>
          <w:sz w:val="20"/>
          <w:szCs w:val="20"/>
          <w:color w:val="auto"/>
        </w:rPr>
      </w:pPr>
      <w:r>
        <w:rPr>
          <w:rFonts w:ascii="Arial" w:cs="Arial" w:eastAsia="Arial" w:hAnsi="Arial"/>
          <w:sz w:val="16"/>
          <w:szCs w:val="16"/>
          <w:color w:val="auto"/>
        </w:rPr>
        <w:t>•   Potential risk discussed with the Compensation and Talent Management Committee, recorded in Committee minutes, and discussed in the Compensation Discussion and Analysis section of the Company’s Annual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wp:posOffset>
            </wp:positionV>
            <wp:extent cx="69951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6"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color w:val="auto"/>
        </w:rPr>
        <w:t>To assess the risk of employee compensation programs below the executive level, the Company’s Compensation group implemented an internal Governance Committee to review and approve plan design and address any significant issues that arise. The Governance Committee utilizes its Global Incentive Plan Design and Risk Mitigation Framework to consider alignment to the Company’s strategy and risks associated with the following elements of the design and implementation of each incentive plan:</w:t>
      </w:r>
    </w:p>
    <w:p>
      <w:pPr>
        <w:spacing w:after="0" w:line="83" w:lineRule="exact"/>
        <w:rPr>
          <w:sz w:val="20"/>
          <w:szCs w:val="20"/>
          <w:color w:val="auto"/>
        </w:rPr>
      </w:pPr>
    </w:p>
    <w:p>
      <w:pPr>
        <w:ind w:left="660" w:right="400" w:hanging="328"/>
        <w:spacing w:after="0" w:line="286"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linkage of incentive measures with business objectives, analysis of total compensation market data, determination of design elements/payout threshold levels, potential range of payouts, and timely and accurate tracking of performance data;</w:t>
      </w:r>
    </w:p>
    <w:p>
      <w:pPr>
        <w:spacing w:after="0" w:line="20"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modeling, approval, and communication of incentive plans;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calculation, audit, approval, and communication of incentive payments; and</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annual plan reviews to ensure planned design updates align with business goals and budgets, and do not present a material risk to the Company.</w:t>
      </w:r>
    </w:p>
    <w:p>
      <w:pPr>
        <w:spacing w:after="0" w:line="221"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After due consideration of management’s 2022 Compensation Program Risk Assessment Report, the Compensation and Talent Management Committee concluded that the Company’s compensation programs do not create a reasonable likelihood of a material adverse effect on the Company.</w:t>
      </w:r>
    </w:p>
    <w:p>
      <w:pPr>
        <w:spacing w:after="0" w:line="76" w:lineRule="exact"/>
        <w:rPr>
          <w:sz w:val="20"/>
          <w:szCs w:val="20"/>
          <w:color w:val="auto"/>
        </w:rPr>
      </w:pPr>
    </w:p>
    <w:p>
      <w:pPr>
        <w:ind w:left="1082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7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-142875</wp:posOffset>
            </wp:positionV>
            <wp:extent cx="411480" cy="1968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Corporate Governance</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 xml:space="preserve">Kelly’s Corporate Sustainability and ESG Strategy – </w:t>
      </w:r>
      <w:r>
        <w:rPr>
          <w:rFonts w:ascii="Arial" w:cs="Arial" w:eastAsia="Arial" w:hAnsi="Arial"/>
          <w:sz w:val="22"/>
          <w:szCs w:val="22"/>
          <w:b w:val="1"/>
          <w:bCs w:val="1"/>
          <w:i w:val="1"/>
          <w:iCs w:val="1"/>
          <w:color w:val="auto"/>
        </w:rPr>
        <w:t>Growing with Purpose</w:t>
      </w:r>
    </w:p>
    <w:p>
      <w:pPr>
        <w:spacing w:after="0" w:line="112"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Kelly recognizes the critical importance of sustainability in addressing the world’s most pressing environmental and social challenges. We are determined to lead in promoting sustainability in our industry and beyond. Kelly’s approach is based on the concept of creating shared value. We aim to create economic value by addressing societal needs and going beyond traditional corporate social responsibility. Our focus on sustainable growth helps us manage risks efficiently while we continue to develop long-term business opportunities.</w:t>
      </w:r>
    </w:p>
    <w:p>
      <w:pPr>
        <w:spacing w:after="0" w:line="178"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color w:val="auto"/>
        </w:rPr>
        <w:t>In 2022, our Corporate Sustainability and Environmental, Social, and Governance Strategy (“ESG Strategy”) was primarily focused on strengthening relationships and alignment between our key corporate functions and business teams, which continue to set the stage for our ambitious goals moving forward. From strengthening relationships with stakeholders through community outreach initiatives and employee volunteering to eliminating barriers to accessing work opportunities with programs like Equity@Work, we consistently create shared value.</w:t>
      </w:r>
    </w:p>
    <w:p>
      <w:pPr>
        <w:spacing w:after="0" w:line="178"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Our ESG Strategy is integrated into Kelly’s growth strategy. It focuses on six core pillars responding to stakeholder expectations and critical risks and opportunities across environmental, social, and governance issues. These core pillars are aligned to nine United Nations Sustainable Development Goals (“UN SDGs”) and support all programs and initiatives within our Corporate Sustainability and ESG strategy to ensure that internal resources and activities positively impact our triple bottom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215900</wp:posOffset>
            </wp:positionV>
            <wp:extent cx="5186045" cy="254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86045" cy="254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b w:val="1"/>
          <w:bCs w:val="1"/>
          <w:color w:val="auto"/>
        </w:rPr>
        <w:t xml:space="preserve">Stakeholder engagement: </w:t>
      </w:r>
      <w:r>
        <w:rPr>
          <w:rFonts w:ascii="Arial" w:cs="Arial" w:eastAsia="Arial" w:hAnsi="Arial"/>
          <w:sz w:val="16"/>
          <w:szCs w:val="16"/>
          <w:color w:val="auto"/>
        </w:rPr>
        <w:t>We continually engage with diverse stakeholders through various ongoing initiatives and activities to better understand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concerns and deliver added value of our services.</w:t>
      </w:r>
    </w:p>
    <w:p>
      <w:pPr>
        <w:spacing w:after="0" w:line="156"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b w:val="1"/>
          <w:bCs w:val="1"/>
          <w:color w:val="auto"/>
        </w:rPr>
        <w:t xml:space="preserve">Materiality: </w:t>
      </w:r>
      <w:r>
        <w:rPr>
          <w:rFonts w:ascii="Arial" w:cs="Arial" w:eastAsia="Arial" w:hAnsi="Arial"/>
          <w:sz w:val="16"/>
          <w:szCs w:val="16"/>
          <w:color w:val="auto"/>
        </w:rPr>
        <w:t>Our ESG Strategy is anchored in a formal materiality assessment that analyzes environmental, social, and governance issues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stakeholder relevance, the severity of risk, and the impact on our business success. Materiality is updated every three years. Our latest materiality assessment was conducted in 2021 through surveys, with participation from a group of diverse stakeholders representing suppliers, customers, Kelly employees, talent, and other stakeholders. Kelly’s most recent materiality assessment considered a double materiality analysis to assess the level of risk that each ESG issue could have on the business from a financial and non-financial perspective, including our license to operate and impact on the overall value of our organization.</w:t>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7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-142875</wp:posOffset>
            </wp:positionV>
            <wp:extent cx="411480" cy="1974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11480" cy="197485"/>
                    </a:xfrm>
                    <a:prstGeom prst="rect">
                      <a:avLst/>
                    </a:prstGeom>
                    <a:noFill/>
                  </pic:spPr>
                </pic:pic>
              </a:graphicData>
            </a:graphic>
          </wp:anchor>
        </w:drawing>
      </w:r>
    </w:p>
    <w:p>
      <w:pPr>
        <w:sectPr>
          <w:pgSz w:w="11900" w:h="16838" w:orient="portrait"/>
          <w:cols w:equalWidth="0" w:num="1">
            <w:col w:w="11100"/>
          </w:cols>
          <w:pgMar w:left="320" w:top="482"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9480"/>
        <w:spacing w:after="0"/>
        <w:rPr>
          <w:sz w:val="20"/>
          <w:szCs w:val="20"/>
          <w:color w:val="auto"/>
        </w:rPr>
      </w:pPr>
      <w:r>
        <w:rPr>
          <w:rFonts w:ascii="Arial" w:cs="Arial" w:eastAsia="Arial" w:hAnsi="Arial"/>
          <w:sz w:val="15"/>
          <w:szCs w:val="15"/>
          <w:b w:val="1"/>
          <w:bCs w:val="1"/>
          <w:color w:val="auto"/>
        </w:rPr>
        <w:t>Corporate Governance</w:t>
      </w:r>
    </w:p>
    <w:p>
      <w:pPr>
        <w:spacing w:after="0" w:line="143"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b w:val="1"/>
          <w:bCs w:val="1"/>
          <w:color w:val="auto"/>
        </w:rPr>
        <w:t>Board Oversight</w:t>
      </w:r>
      <w:r>
        <w:rPr>
          <w:rFonts w:ascii="Arial" w:cs="Arial" w:eastAsia="Arial" w:hAnsi="Arial"/>
          <w:sz w:val="16"/>
          <w:szCs w:val="16"/>
          <w:color w:val="auto"/>
        </w:rPr>
        <w:t>: Consistent with Corporate Governance best practices, Kelly’s ESG Strategy is overseen by the full Board together with multiple Board</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Committees that oversee specific ESG areas, e.g., oversight of cyber risk and security by the Audit Committee; talent attraction, retention, and compensation oversight by the Compensation and Talent Management Committee; and Corporate Governance by the Corporate Governance and Nominating Committee. Management reports to the Board through an ESG Advisory committee, comprised of a cross-functional leadership team chaired by the Corporate Sustainability and ESG Lead.</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2022 Goals and Achievements</w:t>
      </w:r>
    </w:p>
    <w:p>
      <w:pPr>
        <w:spacing w:after="0" w:line="113" w:lineRule="exact"/>
        <w:rPr>
          <w:sz w:val="20"/>
          <w:szCs w:val="20"/>
          <w:color w:val="auto"/>
        </w:rPr>
      </w:pPr>
    </w:p>
    <w:p>
      <w:pPr>
        <w:ind w:left="120" w:right="260"/>
        <w:spacing w:after="0" w:line="286" w:lineRule="auto"/>
        <w:rPr>
          <w:sz w:val="20"/>
          <w:szCs w:val="20"/>
          <w:color w:val="auto"/>
        </w:rPr>
      </w:pPr>
      <w:r>
        <w:rPr>
          <w:rFonts w:ascii="Arial" w:cs="Arial" w:eastAsia="Arial" w:hAnsi="Arial"/>
          <w:sz w:val="16"/>
          <w:szCs w:val="16"/>
          <w:color w:val="auto"/>
        </w:rPr>
        <w:t>Beginning in 2022, our strategy shifted focus to long-term sustainability goals. These goals address the interconnected challenges of social, economic, and environmental sustainability, and are intended to balance the needs of present and future generations.</w:t>
      </w:r>
    </w:p>
    <w:p>
      <w:pPr>
        <w:spacing w:after="0" w:line="156"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auto"/>
        </w:rPr>
        <w:t>Our goal moving forward is to continue to report on progress towards greater objectives, and to show transparency and accountability in our actions. We firmly believe that sustainability is a process that requires many internal and external efforts to succeed.</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Environmental:</w:t>
      </w:r>
    </w:p>
    <w:p>
      <w:pPr>
        <w:spacing w:after="0" w:line="113"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color w:val="auto"/>
        </w:rPr>
        <w:t>Our environmental initiatives focus on providing safe and sustainable work environments by quantifying and mitigating the environmental footprint of our operations, prioritizing energy efficiency in our workplaces, and promoting practices that foster a culture of preservation, conservation, and waste reduction.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2022 Goals</w:t>
      </w:r>
    </w:p>
    <w:p>
      <w:pPr>
        <w:spacing w:after="0" w:line="127" w:lineRule="exact"/>
        <w:rPr>
          <w:sz w:val="20"/>
          <w:szCs w:val="20"/>
          <w:color w:val="auto"/>
        </w:rPr>
      </w:pPr>
    </w:p>
    <w:p>
      <w:pPr>
        <w:ind w:left="440" w:hanging="324"/>
        <w:spacing w:after="0"/>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Adjust Green House Gas (“GHG”) emission reduction targets, including the additional sources of emissions included in this year’s report.</w:t>
      </w:r>
    </w:p>
    <w:p>
      <w:pPr>
        <w:spacing w:after="0" w:line="86" w:lineRule="exact"/>
        <w:rPr>
          <w:rFonts w:ascii="Arial" w:cs="Arial" w:eastAsia="Arial" w:hAnsi="Arial"/>
          <w:sz w:val="16"/>
          <w:szCs w:val="16"/>
          <w:color w:val="auto"/>
        </w:rPr>
      </w:pPr>
    </w:p>
    <w:p>
      <w:pPr>
        <w:ind w:left="760" w:hanging="320"/>
        <w:spacing w:after="0"/>
        <w:tabs>
          <w:tab w:leader="none" w:pos="7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Progress:</w:t>
      </w:r>
    </w:p>
    <w:p>
      <w:pPr>
        <w:spacing w:after="0" w:line="86" w:lineRule="exact"/>
        <w:rPr>
          <w:rFonts w:ascii="Arial" w:cs="Arial" w:eastAsia="Arial" w:hAnsi="Arial"/>
          <w:sz w:val="16"/>
          <w:szCs w:val="16"/>
          <w:color w:val="auto"/>
        </w:rPr>
      </w:pPr>
    </w:p>
    <w:p>
      <w:pPr>
        <w:ind w:left="1080" w:hanging="316"/>
        <w:spacing w:after="0"/>
        <w:tabs>
          <w:tab w:leader="none" w:pos="1080" w:val="left"/>
        </w:tabs>
        <w:numPr>
          <w:ilvl w:val="2"/>
          <w:numId w:val="16"/>
        </w:numPr>
        <w:rPr>
          <w:rFonts w:ascii="Arial" w:cs="Arial" w:eastAsia="Arial" w:hAnsi="Arial"/>
          <w:sz w:val="16"/>
          <w:szCs w:val="16"/>
          <w:color w:val="auto"/>
        </w:rPr>
      </w:pPr>
      <w:r>
        <w:rPr>
          <w:rFonts w:ascii="Arial" w:cs="Arial" w:eastAsia="Arial" w:hAnsi="Arial"/>
          <w:sz w:val="16"/>
          <w:szCs w:val="16"/>
          <w:color w:val="auto"/>
        </w:rPr>
        <w:t>Adjusted our carbon emissions and expanded the approach of Scope 1 and 2 to additional locations with operational control.</w:t>
      </w:r>
    </w:p>
    <w:p>
      <w:pPr>
        <w:spacing w:after="0" w:line="86" w:lineRule="exact"/>
        <w:rPr>
          <w:rFonts w:ascii="Arial" w:cs="Arial" w:eastAsia="Arial" w:hAnsi="Arial"/>
          <w:sz w:val="16"/>
          <w:szCs w:val="16"/>
          <w:color w:val="auto"/>
        </w:rPr>
      </w:pPr>
    </w:p>
    <w:p>
      <w:pPr>
        <w:ind w:left="440" w:right="440" w:hanging="324"/>
        <w:spacing w:after="0" w:line="286" w:lineRule="auto"/>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Develop a climate strategy to mitigate, remove, and compensate for our impact, and align emission reduction targets with science to limit global warming to a 1.5°C ambition level by 2050.</w:t>
      </w:r>
    </w:p>
    <w:p>
      <w:pPr>
        <w:spacing w:after="0" w:line="20" w:lineRule="exact"/>
        <w:rPr>
          <w:rFonts w:ascii="Arial" w:cs="Arial" w:eastAsia="Arial" w:hAnsi="Arial"/>
          <w:sz w:val="16"/>
          <w:szCs w:val="16"/>
          <w:color w:val="auto"/>
        </w:rPr>
      </w:pPr>
    </w:p>
    <w:p>
      <w:pPr>
        <w:ind w:left="760" w:hanging="320"/>
        <w:spacing w:after="0"/>
        <w:tabs>
          <w:tab w:leader="none" w:pos="7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Progress:</w:t>
      </w:r>
    </w:p>
    <w:p>
      <w:pPr>
        <w:spacing w:after="0" w:line="86" w:lineRule="exact"/>
        <w:rPr>
          <w:rFonts w:ascii="Arial" w:cs="Arial" w:eastAsia="Arial" w:hAnsi="Arial"/>
          <w:sz w:val="16"/>
          <w:szCs w:val="16"/>
          <w:color w:val="auto"/>
        </w:rPr>
      </w:pPr>
    </w:p>
    <w:p>
      <w:pPr>
        <w:ind w:left="1080" w:right="240" w:hanging="316"/>
        <w:spacing w:after="0" w:line="259" w:lineRule="auto"/>
        <w:tabs>
          <w:tab w:leader="none" w:pos="1080" w:val="left"/>
        </w:tabs>
        <w:numPr>
          <w:ilvl w:val="2"/>
          <w:numId w:val="16"/>
        </w:numPr>
        <w:rPr>
          <w:rFonts w:ascii="Arial" w:cs="Arial" w:eastAsia="Arial" w:hAnsi="Arial"/>
          <w:sz w:val="16"/>
          <w:szCs w:val="16"/>
          <w:color w:val="auto"/>
        </w:rPr>
      </w:pPr>
      <w:r>
        <w:rPr>
          <w:rFonts w:ascii="Arial" w:cs="Arial" w:eastAsia="Arial" w:hAnsi="Arial"/>
          <w:sz w:val="16"/>
          <w:szCs w:val="16"/>
          <w:color w:val="auto"/>
        </w:rPr>
        <w:t>In 2022, we conducted our first climate risk assessment to prioritize actions to reduce risks and find opportunities that align with our business strategy. We used a Climate Change scenario approach to hypothetically represent future conditions and impacts of climate change based on a set of assumptions and conditions. These scenarios help us explore different possible outcomes and inform decision-making and planning.</w:t>
      </w:r>
    </w:p>
    <w:p>
      <w:pPr>
        <w:spacing w:after="0" w:line="42" w:lineRule="exact"/>
        <w:rPr>
          <w:rFonts w:ascii="Arial" w:cs="Arial" w:eastAsia="Arial" w:hAnsi="Arial"/>
          <w:sz w:val="16"/>
          <w:szCs w:val="16"/>
          <w:color w:val="auto"/>
        </w:rPr>
      </w:pPr>
    </w:p>
    <w:p>
      <w:pPr>
        <w:ind w:left="440" w:right="680" w:hanging="324"/>
        <w:spacing w:after="0" w:line="286" w:lineRule="auto"/>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Increase transparency on climate disclosure metrics, including integrating climate risk analysis and Task Force on Climate-Related Financial Disclosure (“TCFD”) disclosures in the next three years.</w:t>
      </w:r>
    </w:p>
    <w:p>
      <w:pPr>
        <w:spacing w:after="0" w:line="20" w:lineRule="exact"/>
        <w:rPr>
          <w:rFonts w:ascii="Arial" w:cs="Arial" w:eastAsia="Arial" w:hAnsi="Arial"/>
          <w:sz w:val="16"/>
          <w:szCs w:val="16"/>
          <w:color w:val="auto"/>
        </w:rPr>
      </w:pPr>
    </w:p>
    <w:p>
      <w:pPr>
        <w:ind w:left="760" w:hanging="320"/>
        <w:spacing w:after="0"/>
        <w:tabs>
          <w:tab w:leader="none" w:pos="7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Progress:</w:t>
      </w:r>
    </w:p>
    <w:p>
      <w:pPr>
        <w:spacing w:after="0" w:line="86" w:lineRule="exact"/>
        <w:rPr>
          <w:rFonts w:ascii="Arial" w:cs="Arial" w:eastAsia="Arial" w:hAnsi="Arial"/>
          <w:sz w:val="16"/>
          <w:szCs w:val="16"/>
          <w:color w:val="auto"/>
        </w:rPr>
      </w:pPr>
    </w:p>
    <w:p>
      <w:pPr>
        <w:ind w:left="1080" w:right="160" w:hanging="316"/>
        <w:spacing w:after="0" w:line="266" w:lineRule="auto"/>
        <w:tabs>
          <w:tab w:leader="none" w:pos="1080" w:val="left"/>
        </w:tabs>
        <w:numPr>
          <w:ilvl w:val="2"/>
          <w:numId w:val="16"/>
        </w:numPr>
        <w:rPr>
          <w:rFonts w:ascii="Arial" w:cs="Arial" w:eastAsia="Arial" w:hAnsi="Arial"/>
          <w:sz w:val="16"/>
          <w:szCs w:val="16"/>
          <w:color w:val="auto"/>
        </w:rPr>
      </w:pPr>
      <w:r>
        <w:rPr>
          <w:rFonts w:ascii="Arial" w:cs="Arial" w:eastAsia="Arial" w:hAnsi="Arial"/>
          <w:sz w:val="16"/>
          <w:szCs w:val="16"/>
          <w:color w:val="auto"/>
        </w:rPr>
        <w:t>We continue to report on progress and increase our transparency surrounding the environmental disclosures by our target of 2025 through our Corporate Sustainability and ESG report, CDP (formerly known as Carbon Disclosure Project), and other external assessments that evaluate our performance.</w:t>
      </w:r>
    </w:p>
    <w:p>
      <w:pPr>
        <w:spacing w:after="0" w:line="36" w:lineRule="exact"/>
        <w:rPr>
          <w:rFonts w:ascii="Arial" w:cs="Arial" w:eastAsia="Arial" w:hAnsi="Arial"/>
          <w:sz w:val="16"/>
          <w:szCs w:val="16"/>
          <w:color w:val="auto"/>
        </w:rPr>
      </w:pPr>
    </w:p>
    <w:p>
      <w:pPr>
        <w:ind w:left="440" w:hanging="324"/>
        <w:spacing w:after="0"/>
        <w:tabs>
          <w:tab w:leader="none" w:pos="4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Deliver continual advancement of workplace safety solutions and performance across our specialty businesses.</w:t>
      </w:r>
    </w:p>
    <w:p>
      <w:pPr>
        <w:spacing w:after="0" w:line="86" w:lineRule="exact"/>
        <w:rPr>
          <w:rFonts w:ascii="Arial" w:cs="Arial" w:eastAsia="Arial" w:hAnsi="Arial"/>
          <w:sz w:val="16"/>
          <w:szCs w:val="16"/>
          <w:color w:val="auto"/>
        </w:rPr>
      </w:pPr>
    </w:p>
    <w:p>
      <w:pPr>
        <w:ind w:left="760" w:hanging="320"/>
        <w:spacing w:after="0"/>
        <w:tabs>
          <w:tab w:leader="none" w:pos="7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Progress:</w:t>
      </w:r>
    </w:p>
    <w:p>
      <w:pPr>
        <w:spacing w:after="0" w:line="86" w:lineRule="exact"/>
        <w:rPr>
          <w:rFonts w:ascii="Arial" w:cs="Arial" w:eastAsia="Arial" w:hAnsi="Arial"/>
          <w:sz w:val="16"/>
          <w:szCs w:val="16"/>
          <w:color w:val="auto"/>
        </w:rPr>
      </w:pPr>
    </w:p>
    <w:p>
      <w:pPr>
        <w:ind w:left="1080" w:hanging="316"/>
        <w:spacing w:after="0"/>
        <w:tabs>
          <w:tab w:leader="none" w:pos="1080" w:val="left"/>
        </w:tabs>
        <w:numPr>
          <w:ilvl w:val="2"/>
          <w:numId w:val="16"/>
        </w:numPr>
        <w:rPr>
          <w:rFonts w:ascii="Arial" w:cs="Arial" w:eastAsia="Arial" w:hAnsi="Arial"/>
          <w:sz w:val="16"/>
          <w:szCs w:val="16"/>
          <w:color w:val="auto"/>
        </w:rPr>
      </w:pPr>
      <w:r>
        <w:rPr>
          <w:rFonts w:ascii="Arial" w:cs="Arial" w:eastAsia="Arial" w:hAnsi="Arial"/>
          <w:sz w:val="16"/>
          <w:szCs w:val="16"/>
          <w:color w:val="auto"/>
        </w:rPr>
        <w:t>Since 2010, Kelly has maintained our zero-injury program, Absolute Zero.</w:t>
      </w:r>
    </w:p>
    <w:p>
      <w:pPr>
        <w:spacing w:after="0" w:line="86" w:lineRule="exact"/>
        <w:rPr>
          <w:rFonts w:ascii="Arial" w:cs="Arial" w:eastAsia="Arial" w:hAnsi="Arial"/>
          <w:sz w:val="16"/>
          <w:szCs w:val="16"/>
          <w:color w:val="auto"/>
        </w:rPr>
      </w:pPr>
    </w:p>
    <w:p>
      <w:pPr>
        <w:ind w:left="1080" w:right="220" w:hanging="316"/>
        <w:spacing w:after="0" w:line="266" w:lineRule="auto"/>
        <w:tabs>
          <w:tab w:leader="none" w:pos="1080" w:val="left"/>
        </w:tabs>
        <w:numPr>
          <w:ilvl w:val="2"/>
          <w:numId w:val="16"/>
        </w:numPr>
        <w:rPr>
          <w:rFonts w:ascii="Arial" w:cs="Arial" w:eastAsia="Arial" w:hAnsi="Arial"/>
          <w:sz w:val="16"/>
          <w:szCs w:val="16"/>
          <w:color w:val="auto"/>
        </w:rPr>
      </w:pPr>
      <w:r>
        <w:rPr>
          <w:rFonts w:ascii="Arial" w:cs="Arial" w:eastAsia="Arial" w:hAnsi="Arial"/>
          <w:sz w:val="16"/>
          <w:szCs w:val="16"/>
          <w:color w:val="auto"/>
        </w:rPr>
        <w:t>In 2022, Kelly outperformed our peers in the staffing industry by 89% Total Recordable Incident Rate (“TRIR”) and 88% Days Away/Restricted and Transferred Incident Rate (“DART”) compared to 2021 Bureau of Labor Statistics (“BLS”) industry averages. Current year industry averages were not available at the time of publishing.</w:t>
      </w:r>
    </w:p>
    <w:p>
      <w:pPr>
        <w:spacing w:after="0" w:line="36" w:lineRule="exact"/>
        <w:rPr>
          <w:rFonts w:ascii="Arial" w:cs="Arial" w:eastAsia="Arial" w:hAnsi="Arial"/>
          <w:sz w:val="16"/>
          <w:szCs w:val="16"/>
          <w:color w:val="auto"/>
        </w:rPr>
      </w:pPr>
    </w:p>
    <w:p>
      <w:pPr>
        <w:ind w:left="1080" w:hanging="316"/>
        <w:spacing w:after="0"/>
        <w:tabs>
          <w:tab w:leader="none" w:pos="1080" w:val="left"/>
        </w:tabs>
        <w:numPr>
          <w:ilvl w:val="2"/>
          <w:numId w:val="16"/>
        </w:numPr>
        <w:rPr>
          <w:rFonts w:ascii="Arial" w:cs="Arial" w:eastAsia="Arial" w:hAnsi="Arial"/>
          <w:sz w:val="16"/>
          <w:szCs w:val="16"/>
          <w:color w:val="auto"/>
        </w:rPr>
      </w:pPr>
      <w:r>
        <w:rPr>
          <w:rFonts w:ascii="Arial" w:cs="Arial" w:eastAsia="Arial" w:hAnsi="Arial"/>
          <w:sz w:val="16"/>
          <w:szCs w:val="16"/>
          <w:color w:val="auto"/>
        </w:rPr>
        <w:t>Kelly has two Certified Safety Professionals (“CSPs”) on staff to serve as a resource to our clients and talent.</w:t>
      </w:r>
    </w:p>
    <w:p>
      <w:pPr>
        <w:spacing w:after="0" w:line="141" w:lineRule="exact"/>
        <w:rPr>
          <w:sz w:val="20"/>
          <w:szCs w:val="20"/>
          <w:color w:val="auto"/>
        </w:rPr>
      </w:pPr>
    </w:p>
    <w:p>
      <w:pPr>
        <w:ind w:left="1082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7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-143510</wp:posOffset>
            </wp:positionV>
            <wp:extent cx="411480" cy="1968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Corporate Governance</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Additional 2022 achievements</w:t>
      </w:r>
    </w:p>
    <w:p>
      <w:pPr>
        <w:spacing w:after="0" w:line="127" w:lineRule="exact"/>
        <w:rPr>
          <w:sz w:val="20"/>
          <w:szCs w:val="20"/>
          <w:color w:val="auto"/>
        </w:rPr>
      </w:pPr>
    </w:p>
    <w:p>
      <w:pPr>
        <w:ind w:left="440" w:right="400" w:hanging="324"/>
        <w:spacing w:after="0" w:line="286" w:lineRule="auto"/>
        <w:tabs>
          <w:tab w:leader="none" w:pos="4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Recycled over 33.85 tons of paper through our vendor recycling program, saving over 620 trees, 200,100 gallons of water, and 127,800 kWh of energy.</w:t>
      </w:r>
    </w:p>
    <w:p>
      <w:pPr>
        <w:spacing w:after="0" w:line="20" w:lineRule="exact"/>
        <w:rPr>
          <w:rFonts w:ascii="Arial" w:cs="Arial" w:eastAsia="Arial" w:hAnsi="Arial"/>
          <w:sz w:val="16"/>
          <w:szCs w:val="16"/>
          <w:color w:val="auto"/>
        </w:rPr>
      </w:pPr>
    </w:p>
    <w:p>
      <w:pPr>
        <w:ind w:left="440" w:hanging="324"/>
        <w:spacing w:after="0"/>
        <w:tabs>
          <w:tab w:leader="none" w:pos="4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13.48 tons of e-waste diverted from landfills, and over 2,100 units remarketed in partnership with Dynamic.</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Social:</w:t>
      </w:r>
    </w:p>
    <w:p>
      <w:pPr>
        <w:spacing w:after="0" w:line="113"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Kelly strives to connect people to meaningful work opportunities that enrich lives and contribute to communities where they live and work. We envision a more inclusive and equitable workforce that creates better access, opportunities, fair treatment, and advancement for all people. This is our promise. This drives our actions and allows us to create shared value for all our stakeholders.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2022 Goals</w:t>
      </w:r>
    </w:p>
    <w:p>
      <w:pPr>
        <w:spacing w:after="0" w:line="127" w:lineRule="exact"/>
        <w:rPr>
          <w:sz w:val="20"/>
          <w:szCs w:val="20"/>
          <w:color w:val="auto"/>
        </w:rPr>
      </w:pPr>
    </w:p>
    <w:p>
      <w:pPr>
        <w:ind w:left="440" w:hanging="324"/>
        <w:spacing w:after="0"/>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Increase stakeholder engagement through social impact initiatives that align with our business strategy</w:t>
      </w:r>
    </w:p>
    <w:p>
      <w:pPr>
        <w:spacing w:after="0" w:line="86" w:lineRule="exact"/>
        <w:rPr>
          <w:rFonts w:ascii="Arial" w:cs="Arial" w:eastAsia="Arial" w:hAnsi="Arial"/>
          <w:sz w:val="16"/>
          <w:szCs w:val="16"/>
          <w:color w:val="auto"/>
        </w:rPr>
      </w:pPr>
    </w:p>
    <w:p>
      <w:pPr>
        <w:ind w:left="760" w:hanging="320"/>
        <w:spacing w:after="0"/>
        <w:tabs>
          <w:tab w:leader="none" w:pos="7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Progress:</w:t>
      </w:r>
    </w:p>
    <w:p>
      <w:pPr>
        <w:spacing w:after="0" w:line="86" w:lineRule="exact"/>
        <w:rPr>
          <w:rFonts w:ascii="Arial" w:cs="Arial" w:eastAsia="Arial" w:hAnsi="Arial"/>
          <w:sz w:val="16"/>
          <w:szCs w:val="16"/>
          <w:color w:val="auto"/>
        </w:rPr>
      </w:pPr>
    </w:p>
    <w:p>
      <w:pPr>
        <w:ind w:left="1080" w:hanging="316"/>
        <w:spacing w:after="0"/>
        <w:tabs>
          <w:tab w:leader="none" w:pos="1080" w:val="left"/>
        </w:tabs>
        <w:numPr>
          <w:ilvl w:val="2"/>
          <w:numId w:val="18"/>
        </w:numPr>
        <w:rPr>
          <w:rFonts w:ascii="Arial" w:cs="Arial" w:eastAsia="Arial" w:hAnsi="Arial"/>
          <w:sz w:val="16"/>
          <w:szCs w:val="16"/>
          <w:color w:val="auto"/>
        </w:rPr>
      </w:pPr>
      <w:r>
        <w:rPr>
          <w:rFonts w:ascii="Arial" w:cs="Arial" w:eastAsia="Arial" w:hAnsi="Arial"/>
          <w:sz w:val="16"/>
          <w:szCs w:val="16"/>
          <w:color w:val="auto"/>
        </w:rPr>
        <w:t>Equity@Work as a shared value proposition.</w:t>
      </w:r>
    </w:p>
    <w:p>
      <w:pPr>
        <w:spacing w:after="0" w:line="86" w:lineRule="exact"/>
        <w:rPr>
          <w:rFonts w:ascii="Arial" w:cs="Arial" w:eastAsia="Arial" w:hAnsi="Arial"/>
          <w:sz w:val="16"/>
          <w:szCs w:val="16"/>
          <w:color w:val="auto"/>
        </w:rPr>
      </w:pPr>
    </w:p>
    <w:p>
      <w:pPr>
        <w:ind w:left="1420" w:right="60" w:hanging="319"/>
        <w:spacing w:after="0" w:line="266" w:lineRule="auto"/>
        <w:tabs>
          <w:tab w:leader="none" w:pos="1420" w:val="left"/>
        </w:tabs>
        <w:numPr>
          <w:ilvl w:val="3"/>
          <w:numId w:val="18"/>
        </w:numPr>
        <w:rPr>
          <w:rFonts w:ascii="Arial" w:cs="Arial" w:eastAsia="Arial" w:hAnsi="Arial"/>
          <w:sz w:val="16"/>
          <w:szCs w:val="16"/>
          <w:color w:val="auto"/>
        </w:rPr>
      </w:pPr>
      <w:r>
        <w:rPr>
          <w:rFonts w:ascii="Arial" w:cs="Arial" w:eastAsia="Arial" w:hAnsi="Arial"/>
          <w:sz w:val="16"/>
          <w:szCs w:val="16"/>
          <w:color w:val="auto"/>
        </w:rPr>
        <w:t>In Q2, Kelly conducted the second annual Equity@Work survey to identify barriers and untapped talent pools to increase talent opportunities. One thousand U.S. individuals gave their input, with a vast majority saying equity at work is important and they will likely seek job opportunities at companies committed to tearing down barriers at work.</w:t>
      </w:r>
    </w:p>
    <w:p>
      <w:pPr>
        <w:spacing w:after="0" w:line="36" w:lineRule="exact"/>
        <w:rPr>
          <w:rFonts w:ascii="Arial" w:cs="Arial" w:eastAsia="Arial" w:hAnsi="Arial"/>
          <w:sz w:val="16"/>
          <w:szCs w:val="16"/>
          <w:color w:val="auto"/>
        </w:rPr>
      </w:pPr>
    </w:p>
    <w:p>
      <w:pPr>
        <w:ind w:left="1420" w:right="140" w:hanging="319"/>
        <w:spacing w:after="0" w:line="266" w:lineRule="auto"/>
        <w:tabs>
          <w:tab w:leader="none" w:pos="1420" w:val="left"/>
        </w:tabs>
        <w:numPr>
          <w:ilvl w:val="3"/>
          <w:numId w:val="18"/>
        </w:numPr>
        <w:rPr>
          <w:rFonts w:ascii="Arial" w:cs="Arial" w:eastAsia="Arial" w:hAnsi="Arial"/>
          <w:sz w:val="16"/>
          <w:szCs w:val="16"/>
          <w:color w:val="auto"/>
        </w:rPr>
      </w:pPr>
      <w:r>
        <w:rPr>
          <w:rFonts w:ascii="Arial" w:cs="Arial" w:eastAsia="Arial" w:hAnsi="Arial"/>
          <w:sz w:val="16"/>
          <w:szCs w:val="16"/>
          <w:color w:val="auto"/>
        </w:rPr>
        <w:t>We redesigned our volunteer engagement strategy and integrated technology to support global reach. Additionally, our Engage corporate volunteering program offers a skills-based toolkit to support volunteers and beneficiaries when involved in career readiness projects.</w:t>
      </w:r>
    </w:p>
    <w:p>
      <w:pPr>
        <w:spacing w:after="0" w:line="36" w:lineRule="exact"/>
        <w:rPr>
          <w:rFonts w:ascii="Arial" w:cs="Arial" w:eastAsia="Arial" w:hAnsi="Arial"/>
          <w:sz w:val="16"/>
          <w:szCs w:val="16"/>
          <w:color w:val="auto"/>
        </w:rPr>
      </w:pPr>
    </w:p>
    <w:p>
      <w:pPr>
        <w:ind w:left="1740" w:hanging="315"/>
        <w:spacing w:after="0"/>
        <w:tabs>
          <w:tab w:leader="none" w:pos="1740" w:val="left"/>
        </w:tabs>
        <w:numPr>
          <w:ilvl w:val="4"/>
          <w:numId w:val="18"/>
        </w:numPr>
        <w:rPr>
          <w:rFonts w:ascii="Arial" w:cs="Arial" w:eastAsia="Arial" w:hAnsi="Arial"/>
          <w:sz w:val="16"/>
          <w:szCs w:val="16"/>
          <w:color w:val="auto"/>
        </w:rPr>
      </w:pPr>
      <w:r>
        <w:rPr>
          <w:rFonts w:ascii="Arial" w:cs="Arial" w:eastAsia="Arial" w:hAnsi="Arial"/>
          <w:sz w:val="16"/>
          <w:szCs w:val="16"/>
          <w:color w:val="auto"/>
        </w:rPr>
        <w:t>In 2022, we achieved over 7,800 hours of volunteering, engaging more than 1,000 employees in the U.S. and Canada.</w:t>
      </w:r>
    </w:p>
    <w:p>
      <w:pPr>
        <w:spacing w:after="0" w:line="86" w:lineRule="exact"/>
        <w:rPr>
          <w:rFonts w:ascii="Arial" w:cs="Arial" w:eastAsia="Arial" w:hAnsi="Arial"/>
          <w:sz w:val="16"/>
          <w:szCs w:val="16"/>
          <w:color w:val="auto"/>
        </w:rPr>
      </w:pPr>
    </w:p>
    <w:p>
      <w:pPr>
        <w:ind w:left="1420" w:hanging="319"/>
        <w:spacing w:after="0"/>
        <w:tabs>
          <w:tab w:leader="none" w:pos="1420" w:val="left"/>
        </w:tabs>
        <w:numPr>
          <w:ilvl w:val="3"/>
          <w:numId w:val="18"/>
        </w:numPr>
        <w:rPr>
          <w:rFonts w:ascii="Arial" w:cs="Arial" w:eastAsia="Arial" w:hAnsi="Arial"/>
          <w:sz w:val="16"/>
          <w:szCs w:val="16"/>
          <w:color w:val="auto"/>
        </w:rPr>
      </w:pPr>
      <w:r>
        <w:rPr>
          <w:rFonts w:ascii="Arial" w:cs="Arial" w:eastAsia="Arial" w:hAnsi="Arial"/>
          <w:sz w:val="16"/>
          <w:szCs w:val="16"/>
          <w:color w:val="auto"/>
        </w:rPr>
        <w:t>Maintain stakeholder engagement with our interest groups</w:t>
      </w:r>
    </w:p>
    <w:p>
      <w:pPr>
        <w:spacing w:after="0" w:line="86" w:lineRule="exact"/>
        <w:rPr>
          <w:rFonts w:ascii="Arial" w:cs="Arial" w:eastAsia="Arial" w:hAnsi="Arial"/>
          <w:sz w:val="16"/>
          <w:szCs w:val="16"/>
          <w:color w:val="auto"/>
        </w:rPr>
      </w:pPr>
    </w:p>
    <w:p>
      <w:pPr>
        <w:ind w:left="1740" w:hanging="315"/>
        <w:spacing w:after="0"/>
        <w:tabs>
          <w:tab w:leader="none" w:pos="1740" w:val="left"/>
        </w:tabs>
        <w:numPr>
          <w:ilvl w:val="4"/>
          <w:numId w:val="18"/>
        </w:numPr>
        <w:rPr>
          <w:rFonts w:ascii="Arial" w:cs="Arial" w:eastAsia="Arial" w:hAnsi="Arial"/>
          <w:sz w:val="16"/>
          <w:szCs w:val="16"/>
          <w:color w:val="auto"/>
        </w:rPr>
      </w:pPr>
      <w:r>
        <w:rPr>
          <w:rFonts w:ascii="Arial" w:cs="Arial" w:eastAsia="Arial" w:hAnsi="Arial"/>
          <w:sz w:val="16"/>
          <w:szCs w:val="16"/>
          <w:color w:val="auto"/>
        </w:rPr>
        <w:t>Our Kelly employee engagement survey showed a three-point increase in employee engagement score.</w:t>
      </w:r>
    </w:p>
    <w:p>
      <w:pPr>
        <w:spacing w:after="0" w:line="86" w:lineRule="exact"/>
        <w:rPr>
          <w:rFonts w:ascii="Arial" w:cs="Arial" w:eastAsia="Arial" w:hAnsi="Arial"/>
          <w:sz w:val="16"/>
          <w:szCs w:val="16"/>
          <w:color w:val="auto"/>
        </w:rPr>
      </w:pPr>
    </w:p>
    <w:p>
      <w:pPr>
        <w:ind w:left="440" w:hanging="324"/>
        <w:spacing w:after="0"/>
        <w:tabs>
          <w:tab w:leader="none" w:pos="4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Reduce inequalities through enhanced internal processes</w:t>
      </w:r>
    </w:p>
    <w:p>
      <w:pPr>
        <w:spacing w:after="0" w:line="86" w:lineRule="exact"/>
        <w:rPr>
          <w:rFonts w:ascii="Arial" w:cs="Arial" w:eastAsia="Arial" w:hAnsi="Arial"/>
          <w:sz w:val="16"/>
          <w:szCs w:val="16"/>
          <w:color w:val="auto"/>
        </w:rPr>
      </w:pPr>
    </w:p>
    <w:p>
      <w:pPr>
        <w:ind w:left="760" w:hanging="320"/>
        <w:spacing w:after="0"/>
        <w:tabs>
          <w:tab w:leader="none" w:pos="7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Progress:</w:t>
      </w:r>
    </w:p>
    <w:p>
      <w:pPr>
        <w:spacing w:after="0" w:line="86" w:lineRule="exact"/>
        <w:rPr>
          <w:rFonts w:ascii="Arial" w:cs="Arial" w:eastAsia="Arial" w:hAnsi="Arial"/>
          <w:sz w:val="16"/>
          <w:szCs w:val="16"/>
          <w:color w:val="auto"/>
        </w:rPr>
      </w:pPr>
    </w:p>
    <w:p>
      <w:pPr>
        <w:ind w:left="1080" w:hanging="316"/>
        <w:spacing w:after="0"/>
        <w:tabs>
          <w:tab w:leader="none" w:pos="1080" w:val="left"/>
        </w:tabs>
        <w:numPr>
          <w:ilvl w:val="2"/>
          <w:numId w:val="18"/>
        </w:numPr>
        <w:rPr>
          <w:rFonts w:ascii="Arial" w:cs="Arial" w:eastAsia="Arial" w:hAnsi="Arial"/>
          <w:sz w:val="16"/>
          <w:szCs w:val="16"/>
          <w:color w:val="auto"/>
        </w:rPr>
      </w:pPr>
      <w:r>
        <w:rPr>
          <w:rFonts w:ascii="Arial" w:cs="Arial" w:eastAsia="Arial" w:hAnsi="Arial"/>
          <w:sz w:val="16"/>
          <w:szCs w:val="16"/>
          <w:color w:val="auto"/>
        </w:rPr>
        <w:t>Ongoing pay equity and compensation review and reporting process (pay grade transparency)</w:t>
      </w:r>
    </w:p>
    <w:p>
      <w:pPr>
        <w:spacing w:after="0" w:line="86" w:lineRule="exact"/>
        <w:rPr>
          <w:rFonts w:ascii="Arial" w:cs="Arial" w:eastAsia="Arial" w:hAnsi="Arial"/>
          <w:sz w:val="16"/>
          <w:szCs w:val="16"/>
          <w:color w:val="auto"/>
        </w:rPr>
      </w:pPr>
    </w:p>
    <w:p>
      <w:pPr>
        <w:ind w:left="1080" w:hanging="316"/>
        <w:spacing w:after="0"/>
        <w:tabs>
          <w:tab w:leader="none" w:pos="1080" w:val="left"/>
        </w:tabs>
        <w:numPr>
          <w:ilvl w:val="2"/>
          <w:numId w:val="18"/>
        </w:numPr>
        <w:rPr>
          <w:rFonts w:ascii="Arial" w:cs="Arial" w:eastAsia="Arial" w:hAnsi="Arial"/>
          <w:sz w:val="16"/>
          <w:szCs w:val="16"/>
          <w:color w:val="auto"/>
        </w:rPr>
      </w:pPr>
      <w:r>
        <w:rPr>
          <w:rFonts w:ascii="Arial" w:cs="Arial" w:eastAsia="Arial" w:hAnsi="Arial"/>
          <w:sz w:val="16"/>
          <w:szCs w:val="16"/>
          <w:color w:val="auto"/>
        </w:rPr>
        <w:t>Continue to identify and breakdown systemic barriers to full inclusion</w:t>
      </w:r>
    </w:p>
    <w:p>
      <w:pPr>
        <w:spacing w:after="0" w:line="86" w:lineRule="exact"/>
        <w:rPr>
          <w:rFonts w:ascii="Arial" w:cs="Arial" w:eastAsia="Arial" w:hAnsi="Arial"/>
          <w:sz w:val="16"/>
          <w:szCs w:val="16"/>
          <w:color w:val="auto"/>
        </w:rPr>
      </w:pPr>
    </w:p>
    <w:p>
      <w:pPr>
        <w:ind w:left="1420" w:right="20" w:hanging="319"/>
        <w:spacing w:after="0" w:line="266" w:lineRule="auto"/>
        <w:tabs>
          <w:tab w:leader="none" w:pos="1420" w:val="left"/>
        </w:tabs>
        <w:numPr>
          <w:ilvl w:val="3"/>
          <w:numId w:val="18"/>
        </w:numPr>
        <w:rPr>
          <w:rFonts w:ascii="Arial" w:cs="Arial" w:eastAsia="Arial" w:hAnsi="Arial"/>
          <w:sz w:val="16"/>
          <w:szCs w:val="16"/>
          <w:color w:val="auto"/>
        </w:rPr>
      </w:pPr>
      <w:r>
        <w:rPr>
          <w:rFonts w:ascii="Arial" w:cs="Arial" w:eastAsia="Arial" w:hAnsi="Arial"/>
          <w:sz w:val="16"/>
          <w:szCs w:val="16"/>
          <w:color w:val="auto"/>
        </w:rPr>
        <w:t>KellyOCG conducted the annual workforce report Re:Work to identify the market forces shaping talent attraction and retention, such as work-life balance, progression opportunities, and uncompetitive pay and benefits. And we adjusted the Company’s Learning and Human Management systems to leverage technology solutions for increasing employee engagement.</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7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-143510</wp:posOffset>
            </wp:positionV>
            <wp:extent cx="411480" cy="1968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080"/>
          </w:cols>
          <w:pgMar w:left="320" w:top="482"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Corporate Governance</w:t>
      </w:r>
    </w:p>
    <w:p>
      <w:pPr>
        <w:spacing w:after="0" w:line="143" w:lineRule="exact"/>
        <w:rPr>
          <w:sz w:val="20"/>
          <w:szCs w:val="20"/>
          <w:color w:val="auto"/>
        </w:rPr>
      </w:pPr>
    </w:p>
    <w:p>
      <w:pPr>
        <w:ind w:left="440" w:hanging="324"/>
        <w:spacing w:after="0"/>
        <w:tabs>
          <w:tab w:leader="none" w:pos="4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Accelerate DEI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1024890</wp:posOffset>
            </wp:positionH>
            <wp:positionV relativeFrom="paragraph">
              <wp:posOffset>166370</wp:posOffset>
            </wp:positionV>
            <wp:extent cx="5092065" cy="42691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092065" cy="426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760" w:hanging="320"/>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Progress:</w:t>
      </w:r>
    </w:p>
    <w:p>
      <w:pPr>
        <w:spacing w:after="0" w:line="86" w:lineRule="exact"/>
        <w:rPr>
          <w:rFonts w:ascii="Arial" w:cs="Arial" w:eastAsia="Arial" w:hAnsi="Arial"/>
          <w:sz w:val="16"/>
          <w:szCs w:val="16"/>
          <w:color w:val="auto"/>
        </w:rPr>
      </w:pPr>
    </w:p>
    <w:p>
      <w:pPr>
        <w:ind w:left="1080" w:right="380" w:hanging="316"/>
        <w:spacing w:after="0" w:line="286" w:lineRule="auto"/>
        <w:tabs>
          <w:tab w:leader="none" w:pos="10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Promote a culture where each employee is accountable for creating an environment of respect, value, and inclusion, which reinforces a feeling of belonging where everyone can thrive</w:t>
      </w:r>
    </w:p>
    <w:p>
      <w:pPr>
        <w:spacing w:after="0" w:line="20" w:lineRule="exact"/>
        <w:rPr>
          <w:rFonts w:ascii="Arial" w:cs="Arial" w:eastAsia="Arial" w:hAnsi="Arial"/>
          <w:sz w:val="16"/>
          <w:szCs w:val="16"/>
          <w:color w:val="auto"/>
        </w:rPr>
      </w:pPr>
    </w:p>
    <w:p>
      <w:pPr>
        <w:ind w:left="1420" w:hanging="319"/>
        <w:spacing w:after="0"/>
        <w:tabs>
          <w:tab w:leader="none" w:pos="1420" w:val="left"/>
        </w:tabs>
        <w:numPr>
          <w:ilvl w:val="2"/>
          <w:numId w:val="20"/>
        </w:numPr>
        <w:rPr>
          <w:rFonts w:ascii="Arial" w:cs="Arial" w:eastAsia="Arial" w:hAnsi="Arial"/>
          <w:sz w:val="16"/>
          <w:szCs w:val="16"/>
          <w:color w:val="auto"/>
        </w:rPr>
      </w:pPr>
      <w:r>
        <w:rPr>
          <w:rFonts w:ascii="Arial" w:cs="Arial" w:eastAsia="Arial" w:hAnsi="Arial"/>
          <w:sz w:val="16"/>
          <w:szCs w:val="16"/>
          <w:color w:val="auto"/>
        </w:rPr>
        <w:t>For the fifth consecutive year, Kelly received a top score on the Human Rights Corporate Equality Index 2022.</w:t>
      </w:r>
    </w:p>
    <w:p>
      <w:pPr>
        <w:spacing w:after="0" w:line="86" w:lineRule="exact"/>
        <w:rPr>
          <w:rFonts w:ascii="Arial" w:cs="Arial" w:eastAsia="Arial" w:hAnsi="Arial"/>
          <w:sz w:val="16"/>
          <w:szCs w:val="16"/>
          <w:color w:val="auto"/>
        </w:rPr>
      </w:pPr>
    </w:p>
    <w:p>
      <w:pPr>
        <w:ind w:left="1420" w:right="20" w:hanging="319"/>
        <w:spacing w:after="0" w:line="286" w:lineRule="auto"/>
        <w:tabs>
          <w:tab w:leader="none" w:pos="1420" w:val="left"/>
        </w:tabs>
        <w:numPr>
          <w:ilvl w:val="2"/>
          <w:numId w:val="20"/>
        </w:numPr>
        <w:rPr>
          <w:rFonts w:ascii="Arial" w:cs="Arial" w:eastAsia="Arial" w:hAnsi="Arial"/>
          <w:sz w:val="16"/>
          <w:szCs w:val="16"/>
          <w:color w:val="auto"/>
        </w:rPr>
      </w:pPr>
      <w:r>
        <w:rPr>
          <w:rFonts w:ascii="Arial" w:cs="Arial" w:eastAsia="Arial" w:hAnsi="Arial"/>
          <w:sz w:val="16"/>
          <w:szCs w:val="16"/>
          <w:color w:val="auto"/>
        </w:rPr>
        <w:t>Our eight Affinity Groups bring together over 900 people with similar backgrounds and interests and gives them a platform to voice their experiences. In 2022, they conducted a total of 86 events such as:</w:t>
      </w:r>
    </w:p>
    <w:p>
      <w:pPr>
        <w:spacing w:after="0" w:line="20" w:lineRule="exact"/>
        <w:rPr>
          <w:rFonts w:ascii="Arial" w:cs="Arial" w:eastAsia="Arial" w:hAnsi="Arial"/>
          <w:sz w:val="16"/>
          <w:szCs w:val="16"/>
          <w:color w:val="auto"/>
        </w:rPr>
      </w:pPr>
    </w:p>
    <w:p>
      <w:pPr>
        <w:ind w:left="1740" w:hanging="315"/>
        <w:spacing w:after="0"/>
        <w:tabs>
          <w:tab w:leader="none" w:pos="1740" w:val="left"/>
        </w:tabs>
        <w:numPr>
          <w:ilvl w:val="3"/>
          <w:numId w:val="20"/>
        </w:numPr>
        <w:rPr>
          <w:rFonts w:ascii="Arial" w:cs="Arial" w:eastAsia="Arial" w:hAnsi="Arial"/>
          <w:sz w:val="16"/>
          <w:szCs w:val="16"/>
          <w:color w:val="auto"/>
        </w:rPr>
      </w:pPr>
      <w:r>
        <w:rPr>
          <w:rFonts w:ascii="Arial" w:cs="Arial" w:eastAsia="Arial" w:hAnsi="Arial"/>
          <w:sz w:val="16"/>
          <w:szCs w:val="16"/>
          <w:color w:val="auto"/>
        </w:rPr>
        <w:t>Listening sessions and Human Rights Forum;</w:t>
      </w:r>
    </w:p>
    <w:p>
      <w:pPr>
        <w:spacing w:after="0" w:line="86" w:lineRule="exact"/>
        <w:rPr>
          <w:rFonts w:ascii="Arial" w:cs="Arial" w:eastAsia="Arial" w:hAnsi="Arial"/>
          <w:sz w:val="16"/>
          <w:szCs w:val="16"/>
          <w:color w:val="auto"/>
        </w:rPr>
      </w:pPr>
    </w:p>
    <w:p>
      <w:pPr>
        <w:ind w:left="1740" w:hanging="315"/>
        <w:spacing w:after="0"/>
        <w:tabs>
          <w:tab w:leader="none" w:pos="1740" w:val="left"/>
        </w:tabs>
        <w:numPr>
          <w:ilvl w:val="3"/>
          <w:numId w:val="20"/>
        </w:numPr>
        <w:rPr>
          <w:rFonts w:ascii="Arial" w:cs="Arial" w:eastAsia="Arial" w:hAnsi="Arial"/>
          <w:sz w:val="16"/>
          <w:szCs w:val="16"/>
          <w:color w:val="auto"/>
        </w:rPr>
      </w:pPr>
      <w:r>
        <w:rPr>
          <w:rFonts w:ascii="Arial" w:cs="Arial" w:eastAsia="Arial" w:hAnsi="Arial"/>
          <w:sz w:val="16"/>
          <w:szCs w:val="16"/>
          <w:color w:val="auto"/>
        </w:rPr>
        <w:t>Mental Health programs;</w:t>
      </w:r>
    </w:p>
    <w:p>
      <w:pPr>
        <w:spacing w:after="0" w:line="86" w:lineRule="exact"/>
        <w:rPr>
          <w:rFonts w:ascii="Arial" w:cs="Arial" w:eastAsia="Arial" w:hAnsi="Arial"/>
          <w:sz w:val="16"/>
          <w:szCs w:val="16"/>
          <w:color w:val="auto"/>
        </w:rPr>
      </w:pPr>
    </w:p>
    <w:p>
      <w:pPr>
        <w:ind w:left="1740" w:hanging="315"/>
        <w:spacing w:after="0"/>
        <w:tabs>
          <w:tab w:leader="none" w:pos="1740" w:val="left"/>
        </w:tabs>
        <w:numPr>
          <w:ilvl w:val="3"/>
          <w:numId w:val="20"/>
        </w:numPr>
        <w:rPr>
          <w:rFonts w:ascii="Arial" w:cs="Arial" w:eastAsia="Arial" w:hAnsi="Arial"/>
          <w:sz w:val="16"/>
          <w:szCs w:val="16"/>
          <w:color w:val="auto"/>
        </w:rPr>
      </w:pPr>
      <w:r>
        <w:rPr>
          <w:rFonts w:ascii="Arial" w:cs="Arial" w:eastAsia="Arial" w:hAnsi="Arial"/>
          <w:sz w:val="16"/>
          <w:szCs w:val="16"/>
          <w:color w:val="auto"/>
        </w:rPr>
        <w:t>Financial Health programs; and</w:t>
      </w:r>
    </w:p>
    <w:p>
      <w:pPr>
        <w:spacing w:after="0" w:line="86" w:lineRule="exact"/>
        <w:rPr>
          <w:rFonts w:ascii="Arial" w:cs="Arial" w:eastAsia="Arial" w:hAnsi="Arial"/>
          <w:sz w:val="16"/>
          <w:szCs w:val="16"/>
          <w:color w:val="auto"/>
        </w:rPr>
      </w:pPr>
    </w:p>
    <w:p>
      <w:pPr>
        <w:ind w:left="1740" w:hanging="315"/>
        <w:spacing w:after="0"/>
        <w:tabs>
          <w:tab w:leader="none" w:pos="1740" w:val="left"/>
        </w:tabs>
        <w:numPr>
          <w:ilvl w:val="3"/>
          <w:numId w:val="20"/>
        </w:numPr>
        <w:rPr>
          <w:rFonts w:ascii="Arial" w:cs="Arial" w:eastAsia="Arial" w:hAnsi="Arial"/>
          <w:sz w:val="16"/>
          <w:szCs w:val="16"/>
          <w:color w:val="auto"/>
        </w:rPr>
      </w:pPr>
      <w:r>
        <w:rPr>
          <w:rFonts w:ascii="Arial" w:cs="Arial" w:eastAsia="Arial" w:hAnsi="Arial"/>
          <w:sz w:val="16"/>
          <w:szCs w:val="16"/>
          <w:color w:val="auto"/>
        </w:rPr>
        <w:t>Let’s Celebrate – a multicultural Affinity Group celebration to share holiday traditions, cultural expressions, and ethnic cuisine.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166370</wp:posOffset>
            </wp:positionV>
            <wp:extent cx="7012305" cy="65976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01230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82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7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-143510</wp:posOffset>
            </wp:positionV>
            <wp:extent cx="411480" cy="1968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Corporate Governance</w:t>
      </w:r>
    </w:p>
    <w:p>
      <w:pPr>
        <w:spacing w:after="0" w:line="143" w:lineRule="exact"/>
        <w:rPr>
          <w:sz w:val="20"/>
          <w:szCs w:val="20"/>
          <w:color w:val="auto"/>
        </w:rPr>
      </w:pPr>
    </w:p>
    <w:p>
      <w:pPr>
        <w:ind w:left="1080" w:hanging="316"/>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Workforce: attract, hire, and develop a diverse workforce for Kelly and our clients</w:t>
      </w:r>
    </w:p>
    <w:p>
      <w:pPr>
        <w:spacing w:after="0" w:line="126" w:lineRule="exact"/>
        <w:rPr>
          <w:rFonts w:ascii="Arial" w:cs="Arial" w:eastAsia="Arial" w:hAnsi="Arial"/>
          <w:sz w:val="16"/>
          <w:szCs w:val="16"/>
          <w:color w:val="auto"/>
        </w:rPr>
      </w:pPr>
    </w:p>
    <w:p>
      <w:pPr>
        <w:ind w:left="1420" w:right="220" w:hanging="319"/>
        <w:spacing w:after="0" w:line="256" w:lineRule="auto"/>
        <w:tabs>
          <w:tab w:leader="none" w:pos="14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Introduced the Kelly ACE technology platform, the new Recruiting Process Outsourcing (“RPO”) solution that provides a chatbot to guide candidates through the application process creating a smoother, faster, and more intuitive way to apply for jobs, while allowing our customers access to top talent. The platform balances technology and human engagement to guide candidates through the application process and provide real-time feedback to reduce drop-off while improving the recruiting experience. Additionally, this solution aims to support employers in redesigning the candidate/employee experience to attract the talent they need.</w:t>
      </w:r>
    </w:p>
    <w:p>
      <w:pPr>
        <w:spacing w:after="0" w:line="85" w:lineRule="exact"/>
        <w:rPr>
          <w:rFonts w:ascii="Arial" w:cs="Arial" w:eastAsia="Arial" w:hAnsi="Arial"/>
          <w:sz w:val="16"/>
          <w:szCs w:val="16"/>
          <w:color w:val="auto"/>
        </w:rPr>
      </w:pPr>
    </w:p>
    <w:p>
      <w:pPr>
        <w:ind w:left="1080" w:hanging="316"/>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Marketplace: scaling efforts and partnering to amplify equitable opportunities and enriching work for all</w:t>
      </w:r>
    </w:p>
    <w:p>
      <w:pPr>
        <w:spacing w:after="0" w:line="126" w:lineRule="exact"/>
        <w:rPr>
          <w:rFonts w:ascii="Arial" w:cs="Arial" w:eastAsia="Arial" w:hAnsi="Arial"/>
          <w:sz w:val="16"/>
          <w:szCs w:val="16"/>
          <w:color w:val="auto"/>
        </w:rPr>
      </w:pPr>
    </w:p>
    <w:p>
      <w:pPr>
        <w:ind w:left="1420" w:right="320" w:hanging="319"/>
        <w:spacing w:after="0" w:line="286" w:lineRule="auto"/>
        <w:tabs>
          <w:tab w:leader="none" w:pos="14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Our Diverse Global Supplier Network connected approximately 480 diverse and underrepresented suppliers to our Kelly network in 2022.</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Additional 2022 achievements</w:t>
      </w:r>
    </w:p>
    <w:p>
      <w:pPr>
        <w:spacing w:after="0" w:line="127" w:lineRule="exact"/>
        <w:rPr>
          <w:sz w:val="20"/>
          <w:szCs w:val="20"/>
          <w:color w:val="auto"/>
        </w:rPr>
      </w:pPr>
    </w:p>
    <w:p>
      <w:pPr>
        <w:ind w:left="440" w:right="80" w:hanging="324"/>
        <w:spacing w:after="0" w:line="286" w:lineRule="auto"/>
        <w:tabs>
          <w:tab w:leader="none" w:pos="4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Kelly employees contributed over $162,000 USD towards charitable organizations, including our Kelly Relief Fund and Ukraine humanitarian efforts. In addition, over 540 employees contributed nearly $80,000 USD towards charitable giving opportunities during Kelly’s annual benefits enrollment.</w:t>
      </w:r>
    </w:p>
    <w:p>
      <w:pPr>
        <w:spacing w:after="0" w:line="20" w:lineRule="exact"/>
        <w:rPr>
          <w:rFonts w:ascii="Arial" w:cs="Arial" w:eastAsia="Arial" w:hAnsi="Arial"/>
          <w:sz w:val="16"/>
          <w:szCs w:val="16"/>
          <w:color w:val="auto"/>
        </w:rPr>
      </w:pPr>
    </w:p>
    <w:p>
      <w:pPr>
        <w:ind w:left="440" w:right="100" w:hanging="324"/>
        <w:spacing w:after="0" w:line="266" w:lineRule="auto"/>
        <w:tabs>
          <w:tab w:leader="none" w:pos="4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 donated over $89,000 USD towards social investment programs and charitable organizations, committed to increasing education, training, and employment networking opportunities for underserved talent. By investing in local organizations aligned with our business strategy and core values, we increase our shared value and leverage our effort for providing inclusion and equality for the workforce.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Governance:</w:t>
      </w:r>
    </w:p>
    <w:p>
      <w:pPr>
        <w:spacing w:after="0" w:line="113"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Kelly is committed to doing the right thing; conducting ourselves in a legal, ethical, and trustworthy manner; strictly upholding our regulatory obligations in every country we operate and complying with the letter and spirit of our business policies and values. Our commitment is to hold ourselves accountable for our actions and goals.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2022 Goals</w:t>
      </w:r>
    </w:p>
    <w:p>
      <w:pPr>
        <w:spacing w:after="0" w:line="127" w:lineRule="exact"/>
        <w:rPr>
          <w:sz w:val="20"/>
          <w:szCs w:val="20"/>
          <w:color w:val="auto"/>
        </w:rPr>
      </w:pPr>
    </w:p>
    <w:p>
      <w:pPr>
        <w:ind w:left="440" w:right="80" w:hanging="324"/>
        <w:spacing w:after="0" w:line="266" w:lineRule="auto"/>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Growing with Purpose – Corporate Sustainability and ESG report production, in accordance with Global Reporting Initiative (“GRI”) standards, Sustainability Accounting Standards Board (“SASB”), United Nations Global Compact (“UNGC”), and Securities and Exchange Commission (“SEC”) disclosures.</w:t>
      </w:r>
    </w:p>
    <w:p>
      <w:pPr>
        <w:spacing w:after="0" w:line="76" w:lineRule="exact"/>
        <w:rPr>
          <w:rFonts w:ascii="Arial" w:cs="Arial" w:eastAsia="Arial" w:hAnsi="Arial"/>
          <w:sz w:val="16"/>
          <w:szCs w:val="16"/>
          <w:color w:val="auto"/>
        </w:rPr>
      </w:pPr>
    </w:p>
    <w:p>
      <w:pPr>
        <w:ind w:left="760" w:hanging="320"/>
        <w:spacing w:after="0"/>
        <w:tabs>
          <w:tab w:leader="none" w:pos="7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Progress:</w:t>
      </w:r>
    </w:p>
    <w:p>
      <w:pPr>
        <w:spacing w:after="0" w:line="126" w:lineRule="exact"/>
        <w:rPr>
          <w:rFonts w:ascii="Arial" w:cs="Arial" w:eastAsia="Arial" w:hAnsi="Arial"/>
          <w:sz w:val="16"/>
          <w:szCs w:val="16"/>
          <w:color w:val="auto"/>
        </w:rPr>
      </w:pPr>
    </w:p>
    <w:p>
      <w:pPr>
        <w:ind w:left="1080" w:hanging="316"/>
        <w:spacing w:after="0"/>
        <w:tabs>
          <w:tab w:leader="none" w:pos="1080" w:val="left"/>
        </w:tabs>
        <w:numPr>
          <w:ilvl w:val="2"/>
          <w:numId w:val="23"/>
        </w:numPr>
        <w:rPr>
          <w:rFonts w:ascii="Arial" w:cs="Arial" w:eastAsia="Arial" w:hAnsi="Arial"/>
          <w:sz w:val="16"/>
          <w:szCs w:val="16"/>
          <w:color w:val="auto"/>
        </w:rPr>
      </w:pPr>
      <w:r>
        <w:rPr>
          <w:rFonts w:ascii="Arial" w:cs="Arial" w:eastAsia="Arial" w:hAnsi="Arial"/>
          <w:sz w:val="16"/>
          <w:szCs w:val="16"/>
          <w:color w:val="auto"/>
        </w:rPr>
        <w:t>2021 ESG report published in May 2022</w:t>
      </w:r>
    </w:p>
    <w:p>
      <w:pPr>
        <w:spacing w:after="0" w:line="86" w:lineRule="exact"/>
        <w:rPr>
          <w:rFonts w:ascii="Arial" w:cs="Arial" w:eastAsia="Arial" w:hAnsi="Arial"/>
          <w:sz w:val="16"/>
          <w:szCs w:val="16"/>
          <w:color w:val="auto"/>
        </w:rPr>
      </w:pPr>
    </w:p>
    <w:p>
      <w:pPr>
        <w:ind w:left="440" w:hanging="324"/>
        <w:spacing w:after="0"/>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Continued training and acknowledgment of our global policies.</w:t>
      </w:r>
    </w:p>
    <w:p>
      <w:pPr>
        <w:spacing w:after="0" w:line="126" w:lineRule="exact"/>
        <w:rPr>
          <w:rFonts w:ascii="Arial" w:cs="Arial" w:eastAsia="Arial" w:hAnsi="Arial"/>
          <w:sz w:val="16"/>
          <w:szCs w:val="16"/>
          <w:color w:val="auto"/>
        </w:rPr>
      </w:pPr>
    </w:p>
    <w:p>
      <w:pPr>
        <w:ind w:left="760" w:hanging="320"/>
        <w:spacing w:after="0"/>
        <w:tabs>
          <w:tab w:leader="none" w:pos="7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Progress:</w:t>
      </w:r>
    </w:p>
    <w:p>
      <w:pPr>
        <w:spacing w:after="0" w:line="126" w:lineRule="exact"/>
        <w:rPr>
          <w:rFonts w:ascii="Arial" w:cs="Arial" w:eastAsia="Arial" w:hAnsi="Arial"/>
          <w:sz w:val="16"/>
          <w:szCs w:val="16"/>
          <w:color w:val="auto"/>
        </w:rPr>
      </w:pPr>
    </w:p>
    <w:p>
      <w:pPr>
        <w:ind w:left="1080" w:hanging="316"/>
        <w:spacing w:after="0"/>
        <w:tabs>
          <w:tab w:leader="none" w:pos="1080" w:val="left"/>
        </w:tabs>
        <w:numPr>
          <w:ilvl w:val="2"/>
          <w:numId w:val="23"/>
        </w:numPr>
        <w:rPr>
          <w:rFonts w:ascii="Arial" w:cs="Arial" w:eastAsia="Arial" w:hAnsi="Arial"/>
          <w:sz w:val="16"/>
          <w:szCs w:val="16"/>
          <w:color w:val="auto"/>
        </w:rPr>
      </w:pPr>
      <w:r>
        <w:rPr>
          <w:rFonts w:ascii="Arial" w:cs="Arial" w:eastAsia="Arial" w:hAnsi="Arial"/>
          <w:sz w:val="16"/>
          <w:szCs w:val="16"/>
          <w:color w:val="auto"/>
        </w:rPr>
        <w:t>95% of employees signed our Code of Business Conduct and Ethics.</w:t>
      </w:r>
    </w:p>
    <w:p>
      <w:pPr>
        <w:spacing w:after="0" w:line="126" w:lineRule="exact"/>
        <w:rPr>
          <w:rFonts w:ascii="Arial" w:cs="Arial" w:eastAsia="Arial" w:hAnsi="Arial"/>
          <w:sz w:val="16"/>
          <w:szCs w:val="16"/>
          <w:color w:val="auto"/>
        </w:rPr>
      </w:pPr>
    </w:p>
    <w:p>
      <w:pPr>
        <w:ind w:left="1080" w:hanging="316"/>
        <w:spacing w:after="0"/>
        <w:tabs>
          <w:tab w:leader="none" w:pos="1080" w:val="left"/>
        </w:tabs>
        <w:numPr>
          <w:ilvl w:val="2"/>
          <w:numId w:val="23"/>
        </w:numPr>
        <w:rPr>
          <w:rFonts w:ascii="Arial" w:cs="Arial" w:eastAsia="Arial" w:hAnsi="Arial"/>
          <w:sz w:val="16"/>
          <w:szCs w:val="16"/>
          <w:color w:val="auto"/>
        </w:rPr>
      </w:pPr>
      <w:r>
        <w:rPr>
          <w:rFonts w:ascii="Arial" w:cs="Arial" w:eastAsia="Arial" w:hAnsi="Arial"/>
          <w:sz w:val="16"/>
          <w:szCs w:val="16"/>
          <w:color w:val="auto"/>
        </w:rPr>
        <w:t>90% of employees completed global policy training on business ethics and human rights topics.</w:t>
      </w:r>
    </w:p>
    <w:p>
      <w:pPr>
        <w:spacing w:after="0" w:line="86" w:lineRule="exact"/>
        <w:rPr>
          <w:rFonts w:ascii="Arial" w:cs="Arial" w:eastAsia="Arial" w:hAnsi="Arial"/>
          <w:sz w:val="16"/>
          <w:szCs w:val="16"/>
          <w:color w:val="auto"/>
        </w:rPr>
      </w:pPr>
    </w:p>
    <w:p>
      <w:pPr>
        <w:ind w:left="440" w:hanging="324"/>
        <w:spacing w:after="0"/>
        <w:tabs>
          <w:tab w:leader="none" w:pos="4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Compliance with new and updated legislations and standards in all our territories.</w:t>
      </w:r>
    </w:p>
    <w:p>
      <w:pPr>
        <w:spacing w:after="0" w:line="126" w:lineRule="exact"/>
        <w:rPr>
          <w:rFonts w:ascii="Arial" w:cs="Arial" w:eastAsia="Arial" w:hAnsi="Arial"/>
          <w:sz w:val="16"/>
          <w:szCs w:val="16"/>
          <w:color w:val="auto"/>
        </w:rPr>
      </w:pPr>
    </w:p>
    <w:p>
      <w:pPr>
        <w:ind w:left="760" w:hanging="320"/>
        <w:spacing w:after="0"/>
        <w:tabs>
          <w:tab w:leader="none" w:pos="760" w:val="left"/>
        </w:tabs>
        <w:numPr>
          <w:ilvl w:val="1"/>
          <w:numId w:val="23"/>
        </w:numPr>
        <w:rPr>
          <w:rFonts w:ascii="Arial" w:cs="Arial" w:eastAsia="Arial" w:hAnsi="Arial"/>
          <w:sz w:val="16"/>
          <w:szCs w:val="16"/>
          <w:color w:val="auto"/>
        </w:rPr>
      </w:pPr>
      <w:r>
        <w:rPr>
          <w:rFonts w:ascii="Arial" w:cs="Arial" w:eastAsia="Arial" w:hAnsi="Arial"/>
          <w:sz w:val="16"/>
          <w:szCs w:val="16"/>
          <w:color w:val="auto"/>
        </w:rPr>
        <w:t>Progress:</w:t>
      </w:r>
    </w:p>
    <w:p>
      <w:pPr>
        <w:spacing w:after="0" w:line="126" w:lineRule="exact"/>
        <w:rPr>
          <w:rFonts w:ascii="Arial" w:cs="Arial" w:eastAsia="Arial" w:hAnsi="Arial"/>
          <w:sz w:val="16"/>
          <w:szCs w:val="16"/>
          <w:color w:val="auto"/>
        </w:rPr>
      </w:pPr>
    </w:p>
    <w:p>
      <w:pPr>
        <w:jc w:val="both"/>
        <w:ind w:left="1080" w:hanging="316"/>
        <w:spacing w:after="0" w:line="286" w:lineRule="auto"/>
        <w:tabs>
          <w:tab w:leader="none" w:pos="1080" w:val="left"/>
        </w:tabs>
        <w:numPr>
          <w:ilvl w:val="2"/>
          <w:numId w:val="23"/>
        </w:numPr>
        <w:rPr>
          <w:rFonts w:ascii="Arial" w:cs="Arial" w:eastAsia="Arial" w:hAnsi="Arial"/>
          <w:sz w:val="16"/>
          <w:szCs w:val="16"/>
          <w:color w:val="auto"/>
        </w:rPr>
      </w:pPr>
      <w:r>
        <w:rPr>
          <w:rFonts w:ascii="Arial" w:cs="Arial" w:eastAsia="Arial" w:hAnsi="Arial"/>
          <w:sz w:val="16"/>
          <w:szCs w:val="16"/>
          <w:color w:val="auto"/>
        </w:rPr>
        <w:t>Adoption of international standard procedures to ensure ongoing compliance with the European Union’s General Data Protection Regulation (“GDPR”), California’s Consumer Privacy Rights Act, and all other data privacy laws and regulations in the countries where we do business.</w:t>
      </w:r>
    </w:p>
    <w:p>
      <w:pPr>
        <w:spacing w:after="0" w:line="61" w:lineRule="exact"/>
        <w:rPr>
          <w:rFonts w:ascii="Arial" w:cs="Arial" w:eastAsia="Arial" w:hAnsi="Arial"/>
          <w:sz w:val="16"/>
          <w:szCs w:val="16"/>
          <w:color w:val="auto"/>
        </w:rPr>
      </w:pPr>
    </w:p>
    <w:p>
      <w:pPr>
        <w:ind w:left="1080" w:hanging="316"/>
        <w:spacing w:after="0" w:line="286" w:lineRule="auto"/>
        <w:tabs>
          <w:tab w:leader="none" w:pos="1080" w:val="left"/>
        </w:tabs>
        <w:numPr>
          <w:ilvl w:val="2"/>
          <w:numId w:val="23"/>
        </w:numPr>
        <w:rPr>
          <w:rFonts w:ascii="Arial" w:cs="Arial" w:eastAsia="Arial" w:hAnsi="Arial"/>
          <w:sz w:val="16"/>
          <w:szCs w:val="16"/>
          <w:color w:val="auto"/>
        </w:rPr>
      </w:pPr>
      <w:r>
        <w:rPr>
          <w:rFonts w:ascii="Arial" w:cs="Arial" w:eastAsia="Arial" w:hAnsi="Arial"/>
          <w:sz w:val="16"/>
          <w:szCs w:val="16"/>
          <w:color w:val="auto"/>
        </w:rPr>
        <w:t>In 2022, we continued ongoing efforts to strengthen Kelly’s protection around personal data with updates to our Information Security policies to ensure the highest information security standards across our network.</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Additional 2022 achievements</w:t>
      </w:r>
    </w:p>
    <w:p>
      <w:pPr>
        <w:spacing w:after="0" w:line="127" w:lineRule="exact"/>
        <w:rPr>
          <w:sz w:val="20"/>
          <w:szCs w:val="20"/>
          <w:color w:val="auto"/>
        </w:rPr>
      </w:pPr>
    </w:p>
    <w:p>
      <w:pPr>
        <w:ind w:left="440" w:right="140" w:hanging="324"/>
        <w:spacing w:after="0" w:line="256" w:lineRule="auto"/>
        <w:tabs>
          <w:tab w:leader="none" w:pos="4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Kelly participates in external assessments such as EcoVadis to analyze our performance and identify enhancement opportunities, while providing a consistent and transparent measurement for the impact of our ESG Strategy. According to EcoVadis, their rating covers a broad range of non-financial management systems including Environmental, Labor &amp; Human Rights, Ethics and Sustainable Procurement impacts. For the fifth consecutive year, Kelly has been recognized in the “Silver” category by EcoVadis, placing us in the top 5% of companies rated in the Temporary employment agency activities industry.</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7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-143510</wp:posOffset>
            </wp:positionV>
            <wp:extent cx="411480" cy="1968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00"/>
          </w:cols>
          <w:pgMar w:left="320" w:top="482"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Corporate Governance</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Human Capital</w:t>
      </w:r>
    </w:p>
    <w:p>
      <w:pPr>
        <w:spacing w:after="0" w:line="112"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Kelly is a talent solutions company dedicated to connecting people to work in ways that enrich their lives, and our employees are critical to achieving this noble purpose. To compete and succeed in a highly competitive and rapidly evolving market, it is crucial that the Company attracts and retains experienced internal employees, as well as the talent we put to work for our customers. As part of these efforts, we strive to offer competitive total rewards programs, promote employee development, foster an inclusive and diverse environment, and give employees the opportunity to give back to their communities and make a social impact.</w:t>
      </w:r>
    </w:p>
    <w:p>
      <w:pPr>
        <w:spacing w:after="0" w:line="180" w:lineRule="exact"/>
        <w:rPr>
          <w:sz w:val="20"/>
          <w:szCs w:val="20"/>
          <w:color w:val="auto"/>
        </w:rPr>
      </w:pPr>
    </w:p>
    <w:p>
      <w:pPr>
        <w:jc w:val="both"/>
        <w:ind w:left="120" w:right="140"/>
        <w:spacing w:after="0" w:line="266" w:lineRule="auto"/>
        <w:rPr>
          <w:sz w:val="20"/>
          <w:szCs w:val="20"/>
          <w:color w:val="auto"/>
        </w:rPr>
      </w:pPr>
      <w:r>
        <w:rPr>
          <w:rFonts w:ascii="Arial" w:cs="Arial" w:eastAsia="Arial" w:hAnsi="Arial"/>
          <w:sz w:val="16"/>
          <w:szCs w:val="16"/>
          <w:color w:val="auto"/>
        </w:rPr>
        <w:t>The Company is committed to the health, safety, and wellness of our employees and talent. The success of our business is fundamentally connected to the well-being of our people. Accordingly, we implement policies and practices that align with applicable laws and regulations and are in the best interest of our employees and talent, and the communities in which we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452120</wp:posOffset>
            </wp:positionV>
            <wp:extent cx="6995160" cy="215138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516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3100" w:right="120"/>
        <w:spacing w:after="0" w:line="266" w:lineRule="auto"/>
        <w:rPr>
          <w:sz w:val="20"/>
          <w:szCs w:val="20"/>
          <w:color w:val="auto"/>
        </w:rPr>
      </w:pPr>
      <w:r>
        <w:rPr>
          <w:rFonts w:ascii="Arial" w:cs="Arial" w:eastAsia="Arial" w:hAnsi="Arial"/>
          <w:sz w:val="16"/>
          <w:szCs w:val="16"/>
          <w:color w:val="auto"/>
        </w:rPr>
        <w:t>As of January 1, 2023, we employed approximately 4,800 staff members in the United States and an additional 2,700 in our international locations. The Company’s retention rates for employees identified as high performing and high potential employees align with our comparable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1069340</wp:posOffset>
            </wp:positionV>
            <wp:extent cx="69951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1412240</wp:posOffset>
            </wp:positionV>
            <wp:extent cx="1337310" cy="20142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337310"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100" w:right="660"/>
        <w:spacing w:after="0" w:line="253" w:lineRule="auto"/>
        <w:rPr>
          <w:sz w:val="20"/>
          <w:szCs w:val="20"/>
          <w:color w:val="auto"/>
        </w:rPr>
      </w:pPr>
      <w:r>
        <w:rPr>
          <w:rFonts w:ascii="Arial" w:cs="Arial" w:eastAsia="Arial" w:hAnsi="Arial"/>
          <w:sz w:val="16"/>
          <w:szCs w:val="16"/>
          <w:color w:val="auto"/>
        </w:rPr>
        <w:t>In addition to our internal employees, the Company recruits talent on behalf of customers on a global basis. In 2022, we placed more than 300,000 individuals in positions with our customers. Kelly remains the employer of record for our talent working at customer locations. This means the Company retains certain responsibilities associated with all assignments (including ensuring appropriate health and safety protocols in conjunction with our customers), wages, benefits, workers’ compensation insurance, and administration and payment of the employers’ share of applicable payroll taxes. We also offer our Kelly talent access to competitive health and benefit programs while they are working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820"/>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1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-143510</wp:posOffset>
            </wp:positionV>
            <wp:extent cx="411480" cy="1968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99695</wp:posOffset>
            </wp:positionV>
            <wp:extent cx="1337310" cy="20148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337310" cy="20148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3100"/>
        <w:spacing w:after="0" w:line="250" w:lineRule="auto"/>
        <w:rPr>
          <w:sz w:val="20"/>
          <w:szCs w:val="20"/>
          <w:color w:val="auto"/>
        </w:rPr>
      </w:pPr>
      <w:r>
        <w:rPr>
          <w:rFonts w:ascii="Arial" w:cs="Arial" w:eastAsia="Arial" w:hAnsi="Arial"/>
          <w:sz w:val="16"/>
          <w:szCs w:val="16"/>
          <w:color w:val="auto"/>
        </w:rPr>
        <w:t>The Company is committed to providing employees with competitive, equitable, and fiscally responsible total rewards opportunities, aligning employee and shareholder interests with strong pay-for-performance linkages that include a mix of base salary, short-term incentives and, in the case of our more senior employees, long-term equity awards. We believe that our programs provide fair and competitive opportunities that attract, retain, and reward talented individuals who possess the skills necessary to achieve our strategic goals and create long-term value for our shareholders. In addition to cash and equity compensation, we also offer benefits such as life and health (medical, dental and vision) insurance, paid time off, wellness benefits, and defined contribution retirement plans. We review our compensation and benefit programs regularly and respond to changes in market practice. Recent changes have included enhancements to our U.S. benefits program including additional time off for significant life events, a financial advisor program, support programs for certain chronic health conditions, and introduction of a well-being app globally. Pay and benefits programs provided to our international employees are in line with competitive local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571500</wp:posOffset>
            </wp:positionV>
            <wp:extent cx="699516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828675</wp:posOffset>
            </wp:positionV>
            <wp:extent cx="1337310" cy="20142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337310" cy="2014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100" w:right="40"/>
        <w:spacing w:after="0" w:line="250" w:lineRule="auto"/>
        <w:rPr>
          <w:sz w:val="20"/>
          <w:szCs w:val="20"/>
          <w:color w:val="auto"/>
        </w:rPr>
      </w:pPr>
      <w:r>
        <w:rPr>
          <w:rFonts w:ascii="Arial" w:cs="Arial" w:eastAsia="Arial" w:hAnsi="Arial"/>
          <w:sz w:val="16"/>
          <w:szCs w:val="16"/>
          <w:color w:val="auto"/>
        </w:rPr>
        <w:t>Since 1946, our founder fought to increase access to work for women, and we’ve long been an outspoken advocate for the value temporary and independent workers bring to the workplace. We are committed to fostering an inclusive, equitable, and diverse workforce, which we believe produces more creative solutions, results in better, more innovative products and services. A significant majority of Kelly’s U.S. workforce are women, including a majority of director and above roles. Additionally, for a fifth consecutive year, the Company achieved a 100% rating from the Human Rights Campaign Foundation’s Corporate Equality Index for LGBTQ+ equality in the workplace. Kelly is a workplace leader in creating an inclusive environment with diverse teams, aiding our ability to attract and retain high-performing talent. The Company fosters a culture of belonging, where everyone feels welcomed and respected and can thrive as we work together. Kelly promotes employee development and internal career mobility to enable our team to achieve their full potential and ensure we have the evolving workforce capabilities that the future demands.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590550</wp:posOffset>
            </wp:positionV>
            <wp:extent cx="69951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847725</wp:posOffset>
            </wp:positionV>
            <wp:extent cx="1337310" cy="20148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337310"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100" w:right="120"/>
        <w:spacing w:after="0" w:line="250" w:lineRule="auto"/>
        <w:rPr>
          <w:sz w:val="20"/>
          <w:szCs w:val="20"/>
          <w:color w:val="auto"/>
        </w:rPr>
      </w:pPr>
      <w:r>
        <w:rPr>
          <w:rFonts w:ascii="Arial" w:cs="Arial" w:eastAsia="Arial" w:hAnsi="Arial"/>
          <w:sz w:val="16"/>
          <w:szCs w:val="16"/>
          <w:color w:val="auto"/>
        </w:rPr>
        <w:t>We consider sustainability a guiding principle in strengthening the relationship with our global workforce, suppliers, and customers. Through our programs and initiatives, we seek to improve the quality of life of our employees, their families, and the communities in which they live and serve. Designed on the concept of social investment and nurturing shared values, our approach ensures the creation of future development capacities instead of aiding on isolated occasions. We support initiatives where our employees can actively engage in the causes they believe in that are also connected to our sustainability strategy. In 2022, we achieved over 7,800 hours of volunteering (for the U.S. and Canada), engaging over 1,000 employees. Through our Equity@Work initiative, we are living our commitment to ensure equitable access to work and growth for all by creating alliances with like-minded companies, policy groups, and institutions to positively impact the way companies hire, advance, and help more people thrive.</w:t>
      </w:r>
    </w:p>
    <w:p>
      <w:pPr>
        <w:spacing w:after="0" w:line="95" w:lineRule="exact"/>
        <w:rPr>
          <w:sz w:val="20"/>
          <w:szCs w:val="20"/>
          <w:color w:val="auto"/>
        </w:rPr>
      </w:pPr>
    </w:p>
    <w:p>
      <w:pPr>
        <w:ind w:left="3100" w:right="220"/>
        <w:spacing w:after="0" w:line="286" w:lineRule="auto"/>
        <w:rPr>
          <w:sz w:val="20"/>
          <w:szCs w:val="20"/>
          <w:color w:val="auto"/>
        </w:rPr>
      </w:pPr>
      <w:r>
        <w:rPr>
          <w:rFonts w:ascii="Arial" w:cs="Arial" w:eastAsia="Arial" w:hAnsi="Arial"/>
          <w:sz w:val="16"/>
          <w:szCs w:val="16"/>
          <w:color w:val="auto"/>
        </w:rPr>
        <w:t xml:space="preserve">For more information on our diversity, equity, and inclusion and community involvement initiatives, please see our Sustainability Report – Growing with Purpose at </w:t>
      </w:r>
      <w:r>
        <w:rPr>
          <w:rFonts w:ascii="Arial" w:cs="Arial" w:eastAsia="Arial" w:hAnsi="Arial"/>
          <w:sz w:val="16"/>
          <w:szCs w:val="16"/>
          <w:i w:val="1"/>
          <w:iCs w:val="1"/>
          <w:color w:val="auto"/>
        </w:rPr>
        <w:t>kellyservices.com</w:t>
      </w:r>
      <w:r>
        <w:rPr>
          <w:rFonts w:ascii="Arial" w:cs="Arial" w:eastAsia="Arial" w:hAnsi="Arial"/>
          <w:sz w:val="16"/>
          <w:szCs w:val="16"/>
          <w:color w:val="auto"/>
        </w:rPr>
        <w:t>.</w:t>
      </w: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1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-143510</wp:posOffset>
            </wp:positionV>
            <wp:extent cx="411480" cy="1968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Corporate Governance</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Selection Process</w:t>
      </w:r>
    </w:p>
    <w:p>
      <w:pPr>
        <w:spacing w:after="0" w:line="112" w:lineRule="exact"/>
        <w:rPr>
          <w:sz w:val="20"/>
          <w:szCs w:val="20"/>
          <w:color w:val="auto"/>
        </w:rPr>
      </w:pPr>
    </w:p>
    <w:p>
      <w:pPr>
        <w:ind w:left="120" w:right="160"/>
        <w:spacing w:after="0" w:line="254" w:lineRule="auto"/>
        <w:rPr>
          <w:sz w:val="20"/>
          <w:szCs w:val="20"/>
          <w:color w:val="auto"/>
        </w:rPr>
      </w:pPr>
      <w:r>
        <w:rPr>
          <w:rFonts w:ascii="Arial" w:cs="Arial" w:eastAsia="Arial" w:hAnsi="Arial"/>
          <w:sz w:val="16"/>
          <w:szCs w:val="16"/>
          <w:color w:val="auto"/>
        </w:rPr>
        <w:t>The Corporate Governance and Nominating Committee is responsible for the identification, screening, and recommendation of qualified candidates for nomination by the full Board. For the Company’s most recent director selection conducted during 2021, a subcommittee comprised of three directors led the process. The subcommittee retained an independent third-party search firm, which recommended candidates who satisfied the Board’s criteria. The search firm also provided research and pertinent information related to candidates, as requested. Potential candidates were also suggested by several members of the Company’s Board and senior leadership team. In evaluating prospective nominees, the subcommittee considered the current composition of the Board, the business and strategic needs of the Company, and the desired composition of the Board.</w:t>
      </w:r>
    </w:p>
    <w:p>
      <w:pPr>
        <w:spacing w:after="0" w:line="182"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Prior to the director search conducted in 2021, the specific experience and skills identified during the evaluation of current board composition included technology/cybersecurity and human capital management. The director search process proved to be successful with the identification and subsequent appointment to the Board of Ms. Duggirala who possesses technology and cybersecurity expertise, and Ms. Johnson with extensive experience in human capital management. An overview of the Board’s director selection process is provided below.</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4260" w:type="dxa"/>
            <w:vAlign w:val="bottom"/>
            <w:tcBorders>
              <w:top w:val="single" w:sz="8" w:color="auto"/>
            </w:tcBorders>
            <w:shd w:val="clear" w:color="auto" w:fill="EDEDED"/>
          </w:tcPr>
          <w:p>
            <w:pPr>
              <w:spacing w:after="0"/>
              <w:rPr>
                <w:sz w:val="20"/>
                <w:szCs w:val="20"/>
                <w:color w:val="auto"/>
              </w:rPr>
            </w:pPr>
            <w:r>
              <w:rPr>
                <w:rFonts w:ascii="Arial" w:cs="Arial" w:eastAsia="Arial" w:hAnsi="Arial"/>
                <w:sz w:val="16"/>
                <w:szCs w:val="16"/>
                <w:color w:val="00AF41"/>
              </w:rPr>
              <w:t>Evaluate Board Composition</w:t>
            </w:r>
          </w:p>
        </w:tc>
        <w:tc>
          <w:tcPr>
            <w:tcW w:w="6760" w:type="dxa"/>
            <w:vAlign w:val="bottom"/>
            <w:tcBorders>
              <w:top w:val="single" w:sz="8" w:color="auto"/>
            </w:tcBorders>
            <w:gridSpan w:val="3"/>
            <w:shd w:val="clear" w:color="auto" w:fill="EDEDED"/>
          </w:tcPr>
          <w:p>
            <w:pPr>
              <w:ind w:left="1480"/>
              <w:spacing w:after="0"/>
              <w:rPr>
                <w:sz w:val="20"/>
                <w:szCs w:val="20"/>
                <w:color w:val="auto"/>
              </w:rPr>
            </w:pPr>
            <w:r>
              <w:rPr>
                <w:rFonts w:ascii="Arial" w:cs="Arial" w:eastAsia="Arial" w:hAnsi="Arial"/>
                <w:sz w:val="16"/>
                <w:szCs w:val="16"/>
                <w:color w:val="auto"/>
              </w:rPr>
              <w:t>Using the Company’s Corporate Governance Principles, Board</w:t>
            </w:r>
          </w:p>
        </w:tc>
        <w:tc>
          <w:tcPr>
            <w:tcW w:w="0" w:type="dxa"/>
            <w:vAlign w:val="bottom"/>
          </w:tcPr>
          <w:p>
            <w:pPr>
              <w:spacing w:after="0"/>
              <w:rPr>
                <w:sz w:val="1"/>
                <w:szCs w:val="1"/>
                <w:color w:val="auto"/>
              </w:rPr>
            </w:pPr>
          </w:p>
        </w:tc>
      </w:tr>
      <w:tr>
        <w:trPr>
          <w:trHeight w:val="189"/>
        </w:trPr>
        <w:tc>
          <w:tcPr>
            <w:tcW w:w="4260" w:type="dxa"/>
            <w:vAlign w:val="bottom"/>
            <w:shd w:val="clear" w:color="auto" w:fill="EDEDED"/>
          </w:tcPr>
          <w:p>
            <w:pPr>
              <w:spacing w:after="0"/>
              <w:rPr>
                <w:sz w:val="16"/>
                <w:szCs w:val="16"/>
                <w:color w:val="auto"/>
              </w:rPr>
            </w:pPr>
          </w:p>
        </w:tc>
        <w:tc>
          <w:tcPr>
            <w:tcW w:w="6760" w:type="dxa"/>
            <w:vAlign w:val="bottom"/>
            <w:gridSpan w:val="3"/>
            <w:shd w:val="clear" w:color="auto" w:fill="EDEDED"/>
          </w:tcPr>
          <w:p>
            <w:pPr>
              <w:ind w:left="1480"/>
              <w:spacing w:after="0"/>
              <w:rPr>
                <w:sz w:val="20"/>
                <w:szCs w:val="20"/>
                <w:color w:val="auto"/>
              </w:rPr>
            </w:pPr>
            <w:r>
              <w:rPr>
                <w:rFonts w:ascii="Arial" w:cs="Arial" w:eastAsia="Arial" w:hAnsi="Arial"/>
                <w:sz w:val="16"/>
                <w:szCs w:val="16"/>
                <w:color w:val="auto"/>
              </w:rPr>
              <w:t>Composition Matrix, and Board self-evaluation process, the Committee</w:t>
            </w:r>
          </w:p>
        </w:tc>
        <w:tc>
          <w:tcPr>
            <w:tcW w:w="0" w:type="dxa"/>
            <w:vAlign w:val="bottom"/>
          </w:tcPr>
          <w:p>
            <w:pPr>
              <w:spacing w:after="0"/>
              <w:rPr>
                <w:sz w:val="1"/>
                <w:szCs w:val="1"/>
                <w:color w:val="auto"/>
              </w:rPr>
            </w:pPr>
          </w:p>
        </w:tc>
      </w:tr>
      <w:tr>
        <w:trPr>
          <w:trHeight w:val="189"/>
        </w:trPr>
        <w:tc>
          <w:tcPr>
            <w:tcW w:w="4260" w:type="dxa"/>
            <w:vAlign w:val="bottom"/>
            <w:shd w:val="clear" w:color="auto" w:fill="EDEDED"/>
          </w:tcPr>
          <w:p>
            <w:pPr>
              <w:spacing w:after="0"/>
              <w:rPr>
                <w:sz w:val="16"/>
                <w:szCs w:val="16"/>
                <w:color w:val="auto"/>
              </w:rPr>
            </w:pPr>
          </w:p>
        </w:tc>
        <w:tc>
          <w:tcPr>
            <w:tcW w:w="6760" w:type="dxa"/>
            <w:vAlign w:val="bottom"/>
            <w:gridSpan w:val="3"/>
            <w:shd w:val="clear" w:color="auto" w:fill="EDEDED"/>
          </w:tcPr>
          <w:p>
            <w:pPr>
              <w:ind w:left="1480"/>
              <w:spacing w:after="0"/>
              <w:rPr>
                <w:sz w:val="20"/>
                <w:szCs w:val="20"/>
                <w:color w:val="auto"/>
              </w:rPr>
            </w:pPr>
            <w:r>
              <w:rPr>
                <w:rFonts w:ascii="Arial" w:cs="Arial" w:eastAsia="Arial" w:hAnsi="Arial"/>
                <w:sz w:val="16"/>
                <w:szCs w:val="16"/>
                <w:color w:val="auto"/>
              </w:rPr>
              <w:t>(or subcommittee) evaluates the size, composition, priorities, and needs</w:t>
            </w:r>
          </w:p>
        </w:tc>
        <w:tc>
          <w:tcPr>
            <w:tcW w:w="0" w:type="dxa"/>
            <w:vAlign w:val="bottom"/>
          </w:tcPr>
          <w:p>
            <w:pPr>
              <w:spacing w:after="0"/>
              <w:rPr>
                <w:sz w:val="1"/>
                <w:szCs w:val="1"/>
                <w:color w:val="auto"/>
              </w:rPr>
            </w:pPr>
          </w:p>
        </w:tc>
      </w:tr>
      <w:tr>
        <w:trPr>
          <w:trHeight w:val="189"/>
        </w:trPr>
        <w:tc>
          <w:tcPr>
            <w:tcW w:w="4260" w:type="dxa"/>
            <w:vAlign w:val="bottom"/>
            <w:shd w:val="clear" w:color="auto" w:fill="EDEDED"/>
          </w:tcPr>
          <w:p>
            <w:pPr>
              <w:spacing w:after="0"/>
              <w:rPr>
                <w:sz w:val="16"/>
                <w:szCs w:val="16"/>
                <w:color w:val="auto"/>
              </w:rPr>
            </w:pPr>
          </w:p>
        </w:tc>
        <w:tc>
          <w:tcPr>
            <w:tcW w:w="6760" w:type="dxa"/>
            <w:vAlign w:val="bottom"/>
            <w:gridSpan w:val="3"/>
            <w:shd w:val="clear" w:color="auto" w:fill="EDEDED"/>
          </w:tcPr>
          <w:p>
            <w:pPr>
              <w:ind w:left="1480"/>
              <w:spacing w:after="0"/>
              <w:rPr>
                <w:sz w:val="20"/>
                <w:szCs w:val="20"/>
                <w:color w:val="auto"/>
              </w:rPr>
            </w:pPr>
            <w:r>
              <w:rPr>
                <w:rFonts w:ascii="Arial" w:cs="Arial" w:eastAsia="Arial" w:hAnsi="Arial"/>
                <w:sz w:val="16"/>
                <w:szCs w:val="16"/>
                <w:color w:val="auto"/>
              </w:rPr>
              <w:t>of the Board with respect to its desired experience, skills, and diversity in</w:t>
            </w:r>
          </w:p>
        </w:tc>
        <w:tc>
          <w:tcPr>
            <w:tcW w:w="0" w:type="dxa"/>
            <w:vAlign w:val="bottom"/>
          </w:tcPr>
          <w:p>
            <w:pPr>
              <w:spacing w:after="0"/>
              <w:rPr>
                <w:sz w:val="1"/>
                <w:szCs w:val="1"/>
                <w:color w:val="auto"/>
              </w:rPr>
            </w:pPr>
          </w:p>
        </w:tc>
      </w:tr>
      <w:tr>
        <w:trPr>
          <w:trHeight w:val="189"/>
        </w:trPr>
        <w:tc>
          <w:tcPr>
            <w:tcW w:w="4260" w:type="dxa"/>
            <w:vAlign w:val="bottom"/>
            <w:shd w:val="clear" w:color="auto" w:fill="EDEDED"/>
          </w:tcPr>
          <w:p>
            <w:pPr>
              <w:spacing w:after="0"/>
              <w:rPr>
                <w:sz w:val="16"/>
                <w:szCs w:val="16"/>
                <w:color w:val="auto"/>
              </w:rPr>
            </w:pPr>
          </w:p>
        </w:tc>
        <w:tc>
          <w:tcPr>
            <w:tcW w:w="6760" w:type="dxa"/>
            <w:vAlign w:val="bottom"/>
            <w:gridSpan w:val="3"/>
            <w:shd w:val="clear" w:color="auto" w:fill="EDEDED"/>
          </w:tcPr>
          <w:p>
            <w:pPr>
              <w:ind w:left="1480"/>
              <w:spacing w:after="0"/>
              <w:rPr>
                <w:sz w:val="20"/>
                <w:szCs w:val="20"/>
                <w:color w:val="auto"/>
              </w:rPr>
            </w:pPr>
            <w:r>
              <w:rPr>
                <w:rFonts w:ascii="Arial" w:cs="Arial" w:eastAsia="Arial" w:hAnsi="Arial"/>
                <w:sz w:val="16"/>
                <w:szCs w:val="16"/>
                <w:color w:val="auto"/>
              </w:rPr>
              <w:t>consideration of the Company’s current and anticipated business needs</w:t>
            </w:r>
          </w:p>
        </w:tc>
        <w:tc>
          <w:tcPr>
            <w:tcW w:w="0" w:type="dxa"/>
            <w:vAlign w:val="bottom"/>
          </w:tcPr>
          <w:p>
            <w:pPr>
              <w:spacing w:after="0"/>
              <w:rPr>
                <w:sz w:val="1"/>
                <w:szCs w:val="1"/>
                <w:color w:val="auto"/>
              </w:rPr>
            </w:pPr>
          </w:p>
        </w:tc>
      </w:tr>
      <w:tr>
        <w:trPr>
          <w:trHeight w:val="215"/>
        </w:trPr>
        <w:tc>
          <w:tcPr>
            <w:tcW w:w="4260" w:type="dxa"/>
            <w:vAlign w:val="bottom"/>
            <w:shd w:val="clear" w:color="auto" w:fill="EDEDED"/>
          </w:tcPr>
          <w:p>
            <w:pPr>
              <w:spacing w:after="0"/>
              <w:rPr>
                <w:sz w:val="18"/>
                <w:szCs w:val="18"/>
                <w:color w:val="auto"/>
              </w:rPr>
            </w:pPr>
          </w:p>
        </w:tc>
        <w:tc>
          <w:tcPr>
            <w:tcW w:w="6760" w:type="dxa"/>
            <w:vAlign w:val="bottom"/>
            <w:gridSpan w:val="3"/>
            <w:shd w:val="clear" w:color="auto" w:fill="EDEDED"/>
          </w:tcPr>
          <w:p>
            <w:pPr>
              <w:ind w:left="1480"/>
              <w:spacing w:after="0"/>
              <w:rPr>
                <w:sz w:val="20"/>
                <w:szCs w:val="20"/>
                <w:color w:val="auto"/>
              </w:rPr>
            </w:pPr>
            <w:r>
              <w:rPr>
                <w:rFonts w:ascii="Arial" w:cs="Arial" w:eastAsia="Arial" w:hAnsi="Arial"/>
                <w:sz w:val="16"/>
                <w:szCs w:val="16"/>
                <w:color w:val="auto"/>
              </w:rPr>
              <w:t>and strategies.</w:t>
            </w:r>
          </w:p>
        </w:tc>
        <w:tc>
          <w:tcPr>
            <w:tcW w:w="0" w:type="dxa"/>
            <w:vAlign w:val="bottom"/>
          </w:tcPr>
          <w:p>
            <w:pPr>
              <w:spacing w:after="0"/>
              <w:rPr>
                <w:sz w:val="1"/>
                <w:szCs w:val="1"/>
                <w:color w:val="auto"/>
              </w:rPr>
            </w:pPr>
          </w:p>
        </w:tc>
      </w:tr>
      <w:tr>
        <w:trPr>
          <w:trHeight w:val="205"/>
        </w:trPr>
        <w:tc>
          <w:tcPr>
            <w:tcW w:w="4260" w:type="dxa"/>
            <w:vAlign w:val="bottom"/>
            <w:shd w:val="clear" w:color="auto" w:fill="EDEDED"/>
          </w:tcPr>
          <w:p>
            <w:pPr>
              <w:spacing w:after="0"/>
              <w:rPr>
                <w:sz w:val="17"/>
                <w:szCs w:val="17"/>
                <w:color w:val="auto"/>
              </w:rPr>
            </w:pPr>
          </w:p>
        </w:tc>
        <w:tc>
          <w:tcPr>
            <w:tcW w:w="6020" w:type="dxa"/>
            <w:vAlign w:val="bottom"/>
            <w:shd w:val="clear" w:color="auto" w:fill="EDEDED"/>
          </w:tcPr>
          <w:p>
            <w:pPr>
              <w:spacing w:after="0"/>
              <w:rPr>
                <w:sz w:val="17"/>
                <w:szCs w:val="17"/>
                <w:color w:val="auto"/>
              </w:rPr>
            </w:pPr>
          </w:p>
        </w:tc>
        <w:tc>
          <w:tcPr>
            <w:tcW w:w="20" w:type="dxa"/>
            <w:vAlign w:val="bottom"/>
            <w:shd w:val="clear" w:color="auto" w:fill="EDEDED"/>
          </w:tcPr>
          <w:p>
            <w:pPr>
              <w:spacing w:after="0"/>
              <w:rPr>
                <w:sz w:val="17"/>
                <w:szCs w:val="17"/>
                <w:color w:val="auto"/>
              </w:rPr>
            </w:pPr>
          </w:p>
        </w:tc>
        <w:tc>
          <w:tcPr>
            <w:tcW w:w="72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260" w:type="dxa"/>
            <w:vAlign w:val="bottom"/>
          </w:tcPr>
          <w:p>
            <w:pPr>
              <w:spacing w:after="0" w:line="175" w:lineRule="exact"/>
              <w:rPr>
                <w:sz w:val="20"/>
                <w:szCs w:val="20"/>
                <w:color w:val="auto"/>
              </w:rPr>
            </w:pPr>
            <w:r>
              <w:rPr>
                <w:rFonts w:ascii="Arial" w:cs="Arial" w:eastAsia="Arial" w:hAnsi="Arial"/>
                <w:sz w:val="16"/>
                <w:szCs w:val="16"/>
                <w:color w:val="00AF41"/>
              </w:rPr>
              <w:t>Identification of Potential Candidates</w:t>
            </w:r>
          </w:p>
        </w:tc>
        <w:tc>
          <w:tcPr>
            <w:tcW w:w="6760" w:type="dxa"/>
            <w:vAlign w:val="bottom"/>
            <w:gridSpan w:val="3"/>
          </w:tcPr>
          <w:p>
            <w:pPr>
              <w:ind w:left="1480"/>
              <w:spacing w:after="0" w:line="175" w:lineRule="exact"/>
              <w:rPr>
                <w:sz w:val="20"/>
                <w:szCs w:val="20"/>
                <w:color w:val="auto"/>
              </w:rPr>
            </w:pPr>
            <w:r>
              <w:rPr>
                <w:rFonts w:ascii="Arial" w:cs="Arial" w:eastAsia="Arial" w:hAnsi="Arial"/>
                <w:sz w:val="16"/>
                <w:szCs w:val="16"/>
                <w:color w:val="auto"/>
              </w:rPr>
              <w:t>The Committee instructs the search firm to provide an initial pool of</w:t>
            </w:r>
          </w:p>
        </w:tc>
        <w:tc>
          <w:tcPr>
            <w:tcW w:w="0" w:type="dxa"/>
            <w:vAlign w:val="bottom"/>
          </w:tcPr>
          <w:p>
            <w:pPr>
              <w:spacing w:after="0"/>
              <w:rPr>
                <w:sz w:val="1"/>
                <w:szCs w:val="1"/>
                <w:color w:val="auto"/>
              </w:rPr>
            </w:pPr>
          </w:p>
        </w:tc>
      </w:tr>
      <w:tr>
        <w:trPr>
          <w:trHeight w:val="189"/>
        </w:trPr>
        <w:tc>
          <w:tcPr>
            <w:tcW w:w="4260" w:type="dxa"/>
            <w:vAlign w:val="bottom"/>
          </w:tcPr>
          <w:p>
            <w:pPr>
              <w:spacing w:after="0"/>
              <w:rPr>
                <w:sz w:val="16"/>
                <w:szCs w:val="16"/>
                <w:color w:val="auto"/>
              </w:rPr>
            </w:pPr>
          </w:p>
        </w:tc>
        <w:tc>
          <w:tcPr>
            <w:tcW w:w="6760" w:type="dxa"/>
            <w:vAlign w:val="bottom"/>
            <w:gridSpan w:val="3"/>
          </w:tcPr>
          <w:p>
            <w:pPr>
              <w:ind w:left="1480"/>
              <w:spacing w:after="0"/>
              <w:rPr>
                <w:sz w:val="20"/>
                <w:szCs w:val="20"/>
                <w:color w:val="auto"/>
              </w:rPr>
            </w:pPr>
            <w:r>
              <w:rPr>
                <w:rFonts w:ascii="Arial" w:cs="Arial" w:eastAsia="Arial" w:hAnsi="Arial"/>
                <w:sz w:val="16"/>
                <w:szCs w:val="16"/>
                <w:color w:val="auto"/>
              </w:rPr>
              <w:t>candidates that reflect gender, race, ethnic and cultural diversity, possess</w:t>
            </w:r>
          </w:p>
        </w:tc>
        <w:tc>
          <w:tcPr>
            <w:tcW w:w="0" w:type="dxa"/>
            <w:vAlign w:val="bottom"/>
          </w:tcPr>
          <w:p>
            <w:pPr>
              <w:spacing w:after="0"/>
              <w:rPr>
                <w:sz w:val="1"/>
                <w:szCs w:val="1"/>
                <w:color w:val="auto"/>
              </w:rPr>
            </w:pPr>
          </w:p>
        </w:tc>
      </w:tr>
      <w:tr>
        <w:trPr>
          <w:trHeight w:val="189"/>
        </w:trPr>
        <w:tc>
          <w:tcPr>
            <w:tcW w:w="4260" w:type="dxa"/>
            <w:vAlign w:val="bottom"/>
          </w:tcPr>
          <w:p>
            <w:pPr>
              <w:spacing w:after="0"/>
              <w:rPr>
                <w:sz w:val="16"/>
                <w:szCs w:val="16"/>
                <w:color w:val="auto"/>
              </w:rPr>
            </w:pPr>
          </w:p>
        </w:tc>
        <w:tc>
          <w:tcPr>
            <w:tcW w:w="6760" w:type="dxa"/>
            <w:vAlign w:val="bottom"/>
            <w:gridSpan w:val="3"/>
          </w:tcPr>
          <w:p>
            <w:pPr>
              <w:ind w:left="1480"/>
              <w:spacing w:after="0"/>
              <w:rPr>
                <w:sz w:val="20"/>
                <w:szCs w:val="20"/>
                <w:color w:val="auto"/>
              </w:rPr>
            </w:pPr>
            <w:r>
              <w:rPr>
                <w:rFonts w:ascii="Arial" w:cs="Arial" w:eastAsia="Arial" w:hAnsi="Arial"/>
                <w:sz w:val="16"/>
                <w:szCs w:val="16"/>
                <w:color w:val="auto"/>
              </w:rPr>
              <w:t>the core qualifications required, and includes the specific experience and</w:t>
            </w:r>
          </w:p>
        </w:tc>
        <w:tc>
          <w:tcPr>
            <w:tcW w:w="0" w:type="dxa"/>
            <w:vAlign w:val="bottom"/>
          </w:tcPr>
          <w:p>
            <w:pPr>
              <w:spacing w:after="0"/>
              <w:rPr>
                <w:sz w:val="1"/>
                <w:szCs w:val="1"/>
                <w:color w:val="auto"/>
              </w:rPr>
            </w:pPr>
          </w:p>
        </w:tc>
      </w:tr>
      <w:tr>
        <w:trPr>
          <w:trHeight w:val="189"/>
        </w:trPr>
        <w:tc>
          <w:tcPr>
            <w:tcW w:w="4260" w:type="dxa"/>
            <w:vAlign w:val="bottom"/>
          </w:tcPr>
          <w:p>
            <w:pPr>
              <w:spacing w:after="0"/>
              <w:rPr>
                <w:sz w:val="16"/>
                <w:szCs w:val="16"/>
                <w:color w:val="auto"/>
              </w:rPr>
            </w:pPr>
          </w:p>
        </w:tc>
        <w:tc>
          <w:tcPr>
            <w:tcW w:w="6760" w:type="dxa"/>
            <w:vAlign w:val="bottom"/>
            <w:gridSpan w:val="3"/>
          </w:tcPr>
          <w:p>
            <w:pPr>
              <w:ind w:left="1480"/>
              <w:spacing w:after="0"/>
              <w:rPr>
                <w:sz w:val="20"/>
                <w:szCs w:val="20"/>
                <w:color w:val="auto"/>
              </w:rPr>
            </w:pPr>
            <w:r>
              <w:rPr>
                <w:rFonts w:ascii="Arial" w:cs="Arial" w:eastAsia="Arial" w:hAnsi="Arial"/>
                <w:sz w:val="16"/>
                <w:szCs w:val="16"/>
                <w:color w:val="auto"/>
              </w:rPr>
              <w:t>skills as identified during the evaluation of current board composition. The</w:t>
            </w:r>
          </w:p>
        </w:tc>
        <w:tc>
          <w:tcPr>
            <w:tcW w:w="0" w:type="dxa"/>
            <w:vAlign w:val="bottom"/>
          </w:tcPr>
          <w:p>
            <w:pPr>
              <w:spacing w:after="0"/>
              <w:rPr>
                <w:sz w:val="1"/>
                <w:szCs w:val="1"/>
                <w:color w:val="auto"/>
              </w:rPr>
            </w:pPr>
          </w:p>
        </w:tc>
      </w:tr>
      <w:tr>
        <w:trPr>
          <w:trHeight w:val="189"/>
        </w:trPr>
        <w:tc>
          <w:tcPr>
            <w:tcW w:w="4260" w:type="dxa"/>
            <w:vAlign w:val="bottom"/>
          </w:tcPr>
          <w:p>
            <w:pPr>
              <w:spacing w:after="0"/>
              <w:rPr>
                <w:sz w:val="16"/>
                <w:szCs w:val="16"/>
                <w:color w:val="auto"/>
              </w:rPr>
            </w:pPr>
          </w:p>
        </w:tc>
        <w:tc>
          <w:tcPr>
            <w:tcW w:w="6760" w:type="dxa"/>
            <w:vAlign w:val="bottom"/>
            <w:gridSpan w:val="3"/>
          </w:tcPr>
          <w:p>
            <w:pPr>
              <w:ind w:left="1480"/>
              <w:spacing w:after="0"/>
              <w:rPr>
                <w:sz w:val="20"/>
                <w:szCs w:val="20"/>
                <w:color w:val="auto"/>
              </w:rPr>
            </w:pPr>
            <w:r>
              <w:rPr>
                <w:rFonts w:ascii="Arial" w:cs="Arial" w:eastAsia="Arial" w:hAnsi="Arial"/>
                <w:sz w:val="16"/>
                <w:szCs w:val="16"/>
                <w:color w:val="auto"/>
              </w:rPr>
              <w:t>Committee also encourages and considers candidate submissions from</w:t>
            </w:r>
          </w:p>
        </w:tc>
        <w:tc>
          <w:tcPr>
            <w:tcW w:w="0" w:type="dxa"/>
            <w:vAlign w:val="bottom"/>
          </w:tcPr>
          <w:p>
            <w:pPr>
              <w:spacing w:after="0"/>
              <w:rPr>
                <w:sz w:val="1"/>
                <w:szCs w:val="1"/>
                <w:color w:val="auto"/>
              </w:rPr>
            </w:pPr>
          </w:p>
        </w:tc>
      </w:tr>
      <w:tr>
        <w:trPr>
          <w:trHeight w:val="215"/>
        </w:trPr>
        <w:tc>
          <w:tcPr>
            <w:tcW w:w="4260" w:type="dxa"/>
            <w:vAlign w:val="bottom"/>
          </w:tcPr>
          <w:p>
            <w:pPr>
              <w:spacing w:after="0"/>
              <w:rPr>
                <w:sz w:val="18"/>
                <w:szCs w:val="18"/>
                <w:color w:val="auto"/>
              </w:rPr>
            </w:pPr>
          </w:p>
        </w:tc>
        <w:tc>
          <w:tcPr>
            <w:tcW w:w="6760" w:type="dxa"/>
            <w:vAlign w:val="bottom"/>
            <w:gridSpan w:val="3"/>
          </w:tcPr>
          <w:p>
            <w:pPr>
              <w:ind w:left="1480"/>
              <w:spacing w:after="0"/>
              <w:rPr>
                <w:sz w:val="20"/>
                <w:szCs w:val="20"/>
                <w:color w:val="auto"/>
              </w:rPr>
            </w:pPr>
            <w:r>
              <w:rPr>
                <w:rFonts w:ascii="Arial" w:cs="Arial" w:eastAsia="Arial" w:hAnsi="Arial"/>
                <w:sz w:val="16"/>
                <w:szCs w:val="16"/>
                <w:color w:val="auto"/>
              </w:rPr>
              <w:t>other directors and members of Company management.</w:t>
            </w:r>
          </w:p>
        </w:tc>
        <w:tc>
          <w:tcPr>
            <w:tcW w:w="0" w:type="dxa"/>
            <w:vAlign w:val="bottom"/>
          </w:tcPr>
          <w:p>
            <w:pPr>
              <w:spacing w:after="0"/>
              <w:rPr>
                <w:sz w:val="1"/>
                <w:szCs w:val="1"/>
                <w:color w:val="auto"/>
              </w:rPr>
            </w:pPr>
          </w:p>
        </w:tc>
      </w:tr>
      <w:tr>
        <w:trPr>
          <w:trHeight w:val="205"/>
        </w:trPr>
        <w:tc>
          <w:tcPr>
            <w:tcW w:w="426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260" w:type="dxa"/>
            <w:vAlign w:val="bottom"/>
            <w:shd w:val="clear" w:color="auto" w:fill="EDEDED"/>
          </w:tcPr>
          <w:p>
            <w:pPr>
              <w:spacing w:after="0" w:line="175" w:lineRule="exact"/>
              <w:rPr>
                <w:sz w:val="20"/>
                <w:szCs w:val="20"/>
                <w:color w:val="auto"/>
              </w:rPr>
            </w:pPr>
            <w:r>
              <w:rPr>
                <w:rFonts w:ascii="Arial" w:cs="Arial" w:eastAsia="Arial" w:hAnsi="Arial"/>
                <w:sz w:val="16"/>
                <w:szCs w:val="16"/>
                <w:color w:val="00AF41"/>
              </w:rPr>
              <w:t>Evaluation of Candidates</w:t>
            </w:r>
          </w:p>
        </w:tc>
        <w:tc>
          <w:tcPr>
            <w:tcW w:w="6760" w:type="dxa"/>
            <w:vAlign w:val="bottom"/>
            <w:gridSpan w:val="3"/>
            <w:shd w:val="clear" w:color="auto" w:fill="EDEDED"/>
          </w:tcPr>
          <w:p>
            <w:pPr>
              <w:ind w:left="1480"/>
              <w:spacing w:after="0" w:line="175" w:lineRule="exact"/>
              <w:rPr>
                <w:sz w:val="20"/>
                <w:szCs w:val="20"/>
                <w:color w:val="auto"/>
              </w:rPr>
            </w:pPr>
            <w:r>
              <w:rPr>
                <w:rFonts w:ascii="Arial" w:cs="Arial" w:eastAsia="Arial" w:hAnsi="Arial"/>
                <w:sz w:val="16"/>
                <w:szCs w:val="16"/>
                <w:color w:val="auto"/>
              </w:rPr>
              <w:t>Through meetings with the Committee, a screening process of potential</w:t>
            </w:r>
          </w:p>
        </w:tc>
        <w:tc>
          <w:tcPr>
            <w:tcW w:w="0" w:type="dxa"/>
            <w:vAlign w:val="bottom"/>
          </w:tcPr>
          <w:p>
            <w:pPr>
              <w:spacing w:after="0"/>
              <w:rPr>
                <w:sz w:val="1"/>
                <w:szCs w:val="1"/>
                <w:color w:val="auto"/>
              </w:rPr>
            </w:pPr>
          </w:p>
        </w:tc>
      </w:tr>
      <w:tr>
        <w:trPr>
          <w:trHeight w:val="189"/>
        </w:trPr>
        <w:tc>
          <w:tcPr>
            <w:tcW w:w="4260" w:type="dxa"/>
            <w:vAlign w:val="bottom"/>
            <w:shd w:val="clear" w:color="auto" w:fill="EDEDED"/>
          </w:tcPr>
          <w:p>
            <w:pPr>
              <w:spacing w:after="0"/>
              <w:rPr>
                <w:sz w:val="16"/>
                <w:szCs w:val="16"/>
                <w:color w:val="auto"/>
              </w:rPr>
            </w:pPr>
          </w:p>
        </w:tc>
        <w:tc>
          <w:tcPr>
            <w:tcW w:w="6760" w:type="dxa"/>
            <w:vAlign w:val="bottom"/>
            <w:gridSpan w:val="3"/>
            <w:shd w:val="clear" w:color="auto" w:fill="EDEDED"/>
          </w:tcPr>
          <w:p>
            <w:pPr>
              <w:ind w:left="1480"/>
              <w:spacing w:after="0"/>
              <w:rPr>
                <w:sz w:val="20"/>
                <w:szCs w:val="20"/>
                <w:color w:val="auto"/>
              </w:rPr>
            </w:pPr>
            <w:r>
              <w:rPr>
                <w:rFonts w:ascii="Arial" w:cs="Arial" w:eastAsia="Arial" w:hAnsi="Arial"/>
                <w:sz w:val="16"/>
                <w:szCs w:val="16"/>
                <w:color w:val="auto"/>
              </w:rPr>
              <w:t>candidates is conducted with the independent external search firm that</w:t>
            </w:r>
          </w:p>
        </w:tc>
        <w:tc>
          <w:tcPr>
            <w:tcW w:w="0" w:type="dxa"/>
            <w:vAlign w:val="bottom"/>
          </w:tcPr>
          <w:p>
            <w:pPr>
              <w:spacing w:after="0"/>
              <w:rPr>
                <w:sz w:val="1"/>
                <w:szCs w:val="1"/>
                <w:color w:val="auto"/>
              </w:rPr>
            </w:pPr>
          </w:p>
        </w:tc>
      </w:tr>
      <w:tr>
        <w:trPr>
          <w:trHeight w:val="189"/>
        </w:trPr>
        <w:tc>
          <w:tcPr>
            <w:tcW w:w="4260" w:type="dxa"/>
            <w:vAlign w:val="bottom"/>
            <w:shd w:val="clear" w:color="auto" w:fill="EDEDED"/>
          </w:tcPr>
          <w:p>
            <w:pPr>
              <w:spacing w:after="0"/>
              <w:rPr>
                <w:sz w:val="16"/>
                <w:szCs w:val="16"/>
                <w:color w:val="auto"/>
              </w:rPr>
            </w:pPr>
          </w:p>
        </w:tc>
        <w:tc>
          <w:tcPr>
            <w:tcW w:w="6760" w:type="dxa"/>
            <w:vAlign w:val="bottom"/>
            <w:gridSpan w:val="3"/>
            <w:shd w:val="clear" w:color="auto" w:fill="EDEDED"/>
          </w:tcPr>
          <w:p>
            <w:pPr>
              <w:ind w:left="1480"/>
              <w:spacing w:after="0"/>
              <w:rPr>
                <w:sz w:val="20"/>
                <w:szCs w:val="20"/>
                <w:color w:val="auto"/>
              </w:rPr>
            </w:pPr>
            <w:r>
              <w:rPr>
                <w:rFonts w:ascii="Arial" w:cs="Arial" w:eastAsia="Arial" w:hAnsi="Arial"/>
                <w:sz w:val="16"/>
                <w:szCs w:val="16"/>
                <w:color w:val="auto"/>
              </w:rPr>
              <w:t>includes a thorough review of identified candidates’ qualifications,</w:t>
            </w:r>
          </w:p>
        </w:tc>
        <w:tc>
          <w:tcPr>
            <w:tcW w:w="0" w:type="dxa"/>
            <w:vAlign w:val="bottom"/>
          </w:tcPr>
          <w:p>
            <w:pPr>
              <w:spacing w:after="0"/>
              <w:rPr>
                <w:sz w:val="1"/>
                <w:szCs w:val="1"/>
                <w:color w:val="auto"/>
              </w:rPr>
            </w:pPr>
          </w:p>
        </w:tc>
      </w:tr>
      <w:tr>
        <w:trPr>
          <w:trHeight w:val="189"/>
        </w:trPr>
        <w:tc>
          <w:tcPr>
            <w:tcW w:w="4260" w:type="dxa"/>
            <w:vAlign w:val="bottom"/>
            <w:shd w:val="clear" w:color="auto" w:fill="EDEDED"/>
          </w:tcPr>
          <w:p>
            <w:pPr>
              <w:spacing w:after="0"/>
              <w:rPr>
                <w:sz w:val="16"/>
                <w:szCs w:val="16"/>
                <w:color w:val="auto"/>
              </w:rPr>
            </w:pPr>
          </w:p>
        </w:tc>
        <w:tc>
          <w:tcPr>
            <w:tcW w:w="6760" w:type="dxa"/>
            <w:vAlign w:val="bottom"/>
            <w:gridSpan w:val="3"/>
            <w:shd w:val="clear" w:color="auto" w:fill="EDEDED"/>
          </w:tcPr>
          <w:p>
            <w:pPr>
              <w:ind w:left="1480"/>
              <w:spacing w:after="0"/>
              <w:rPr>
                <w:sz w:val="20"/>
                <w:szCs w:val="20"/>
                <w:color w:val="auto"/>
              </w:rPr>
            </w:pPr>
            <w:r>
              <w:rPr>
                <w:rFonts w:ascii="Arial" w:cs="Arial" w:eastAsia="Arial" w:hAnsi="Arial"/>
                <w:sz w:val="16"/>
                <w:szCs w:val="16"/>
                <w:color w:val="auto"/>
              </w:rPr>
              <w:t>potential conflicts, independence, backgrounds, and experience to</w:t>
            </w:r>
          </w:p>
        </w:tc>
        <w:tc>
          <w:tcPr>
            <w:tcW w:w="0" w:type="dxa"/>
            <w:vAlign w:val="bottom"/>
          </w:tcPr>
          <w:p>
            <w:pPr>
              <w:spacing w:after="0"/>
              <w:rPr>
                <w:sz w:val="1"/>
                <w:szCs w:val="1"/>
                <w:color w:val="auto"/>
              </w:rPr>
            </w:pPr>
          </w:p>
        </w:tc>
      </w:tr>
      <w:tr>
        <w:trPr>
          <w:trHeight w:val="189"/>
        </w:trPr>
        <w:tc>
          <w:tcPr>
            <w:tcW w:w="4260" w:type="dxa"/>
            <w:vAlign w:val="bottom"/>
            <w:shd w:val="clear" w:color="auto" w:fill="EDEDED"/>
          </w:tcPr>
          <w:p>
            <w:pPr>
              <w:spacing w:after="0"/>
              <w:rPr>
                <w:sz w:val="16"/>
                <w:szCs w:val="16"/>
                <w:color w:val="auto"/>
              </w:rPr>
            </w:pPr>
          </w:p>
        </w:tc>
        <w:tc>
          <w:tcPr>
            <w:tcW w:w="6760" w:type="dxa"/>
            <w:vAlign w:val="bottom"/>
            <w:gridSpan w:val="3"/>
            <w:shd w:val="clear" w:color="auto" w:fill="EDEDED"/>
          </w:tcPr>
          <w:p>
            <w:pPr>
              <w:ind w:left="1480"/>
              <w:spacing w:after="0"/>
              <w:rPr>
                <w:sz w:val="20"/>
                <w:szCs w:val="20"/>
                <w:color w:val="auto"/>
              </w:rPr>
            </w:pPr>
            <w:r>
              <w:rPr>
                <w:rFonts w:ascii="Arial" w:cs="Arial" w:eastAsia="Arial" w:hAnsi="Arial"/>
                <w:sz w:val="16"/>
                <w:szCs w:val="16"/>
                <w:color w:val="auto"/>
              </w:rPr>
              <w:t>assess how each candidate fits the needs of the Company and Board.</w:t>
            </w:r>
          </w:p>
        </w:tc>
        <w:tc>
          <w:tcPr>
            <w:tcW w:w="0" w:type="dxa"/>
            <w:vAlign w:val="bottom"/>
          </w:tcPr>
          <w:p>
            <w:pPr>
              <w:spacing w:after="0"/>
              <w:rPr>
                <w:sz w:val="1"/>
                <w:szCs w:val="1"/>
                <w:color w:val="auto"/>
              </w:rPr>
            </w:pPr>
          </w:p>
        </w:tc>
      </w:tr>
      <w:tr>
        <w:trPr>
          <w:trHeight w:val="189"/>
        </w:trPr>
        <w:tc>
          <w:tcPr>
            <w:tcW w:w="4260" w:type="dxa"/>
            <w:vAlign w:val="bottom"/>
            <w:shd w:val="clear" w:color="auto" w:fill="EDEDED"/>
          </w:tcPr>
          <w:p>
            <w:pPr>
              <w:spacing w:after="0"/>
              <w:rPr>
                <w:sz w:val="16"/>
                <w:szCs w:val="16"/>
                <w:color w:val="auto"/>
              </w:rPr>
            </w:pPr>
          </w:p>
        </w:tc>
        <w:tc>
          <w:tcPr>
            <w:tcW w:w="6760" w:type="dxa"/>
            <w:vAlign w:val="bottom"/>
            <w:gridSpan w:val="3"/>
            <w:shd w:val="clear" w:color="auto" w:fill="EDEDED"/>
          </w:tcPr>
          <w:p>
            <w:pPr>
              <w:ind w:left="1480"/>
              <w:spacing w:after="0"/>
              <w:rPr>
                <w:sz w:val="20"/>
                <w:szCs w:val="20"/>
                <w:color w:val="auto"/>
              </w:rPr>
            </w:pPr>
            <w:r>
              <w:rPr>
                <w:rFonts w:ascii="Arial" w:cs="Arial" w:eastAsia="Arial" w:hAnsi="Arial"/>
                <w:sz w:val="16"/>
                <w:szCs w:val="16"/>
                <w:color w:val="auto"/>
              </w:rPr>
              <w:t>The candidate pool is narrowed for individual interviews with the</w:t>
            </w:r>
          </w:p>
        </w:tc>
        <w:tc>
          <w:tcPr>
            <w:tcW w:w="0" w:type="dxa"/>
            <w:vAlign w:val="bottom"/>
          </w:tcPr>
          <w:p>
            <w:pPr>
              <w:spacing w:after="0"/>
              <w:rPr>
                <w:sz w:val="1"/>
                <w:szCs w:val="1"/>
                <w:color w:val="auto"/>
              </w:rPr>
            </w:pPr>
          </w:p>
        </w:tc>
      </w:tr>
      <w:tr>
        <w:trPr>
          <w:trHeight w:val="189"/>
        </w:trPr>
        <w:tc>
          <w:tcPr>
            <w:tcW w:w="4260" w:type="dxa"/>
            <w:vAlign w:val="bottom"/>
            <w:shd w:val="clear" w:color="auto" w:fill="EDEDED"/>
          </w:tcPr>
          <w:p>
            <w:pPr>
              <w:spacing w:after="0"/>
              <w:rPr>
                <w:sz w:val="16"/>
                <w:szCs w:val="16"/>
                <w:color w:val="auto"/>
              </w:rPr>
            </w:pPr>
          </w:p>
        </w:tc>
        <w:tc>
          <w:tcPr>
            <w:tcW w:w="6760" w:type="dxa"/>
            <w:vAlign w:val="bottom"/>
            <w:gridSpan w:val="3"/>
            <w:shd w:val="clear" w:color="auto" w:fill="EDEDED"/>
          </w:tcPr>
          <w:p>
            <w:pPr>
              <w:ind w:left="1480"/>
              <w:spacing w:after="0"/>
              <w:rPr>
                <w:sz w:val="20"/>
                <w:szCs w:val="20"/>
                <w:color w:val="auto"/>
              </w:rPr>
            </w:pPr>
            <w:r>
              <w:rPr>
                <w:rFonts w:ascii="Arial" w:cs="Arial" w:eastAsia="Arial" w:hAnsi="Arial"/>
                <w:sz w:val="16"/>
                <w:szCs w:val="16"/>
                <w:color w:val="auto"/>
              </w:rPr>
              <w:t>Committee and full Board. Following the interviews, potential candidates</w:t>
            </w:r>
          </w:p>
        </w:tc>
        <w:tc>
          <w:tcPr>
            <w:tcW w:w="0" w:type="dxa"/>
            <w:vAlign w:val="bottom"/>
          </w:tcPr>
          <w:p>
            <w:pPr>
              <w:spacing w:after="0"/>
              <w:rPr>
                <w:sz w:val="1"/>
                <w:szCs w:val="1"/>
                <w:color w:val="auto"/>
              </w:rPr>
            </w:pPr>
          </w:p>
        </w:tc>
      </w:tr>
      <w:tr>
        <w:trPr>
          <w:trHeight w:val="189"/>
        </w:trPr>
        <w:tc>
          <w:tcPr>
            <w:tcW w:w="4260" w:type="dxa"/>
            <w:vAlign w:val="bottom"/>
            <w:shd w:val="clear" w:color="auto" w:fill="EDEDED"/>
          </w:tcPr>
          <w:p>
            <w:pPr>
              <w:spacing w:after="0"/>
              <w:rPr>
                <w:sz w:val="16"/>
                <w:szCs w:val="16"/>
                <w:color w:val="auto"/>
              </w:rPr>
            </w:pPr>
          </w:p>
        </w:tc>
        <w:tc>
          <w:tcPr>
            <w:tcW w:w="6760" w:type="dxa"/>
            <w:vAlign w:val="bottom"/>
            <w:gridSpan w:val="3"/>
            <w:shd w:val="clear" w:color="auto" w:fill="EDEDED"/>
          </w:tcPr>
          <w:p>
            <w:pPr>
              <w:ind w:left="1480"/>
              <w:spacing w:after="0"/>
              <w:rPr>
                <w:sz w:val="20"/>
                <w:szCs w:val="20"/>
                <w:color w:val="auto"/>
              </w:rPr>
            </w:pPr>
            <w:r>
              <w:rPr>
                <w:rFonts w:ascii="Arial" w:cs="Arial" w:eastAsia="Arial" w:hAnsi="Arial"/>
                <w:sz w:val="16"/>
                <w:szCs w:val="16"/>
                <w:color w:val="auto"/>
              </w:rPr>
              <w:t>are comprehensively reviewed and the subject of rigorous discussion</w:t>
            </w:r>
          </w:p>
        </w:tc>
        <w:tc>
          <w:tcPr>
            <w:tcW w:w="0" w:type="dxa"/>
            <w:vAlign w:val="bottom"/>
          </w:tcPr>
          <w:p>
            <w:pPr>
              <w:spacing w:after="0"/>
              <w:rPr>
                <w:sz w:val="1"/>
                <w:szCs w:val="1"/>
                <w:color w:val="auto"/>
              </w:rPr>
            </w:pPr>
          </w:p>
        </w:tc>
      </w:tr>
      <w:tr>
        <w:trPr>
          <w:trHeight w:val="215"/>
        </w:trPr>
        <w:tc>
          <w:tcPr>
            <w:tcW w:w="4260" w:type="dxa"/>
            <w:vAlign w:val="bottom"/>
            <w:shd w:val="clear" w:color="auto" w:fill="EDEDED"/>
          </w:tcPr>
          <w:p>
            <w:pPr>
              <w:spacing w:after="0"/>
              <w:rPr>
                <w:sz w:val="18"/>
                <w:szCs w:val="18"/>
                <w:color w:val="auto"/>
              </w:rPr>
            </w:pPr>
          </w:p>
        </w:tc>
        <w:tc>
          <w:tcPr>
            <w:tcW w:w="6760" w:type="dxa"/>
            <w:vAlign w:val="bottom"/>
            <w:gridSpan w:val="3"/>
            <w:shd w:val="clear" w:color="auto" w:fill="EDEDED"/>
          </w:tcPr>
          <w:p>
            <w:pPr>
              <w:ind w:left="1480"/>
              <w:spacing w:after="0"/>
              <w:rPr>
                <w:sz w:val="20"/>
                <w:szCs w:val="20"/>
                <w:color w:val="auto"/>
              </w:rPr>
            </w:pPr>
            <w:r>
              <w:rPr>
                <w:rFonts w:ascii="Arial" w:cs="Arial" w:eastAsia="Arial" w:hAnsi="Arial"/>
                <w:sz w:val="16"/>
                <w:szCs w:val="16"/>
                <w:color w:val="auto"/>
              </w:rPr>
              <w:t>during Committee and Board meetings.</w:t>
            </w:r>
          </w:p>
        </w:tc>
        <w:tc>
          <w:tcPr>
            <w:tcW w:w="0" w:type="dxa"/>
            <w:vAlign w:val="bottom"/>
          </w:tcPr>
          <w:p>
            <w:pPr>
              <w:spacing w:after="0"/>
              <w:rPr>
                <w:sz w:val="1"/>
                <w:szCs w:val="1"/>
                <w:color w:val="auto"/>
              </w:rPr>
            </w:pPr>
          </w:p>
        </w:tc>
      </w:tr>
      <w:tr>
        <w:trPr>
          <w:trHeight w:val="205"/>
        </w:trPr>
        <w:tc>
          <w:tcPr>
            <w:tcW w:w="4260" w:type="dxa"/>
            <w:vAlign w:val="bottom"/>
            <w:shd w:val="clear" w:color="auto" w:fill="EDEDED"/>
          </w:tcPr>
          <w:p>
            <w:pPr>
              <w:spacing w:after="0"/>
              <w:rPr>
                <w:sz w:val="17"/>
                <w:szCs w:val="17"/>
                <w:color w:val="auto"/>
              </w:rPr>
            </w:pPr>
          </w:p>
        </w:tc>
        <w:tc>
          <w:tcPr>
            <w:tcW w:w="6020" w:type="dxa"/>
            <w:vAlign w:val="bottom"/>
            <w:shd w:val="clear" w:color="auto" w:fill="EDEDED"/>
          </w:tcPr>
          <w:p>
            <w:pPr>
              <w:spacing w:after="0"/>
              <w:rPr>
                <w:sz w:val="17"/>
                <w:szCs w:val="17"/>
                <w:color w:val="auto"/>
              </w:rPr>
            </w:pPr>
          </w:p>
        </w:tc>
        <w:tc>
          <w:tcPr>
            <w:tcW w:w="20" w:type="dxa"/>
            <w:vAlign w:val="bottom"/>
            <w:shd w:val="clear" w:color="auto" w:fill="EDEDED"/>
          </w:tcPr>
          <w:p>
            <w:pPr>
              <w:spacing w:after="0"/>
              <w:rPr>
                <w:sz w:val="17"/>
                <w:szCs w:val="17"/>
                <w:color w:val="auto"/>
              </w:rPr>
            </w:pPr>
          </w:p>
        </w:tc>
        <w:tc>
          <w:tcPr>
            <w:tcW w:w="720" w:type="dxa"/>
            <w:vAlign w:val="bottom"/>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260" w:type="dxa"/>
            <w:vAlign w:val="bottom"/>
          </w:tcPr>
          <w:p>
            <w:pPr>
              <w:spacing w:after="0" w:line="175" w:lineRule="exact"/>
              <w:rPr>
                <w:sz w:val="20"/>
                <w:szCs w:val="20"/>
                <w:color w:val="auto"/>
              </w:rPr>
            </w:pPr>
            <w:r>
              <w:rPr>
                <w:rFonts w:ascii="Arial" w:cs="Arial" w:eastAsia="Arial" w:hAnsi="Arial"/>
                <w:sz w:val="16"/>
                <w:szCs w:val="16"/>
                <w:color w:val="00AF41"/>
              </w:rPr>
              <w:t>Recommendation</w:t>
            </w:r>
          </w:p>
        </w:tc>
        <w:tc>
          <w:tcPr>
            <w:tcW w:w="6760" w:type="dxa"/>
            <w:vAlign w:val="bottom"/>
            <w:gridSpan w:val="3"/>
          </w:tcPr>
          <w:p>
            <w:pPr>
              <w:ind w:left="1480"/>
              <w:spacing w:after="0" w:line="175" w:lineRule="exact"/>
              <w:rPr>
                <w:sz w:val="20"/>
                <w:szCs w:val="20"/>
                <w:color w:val="auto"/>
              </w:rPr>
            </w:pPr>
            <w:r>
              <w:rPr>
                <w:rFonts w:ascii="Arial" w:cs="Arial" w:eastAsia="Arial" w:hAnsi="Arial"/>
                <w:sz w:val="16"/>
                <w:szCs w:val="16"/>
                <w:color w:val="auto"/>
              </w:rPr>
              <w:t>Interview and discussion feedback are assessed, and the Committee</w:t>
            </w:r>
          </w:p>
        </w:tc>
        <w:tc>
          <w:tcPr>
            <w:tcW w:w="0" w:type="dxa"/>
            <w:vAlign w:val="bottom"/>
          </w:tcPr>
          <w:p>
            <w:pPr>
              <w:spacing w:after="0"/>
              <w:rPr>
                <w:sz w:val="1"/>
                <w:szCs w:val="1"/>
                <w:color w:val="auto"/>
              </w:rPr>
            </w:pPr>
          </w:p>
        </w:tc>
      </w:tr>
      <w:tr>
        <w:trPr>
          <w:trHeight w:val="215"/>
        </w:trPr>
        <w:tc>
          <w:tcPr>
            <w:tcW w:w="4260" w:type="dxa"/>
            <w:vAlign w:val="bottom"/>
          </w:tcPr>
          <w:p>
            <w:pPr>
              <w:spacing w:after="0"/>
              <w:rPr>
                <w:sz w:val="18"/>
                <w:szCs w:val="18"/>
                <w:color w:val="auto"/>
              </w:rPr>
            </w:pPr>
          </w:p>
        </w:tc>
        <w:tc>
          <w:tcPr>
            <w:tcW w:w="6760" w:type="dxa"/>
            <w:vAlign w:val="bottom"/>
            <w:gridSpan w:val="3"/>
          </w:tcPr>
          <w:p>
            <w:pPr>
              <w:ind w:left="1480"/>
              <w:spacing w:after="0"/>
              <w:rPr>
                <w:sz w:val="20"/>
                <w:szCs w:val="20"/>
                <w:color w:val="auto"/>
              </w:rPr>
            </w:pPr>
            <w:r>
              <w:rPr>
                <w:rFonts w:ascii="Arial" w:cs="Arial" w:eastAsia="Arial" w:hAnsi="Arial"/>
                <w:sz w:val="16"/>
                <w:szCs w:val="16"/>
                <w:color w:val="auto"/>
              </w:rPr>
              <w:t>recommends final candidate(s) to the full Board for appointment.</w:t>
            </w:r>
          </w:p>
        </w:tc>
        <w:tc>
          <w:tcPr>
            <w:tcW w:w="0" w:type="dxa"/>
            <w:vAlign w:val="bottom"/>
          </w:tcPr>
          <w:p>
            <w:pPr>
              <w:spacing w:after="0"/>
              <w:rPr>
                <w:sz w:val="1"/>
                <w:szCs w:val="1"/>
                <w:color w:val="auto"/>
              </w:rPr>
            </w:pPr>
          </w:p>
        </w:tc>
      </w:tr>
      <w:tr>
        <w:trPr>
          <w:trHeight w:val="204"/>
        </w:trPr>
        <w:tc>
          <w:tcPr>
            <w:tcW w:w="426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260" w:type="dxa"/>
            <w:vAlign w:val="bottom"/>
            <w:shd w:val="clear" w:color="auto" w:fill="EDEDED"/>
          </w:tcPr>
          <w:p>
            <w:pPr>
              <w:spacing w:after="0" w:line="175" w:lineRule="exact"/>
              <w:rPr>
                <w:sz w:val="20"/>
                <w:szCs w:val="20"/>
                <w:color w:val="auto"/>
              </w:rPr>
            </w:pPr>
            <w:r>
              <w:rPr>
                <w:rFonts w:ascii="Arial" w:cs="Arial" w:eastAsia="Arial" w:hAnsi="Arial"/>
                <w:sz w:val="16"/>
                <w:szCs w:val="16"/>
                <w:color w:val="00AF41"/>
              </w:rPr>
              <w:t>Review and Appointment by Full Board</w:t>
            </w:r>
          </w:p>
        </w:tc>
        <w:tc>
          <w:tcPr>
            <w:tcW w:w="6760" w:type="dxa"/>
            <w:vAlign w:val="bottom"/>
            <w:gridSpan w:val="3"/>
            <w:shd w:val="clear" w:color="auto" w:fill="EDEDED"/>
          </w:tcPr>
          <w:p>
            <w:pPr>
              <w:ind w:left="1480"/>
              <w:spacing w:after="0" w:line="175" w:lineRule="exact"/>
              <w:rPr>
                <w:sz w:val="20"/>
                <w:szCs w:val="20"/>
                <w:color w:val="auto"/>
              </w:rPr>
            </w:pPr>
            <w:r>
              <w:rPr>
                <w:rFonts w:ascii="Arial" w:cs="Arial" w:eastAsia="Arial" w:hAnsi="Arial"/>
                <w:sz w:val="16"/>
                <w:szCs w:val="16"/>
                <w:color w:val="auto"/>
              </w:rPr>
              <w:t>The full Board appoints new director(s), who then stand for election by</w:t>
            </w:r>
          </w:p>
        </w:tc>
        <w:tc>
          <w:tcPr>
            <w:tcW w:w="0" w:type="dxa"/>
            <w:vAlign w:val="bottom"/>
          </w:tcPr>
          <w:p>
            <w:pPr>
              <w:spacing w:after="0"/>
              <w:rPr>
                <w:sz w:val="1"/>
                <w:szCs w:val="1"/>
                <w:color w:val="auto"/>
              </w:rPr>
            </w:pPr>
          </w:p>
        </w:tc>
      </w:tr>
      <w:tr>
        <w:trPr>
          <w:trHeight w:val="215"/>
        </w:trPr>
        <w:tc>
          <w:tcPr>
            <w:tcW w:w="4260" w:type="dxa"/>
            <w:vAlign w:val="bottom"/>
            <w:shd w:val="clear" w:color="auto" w:fill="EDEDED"/>
          </w:tcPr>
          <w:p>
            <w:pPr>
              <w:spacing w:after="0"/>
              <w:rPr>
                <w:sz w:val="18"/>
                <w:szCs w:val="18"/>
                <w:color w:val="auto"/>
              </w:rPr>
            </w:pPr>
          </w:p>
        </w:tc>
        <w:tc>
          <w:tcPr>
            <w:tcW w:w="6760" w:type="dxa"/>
            <w:vAlign w:val="bottom"/>
            <w:gridSpan w:val="3"/>
            <w:shd w:val="clear" w:color="auto" w:fill="EDEDED"/>
          </w:tcPr>
          <w:p>
            <w:pPr>
              <w:ind w:left="1480"/>
              <w:spacing w:after="0"/>
              <w:rPr>
                <w:sz w:val="20"/>
                <w:szCs w:val="20"/>
                <w:color w:val="auto"/>
              </w:rPr>
            </w:pPr>
            <w:r>
              <w:rPr>
                <w:rFonts w:ascii="Arial" w:cs="Arial" w:eastAsia="Arial" w:hAnsi="Arial"/>
                <w:sz w:val="16"/>
                <w:szCs w:val="16"/>
                <w:color w:val="auto"/>
              </w:rPr>
              <w:t>shareholders at the next Annual Meeting.</w:t>
            </w:r>
          </w:p>
        </w:tc>
        <w:tc>
          <w:tcPr>
            <w:tcW w:w="0" w:type="dxa"/>
            <w:vAlign w:val="bottom"/>
          </w:tcPr>
          <w:p>
            <w:pPr>
              <w:spacing w:after="0"/>
              <w:rPr>
                <w:sz w:val="1"/>
                <w:szCs w:val="1"/>
                <w:color w:val="auto"/>
              </w:rPr>
            </w:pPr>
          </w:p>
        </w:tc>
      </w:tr>
      <w:tr>
        <w:trPr>
          <w:trHeight w:val="205"/>
        </w:trPr>
        <w:tc>
          <w:tcPr>
            <w:tcW w:w="4260" w:type="dxa"/>
            <w:vAlign w:val="bottom"/>
            <w:tcBorders>
              <w:bottom w:val="single" w:sz="8" w:color="auto"/>
            </w:tcBorders>
            <w:shd w:val="clear" w:color="auto" w:fill="EDEDED"/>
          </w:tcPr>
          <w:p>
            <w:pPr>
              <w:spacing w:after="0"/>
              <w:rPr>
                <w:sz w:val="17"/>
                <w:szCs w:val="17"/>
                <w:color w:val="auto"/>
              </w:rPr>
            </w:pPr>
          </w:p>
        </w:tc>
        <w:tc>
          <w:tcPr>
            <w:tcW w:w="6020" w:type="dxa"/>
            <w:vAlign w:val="bottom"/>
            <w:tcBorders>
              <w:bottom w:val="single" w:sz="8" w:color="auto"/>
            </w:tcBorders>
            <w:shd w:val="clear" w:color="auto" w:fill="EDEDED"/>
          </w:tcPr>
          <w:p>
            <w:pPr>
              <w:spacing w:after="0"/>
              <w:rPr>
                <w:sz w:val="17"/>
                <w:szCs w:val="17"/>
                <w:color w:val="auto"/>
              </w:rPr>
            </w:pPr>
          </w:p>
        </w:tc>
        <w:tc>
          <w:tcPr>
            <w:tcW w:w="20" w:type="dxa"/>
            <w:vAlign w:val="bottom"/>
            <w:tcBorders>
              <w:bottom w:val="single" w:sz="8" w:color="auto"/>
            </w:tcBorders>
            <w:shd w:val="clear" w:color="auto" w:fill="EDEDED"/>
          </w:tcPr>
          <w:p>
            <w:pPr>
              <w:spacing w:after="0"/>
              <w:rPr>
                <w:sz w:val="17"/>
                <w:szCs w:val="17"/>
                <w:color w:val="auto"/>
              </w:rPr>
            </w:pPr>
          </w:p>
        </w:tc>
        <w:tc>
          <w:tcPr>
            <w:tcW w:w="720" w:type="dxa"/>
            <w:vAlign w:val="bottom"/>
            <w:tcBorders>
              <w:bottom w:val="single" w:sz="8" w:color="auto"/>
            </w:tcBorders>
            <w:shd w:val="clear" w:color="auto" w:fill="EDEDED"/>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60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22"/>
                <w:szCs w:val="22"/>
                <w:color w:val="auto"/>
              </w:rPr>
              <w:t>43</w:t>
            </w:r>
          </w:p>
        </w:tc>
        <w:tc>
          <w:tcPr>
            <w:tcW w:w="0" w:type="dxa"/>
            <w:vAlign w:val="bottom"/>
          </w:tcPr>
          <w:p>
            <w:pPr>
              <w:spacing w:after="0"/>
              <w:rPr>
                <w:sz w:val="1"/>
                <w:szCs w:val="1"/>
                <w:color w:val="auto"/>
              </w:rPr>
            </w:pPr>
          </w:p>
        </w:tc>
      </w:tr>
      <w:tr>
        <w:trPr>
          <w:trHeight w:val="257"/>
        </w:trPr>
        <w:tc>
          <w:tcPr>
            <w:tcW w:w="4260" w:type="dxa"/>
            <w:vAlign w:val="bottom"/>
          </w:tcPr>
          <w:p>
            <w:pPr>
              <w:spacing w:after="0"/>
              <w:rPr>
                <w:sz w:val="22"/>
                <w:szCs w:val="22"/>
                <w:color w:val="auto"/>
              </w:rPr>
            </w:pPr>
          </w:p>
        </w:tc>
        <w:tc>
          <w:tcPr>
            <w:tcW w:w="602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4260" w:type="dxa"/>
            <w:vAlign w:val="bottom"/>
          </w:tcPr>
          <w:p>
            <w:pPr>
              <w:spacing w:after="0"/>
              <w:rPr>
                <w:sz w:val="9"/>
                <w:szCs w:val="9"/>
                <w:color w:val="auto"/>
              </w:rPr>
            </w:pPr>
          </w:p>
        </w:tc>
        <w:tc>
          <w:tcPr>
            <w:tcW w:w="602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-231140</wp:posOffset>
            </wp:positionV>
            <wp:extent cx="411480" cy="1968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Corporate Governance</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Attendance</w:t>
      </w:r>
    </w:p>
    <w:p>
      <w:pPr>
        <w:spacing w:after="0" w:line="112"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We expect directors to attend the Annual Meeting of the Shareholders, all Board meetings, and all meetings of the committees on which they individually serve. All directors then in office attended the 2022 Annual Meeting of Shareholders. The Board held thirteen meetings during 2022. Director attendance averaged 96% of the aggregate number of meetings of the Board and the committees on which they served during 2022. The majority of directors attended 100% of all Board and committee meetings on which they individually served in 2022. The independent directors met in executive sessions at which only they were present at least four times during 2022.</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Size of the Board</w:t>
      </w:r>
    </w:p>
    <w:p>
      <w:pPr>
        <w:spacing w:after="0" w:line="112"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Under the Company’s Amended and Restated Bylaws, the number of directors constituting the Board may be fixed by the Board within the range of five to eleven directors. The size of the Board should not exceed a number that, as determined by the Board, will permit it to function efficiently in discharging its duties. There are currently nine members of the Board. Election of all director nominees will result in a nine-member Board immediately following the Annual Meeting.</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Tenure</w:t>
      </w:r>
    </w:p>
    <w:p>
      <w:pPr>
        <w:spacing w:after="0" w:line="112"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The Board does not have term or age limits. The Board believes that the contributions and insight of tenured directors into the Company’s operations and strategy outweigh the perceived value of such limits and facilitate Board effectiveness.</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Service on Outside Public Company Boards</w:t>
      </w:r>
    </w:p>
    <w:p>
      <w:pPr>
        <w:spacing w:after="0" w:line="112"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While there is no specified limit on the number of other public company boards on which a director may serve, the number of board memberships is a consideration, along with any other time commitments a director or nominee may have, in determining his or her ability to serve effectively. Directors must be willing and able to devote sufficient time to carrying out their duties and responsibilities effectively and have an intention to serve an appropriate length of time in order to make a meaningful contribution to the Board and the Company. A director is expected to engage in discussion with the Chair of the Corporate Governance and Nominating Committee prior to accepting an invitation to serve on an additional public company board or accepting an invitation to chair a committee of a public company board on which he or she currently serves.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Orientation and Continuing Education</w:t>
      </w:r>
    </w:p>
    <w:p>
      <w:pPr>
        <w:spacing w:after="0" w:line="112"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Management, working with the Corporate Governance and Nominating Committee, provides an orientation program for new directors to facilitate integration into their roles. The program acquaints new directors with the Company’s business, history, vision, Noble Purpose, strategic direction and plans, competitive landscape, core values, Code of Business Conduct and Ethics, Insider Trading Policy, other corporate governance practices, financial, accounting, and risk management matters, key policies, sustainability strategy, senior leadership, and internal and independent auditors. The program consists of, as appropriate, a comprehensive review of background materials, briefings by senior management, and visits to Company facilities. In 2021, the Board developed a mentoring program to provide additional support and resources to new directors. Our newest appointed directors, Mss. Duggirala and Johnson, continue to benefit from mentorship by two of our more seasoned Board members. Based on feedback from our directors, we believe this onboarding approach provides new directors with a strong foundation for understanding our businesses, connects directors with members of management with whom they will interact, and accelerates their effectiveness to engage fully in Board deliberations.</w:t>
      </w:r>
    </w:p>
    <w:p>
      <w:pPr>
        <w:spacing w:after="0" w:line="185"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Directors are also encouraged to participate in continuing director education programs to help them stay current on emerging practices and issues and in carrying out their responsibilities. These programs include formal education sessions with management or third-party subject matter experts that may occur as part of regular Board or committee meetings, and participation in industry forums on business, financial, accounting, legal, and other subjects relevant to the Company’s business. The Company reimburses reasonable costs and expenses incurred by directors for continuing education that provide updates on issues and programs relevant to public companies and their directors.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7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-143510</wp:posOffset>
            </wp:positionV>
            <wp:extent cx="411480" cy="1968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Corporate Governance</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Committee, and Peer Evaluation</w:t>
      </w:r>
    </w:p>
    <w:p>
      <w:pPr>
        <w:spacing w:after="0" w:line="112"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The Board recognizes that a robust and constructive evaluation process is essential to good governance and enhanced effectiveness. The Corporate Governance and Nominating Committee organizes and oversees an annual evaluation by the Board and its committees of their performance. The evaluation facilitates an examination and discussion by the entire Board and each committee of its effectiveness in fulfilling its charter requirements and other responsibilities, its performance as measured against the Company’s Corporate Governance Principles, and areas for improvement. The evaluation also includes individual director assessments, typically in alternating years.</w:t>
      </w:r>
    </w:p>
    <w:p>
      <w:pPr>
        <w:spacing w:after="0" w:line="180"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auto"/>
        </w:rPr>
        <w:t>In 2022, the Corporate Governance and Nominating Committee engaged an independent external advisor to conduct Board and committee evaluations. The independent external advisor also conducted individual director assessments in 2022. The process included the completion of an online self-evaluation with rated and open- ended questions, with follow-up discussions by the advisor on certain individual responses, as needed. Each of the Board’s nine directors participated in the process.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typical process includes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166370</wp:posOffset>
            </wp:positionV>
            <wp:extent cx="5212080" cy="43205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212080" cy="432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120" w:right="220"/>
        <w:spacing w:after="0" w:line="266" w:lineRule="auto"/>
        <w:rPr>
          <w:sz w:val="20"/>
          <w:szCs w:val="20"/>
          <w:color w:val="auto"/>
        </w:rPr>
      </w:pPr>
      <w:r>
        <w:rPr>
          <w:rFonts w:ascii="Arial" w:cs="Arial" w:eastAsia="Arial" w:hAnsi="Arial"/>
          <w:sz w:val="16"/>
          <w:szCs w:val="16"/>
          <w:color w:val="auto"/>
        </w:rPr>
        <w:t>In addition to the annual formal evaluation, our Chairman, CEO, General Counsel, Corporate Secretary, and Committee Chairs routinely communicate with directors to obtain real-time feedback. The Board believes that this continuous feedback, along with the formal evaluation process, contribute to its overall strength and ongoing effectiveness.</w:t>
      </w:r>
    </w:p>
    <w:p>
      <w:pPr>
        <w:spacing w:after="0" w:line="91" w:lineRule="exact"/>
        <w:rPr>
          <w:sz w:val="20"/>
          <w:szCs w:val="20"/>
          <w:color w:val="auto"/>
        </w:rPr>
      </w:pPr>
    </w:p>
    <w:p>
      <w:pPr>
        <w:ind w:left="10820"/>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1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-143510</wp:posOffset>
            </wp:positionV>
            <wp:extent cx="411480" cy="1968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Corporate Governance</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actions have been taken by Kelly’s Board and its committees in response to the evaluation process over the years:</w:t>
      </w:r>
    </w:p>
    <w:p>
      <w:pPr>
        <w:spacing w:after="0" w:line="86" w:lineRule="exact"/>
        <w:rPr>
          <w:sz w:val="20"/>
          <w:szCs w:val="20"/>
          <w:color w:val="auto"/>
        </w:rPr>
      </w:pPr>
    </w:p>
    <w:p>
      <w:pPr>
        <w:ind w:left="440" w:hanging="324"/>
        <w:spacing w:after="0"/>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management with varying degrees of seniority present to the Board and its committees;</w:t>
      </w:r>
    </w:p>
    <w:p>
      <w:pPr>
        <w:spacing w:after="0" w:line="86" w:lineRule="exact"/>
        <w:rPr>
          <w:rFonts w:ascii="Arial" w:cs="Arial" w:eastAsia="Arial" w:hAnsi="Arial"/>
          <w:sz w:val="16"/>
          <w:szCs w:val="16"/>
          <w:color w:val="auto"/>
        </w:rPr>
      </w:pPr>
    </w:p>
    <w:p>
      <w:pPr>
        <w:ind w:left="440" w:hanging="324"/>
        <w:spacing w:after="0"/>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director education and presentations on emerging risk areas, corporate governance, industry disruptors, and competitors;</w:t>
      </w:r>
    </w:p>
    <w:p>
      <w:pPr>
        <w:spacing w:after="0" w:line="86" w:lineRule="exact"/>
        <w:rPr>
          <w:rFonts w:ascii="Arial" w:cs="Arial" w:eastAsia="Arial" w:hAnsi="Arial"/>
          <w:sz w:val="16"/>
          <w:szCs w:val="16"/>
          <w:color w:val="auto"/>
        </w:rPr>
      </w:pPr>
    </w:p>
    <w:p>
      <w:pPr>
        <w:ind w:left="440" w:hanging="324"/>
        <w:spacing w:after="0"/>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format of Board meetings made flexible to allow more time for formal and informal discussions among independent directors;</w:t>
      </w:r>
    </w:p>
    <w:p>
      <w:pPr>
        <w:spacing w:after="0" w:line="86" w:lineRule="exact"/>
        <w:rPr>
          <w:rFonts w:ascii="Arial" w:cs="Arial" w:eastAsia="Arial" w:hAnsi="Arial"/>
          <w:sz w:val="16"/>
          <w:szCs w:val="16"/>
          <w:color w:val="auto"/>
        </w:rPr>
      </w:pPr>
    </w:p>
    <w:p>
      <w:pPr>
        <w:ind w:left="440" w:hanging="324"/>
        <w:spacing w:after="0"/>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increased opportunities for informal meetings between directors and key executives;</w:t>
      </w:r>
    </w:p>
    <w:p>
      <w:pPr>
        <w:spacing w:after="0" w:line="86" w:lineRule="exact"/>
        <w:rPr>
          <w:rFonts w:ascii="Arial" w:cs="Arial" w:eastAsia="Arial" w:hAnsi="Arial"/>
          <w:sz w:val="16"/>
          <w:szCs w:val="16"/>
          <w:color w:val="auto"/>
        </w:rPr>
      </w:pPr>
    </w:p>
    <w:p>
      <w:pPr>
        <w:ind w:left="440" w:hanging="324"/>
        <w:spacing w:after="0"/>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increased time for informal director-only gatherings; and</w:t>
      </w:r>
    </w:p>
    <w:p>
      <w:pPr>
        <w:spacing w:after="0" w:line="86" w:lineRule="exact"/>
        <w:rPr>
          <w:rFonts w:ascii="Arial" w:cs="Arial" w:eastAsia="Arial" w:hAnsi="Arial"/>
          <w:sz w:val="16"/>
          <w:szCs w:val="16"/>
          <w:color w:val="auto"/>
        </w:rPr>
      </w:pPr>
    </w:p>
    <w:p>
      <w:pPr>
        <w:ind w:left="440" w:hanging="324"/>
        <w:spacing w:after="0"/>
        <w:tabs>
          <w:tab w:leader="none" w:pos="4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Board members added with expertise in areas critical to the Company’s business strategy and operations.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Code of Business Conduct and Ethics</w:t>
      </w:r>
    </w:p>
    <w:p>
      <w:pPr>
        <w:spacing w:after="0" w:line="112"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The Board is committed to the highest legal and ethical standards and adopted a Code of Business Conduct and Ethics (the “Code of Conduct”) that applies to all directors, officers, and employees. Each year the Company performs a thorough assessment and benchmarking of the Code of Conduct to ensure regulatory compliance and cultural alignment. The Code of Conduct forms the foundation for compliance with corporate policies and procedures and helps individuals recognize and deal with ethical issues, deter wrongdoing, provide mechanisms to report any concerns, promote honest and ethical conduct, provide full, fair, and timely disclosure, comply with applicable law and regulations, and help foster a culture of honesty and accountability. The Code of Conduct addresses conflicts of interest; anti-bribery/anti-corruption; trade compliance; insider trading; corporate opportunities; confidentiality and privacy; external communications; financial reporting and record keeping; protection and proper use of assets; fair dealing; contract management; acceptable behavior in the workplace; global diversity and inclusion; corporate sustainability; compliance with laws, rules and regulations; risk tolerance; anti-human trafficking and slavery; health &amp; safety and workplace violence; seeking advice and reporting concerns; outside activities; political contributions; public company reporting requirements; and other policies. The Code of Conduct includes an enforcement mechanism. Each of the Company’s Board members, officers, and employees is required to acknowledge their acceptance of the Code of Conduct.</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The full text of the Code of Conduct is on the Company’s website at kellyservices.com. This information is also available to any shareholder who requests it from the Company’s Investor Relations department. The Company will disclose future amendments to the Code of Conduct and material waivers of its provisions for its directors and executive officers on its website and/or by filing a current report on Form 8-K within four business days following the date of amendment or waiver, or such earlier period as may be prescribed by Nasdaq or the SEC.</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Related Person Transactions and Certain Relationships</w:t>
      </w:r>
    </w:p>
    <w:p>
      <w:pPr>
        <w:spacing w:after="0" w:line="112"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auto"/>
        </w:rPr>
        <w:t>Pursuant to the Company’s Code of Conduct, any situation that involves, or may reasonably be expected to involve, a conflict of interest with the Company must be disclosed immediately to the Vice President of Internal Audit or to the General Counsel. In addition, directors and executive officers must complete a quarterly questionnaire that solicits information regarding any transactions or relationships between themselves or their immediate family members and the Company of the types described in Item 404(a) of SEC Regulation S-K (“Related Party Transactions”). Directors and executive officers must seek a determination and obtain prior authorization or approval of any potential conflict of interest (including any Related Party Transaction) from the independent Audit Committee. The Audit Committee, pursuant to its charter, is tasked, among other things, with the responsibility to review Related Party Transactions and other potential conflicts of interest involving directors and executive and senior officers. The Company maintains a formal written policy addressing the reporting, review, and approval or ratification of transactions with related persons.</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7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-143510</wp:posOffset>
            </wp:positionV>
            <wp:extent cx="411480" cy="1968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Director Compensation</w:t>
      </w:r>
    </w:p>
    <w:p>
      <w:pPr>
        <w:spacing w:after="0" w:line="134"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Our approach to director compensation is to appropriately compensate our non-employee directors for the time, expertise, and effort required to serve as a director of a large, complex company and to align the interests of directors with those of shareholders. Compensation levels for our non-employee directors are periodically reviewed for market competitiveness. Non-employee directors receive compensation payments after election by shareholders at the Annual Meeting. Non-employee directors who begin their Board or committee chair service other than at the Annual Meeting receive a prorated amount of annual compensation based on timing of appointment.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Compensation Design</w:t>
      </w:r>
    </w:p>
    <w:p>
      <w:pPr>
        <w:spacing w:after="0" w:line="112" w:lineRule="exact"/>
        <w:rPr>
          <w:sz w:val="20"/>
          <w:szCs w:val="20"/>
          <w:color w:val="auto"/>
        </w:rPr>
      </w:pPr>
    </w:p>
    <w:p>
      <w:pPr>
        <w:ind w:left="120" w:right="180"/>
        <w:spacing w:after="0" w:line="252" w:lineRule="auto"/>
        <w:rPr>
          <w:sz w:val="20"/>
          <w:szCs w:val="20"/>
          <w:color w:val="auto"/>
        </w:rPr>
      </w:pPr>
      <w:r>
        <w:rPr>
          <w:rFonts w:ascii="Arial" w:cs="Arial" w:eastAsia="Arial" w:hAnsi="Arial"/>
          <w:sz w:val="16"/>
          <w:szCs w:val="16"/>
          <w:color w:val="auto"/>
        </w:rPr>
        <w:t>The Compensation and Talent Management Committee reviews market benchmarking of non-employee director compensation annually. In 2022, the Compensation Committee engaged its independent compensation consultant, Pay Governance, to evaluate its non-employee Director compensation, which was last increased in 2018. At its meeting following the 2022 Annual Meeting of Shareholders, the Compensation and Talent Management Committee approved increases in the retainers paid to the non-employee Directors, effective beginning May 19, 2022. The base retainer for non-employee Directors was increased from $210,000 to $225,000. The retainer associated with Board leadership position Chair of the Corporate Governance and Nominating Committee increased from $10,000 to $15,000. Retainers for the Non-Executive Chairman of the Board, Chair of the Audit Committee, and Chair of the Compensation and Talent Management Committee were maintained. The compensation of our non-employee directors will next be reviewed in 2023, with the assistance of Pay Governance. The following table illustrates our 2022 non-employee director compensation:</w:t>
      </w: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40" w:type="dxa"/>
            <w:vAlign w:val="bottom"/>
            <w:gridSpan w:val="3"/>
          </w:tcPr>
          <w:p>
            <w:pPr>
              <w:jc w:val="center"/>
              <w:ind w:left="68"/>
              <w:spacing w:after="0"/>
              <w:rPr>
                <w:sz w:val="20"/>
                <w:szCs w:val="20"/>
                <w:color w:val="auto"/>
              </w:rPr>
            </w:pPr>
            <w:r>
              <w:rPr>
                <w:rFonts w:ascii="Arial" w:cs="Arial" w:eastAsia="Arial" w:hAnsi="Arial"/>
                <w:sz w:val="14"/>
                <w:szCs w:val="14"/>
                <w:b w:val="1"/>
                <w:bCs w:val="1"/>
                <w:color w:val="00AF41"/>
              </w:rPr>
              <w:t>Board Leadership Positions -</w:t>
            </w:r>
          </w:p>
        </w:tc>
      </w:tr>
      <w:tr>
        <w:trPr>
          <w:trHeight w:val="171"/>
        </w:trPr>
        <w:tc>
          <w:tcPr>
            <w:tcW w:w="5220" w:type="dxa"/>
            <w:vAlign w:val="bottom"/>
          </w:tcPr>
          <w:p>
            <w:pPr>
              <w:spacing w:after="0"/>
              <w:rPr>
                <w:sz w:val="14"/>
                <w:szCs w:val="14"/>
                <w:color w:val="auto"/>
              </w:rPr>
            </w:pPr>
          </w:p>
        </w:tc>
        <w:tc>
          <w:tcPr>
            <w:tcW w:w="216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00AF41"/>
              </w:rPr>
              <w:t>Annual Base Retainer</w:t>
            </w:r>
          </w:p>
        </w:tc>
        <w:tc>
          <w:tcPr>
            <w:tcW w:w="3640" w:type="dxa"/>
            <w:vAlign w:val="bottom"/>
            <w:tcBorders>
              <w:bottom w:val="single" w:sz="8" w:color="auto"/>
            </w:tcBorders>
            <w:gridSpan w:val="3"/>
          </w:tcPr>
          <w:p>
            <w:pPr>
              <w:jc w:val="center"/>
              <w:ind w:left="68"/>
              <w:spacing w:after="0"/>
              <w:rPr>
                <w:sz w:val="20"/>
                <w:szCs w:val="20"/>
                <w:color w:val="auto"/>
              </w:rPr>
            </w:pPr>
            <w:r>
              <w:rPr>
                <w:rFonts w:ascii="Arial" w:cs="Arial" w:eastAsia="Arial" w:hAnsi="Arial"/>
                <w:sz w:val="14"/>
                <w:szCs w:val="14"/>
                <w:b w:val="1"/>
                <w:bCs w:val="1"/>
                <w:color w:val="00AF41"/>
              </w:rPr>
              <w:t>Additional Retainer (Committee Chairs)</w:t>
            </w:r>
          </w:p>
        </w:tc>
      </w:tr>
      <w:tr>
        <w:trPr>
          <w:trHeight w:val="146"/>
        </w:trPr>
        <w:tc>
          <w:tcPr>
            <w:tcW w:w="5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40" w:type="dxa"/>
            <w:vAlign w:val="bottom"/>
          </w:tcPr>
          <w:p>
            <w:pPr>
              <w:jc w:val="center"/>
              <w:spacing w:after="0" w:line="147" w:lineRule="exact"/>
              <w:rPr>
                <w:sz w:val="20"/>
                <w:szCs w:val="20"/>
                <w:color w:val="auto"/>
              </w:rPr>
            </w:pPr>
            <w:r>
              <w:rPr>
                <w:rFonts w:ascii="Arial" w:cs="Arial" w:eastAsia="Arial" w:hAnsi="Arial"/>
                <w:sz w:val="14"/>
                <w:szCs w:val="14"/>
                <w:b w:val="1"/>
                <w:bCs w:val="1"/>
                <w:color w:val="00AF41"/>
              </w:rPr>
              <w:t>Compensation &amp;</w:t>
            </w:r>
          </w:p>
        </w:tc>
        <w:tc>
          <w:tcPr>
            <w:tcW w:w="1140" w:type="dxa"/>
            <w:vAlign w:val="bottom"/>
          </w:tcPr>
          <w:p>
            <w:pPr>
              <w:jc w:val="center"/>
              <w:ind w:left="68"/>
              <w:spacing w:after="0" w:line="147" w:lineRule="exact"/>
              <w:rPr>
                <w:sz w:val="20"/>
                <w:szCs w:val="20"/>
                <w:color w:val="auto"/>
              </w:rPr>
            </w:pPr>
            <w:r>
              <w:rPr>
                <w:rFonts w:ascii="Arial" w:cs="Arial" w:eastAsia="Arial" w:hAnsi="Arial"/>
                <w:sz w:val="14"/>
                <w:szCs w:val="14"/>
                <w:b w:val="1"/>
                <w:bCs w:val="1"/>
                <w:color w:val="00AF41"/>
              </w:rPr>
              <w:t>Corporate</w:t>
            </w:r>
          </w:p>
        </w:tc>
      </w:tr>
      <w:tr>
        <w:trPr>
          <w:trHeight w:val="162"/>
        </w:trPr>
        <w:tc>
          <w:tcPr>
            <w:tcW w:w="5220" w:type="dxa"/>
            <w:vAlign w:val="bottom"/>
          </w:tcPr>
          <w:p>
            <w:pPr>
              <w:spacing w:after="0"/>
              <w:rPr>
                <w:sz w:val="14"/>
                <w:szCs w:val="14"/>
                <w:color w:val="auto"/>
              </w:rPr>
            </w:pPr>
          </w:p>
        </w:tc>
        <w:tc>
          <w:tcPr>
            <w:tcW w:w="1160" w:type="dxa"/>
            <w:vAlign w:val="bottom"/>
          </w:tcPr>
          <w:p>
            <w:pPr>
              <w:jc w:val="center"/>
              <w:ind w:left="68"/>
              <w:spacing w:after="0"/>
              <w:rPr>
                <w:sz w:val="20"/>
                <w:szCs w:val="20"/>
                <w:color w:val="auto"/>
              </w:rPr>
            </w:pPr>
            <w:r>
              <w:rPr>
                <w:rFonts w:ascii="Arial" w:cs="Arial" w:eastAsia="Arial" w:hAnsi="Arial"/>
                <w:sz w:val="14"/>
                <w:szCs w:val="14"/>
                <w:b w:val="1"/>
                <w:bCs w:val="1"/>
                <w:color w:val="00AF41"/>
              </w:rPr>
              <w:t>Non-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00AF41"/>
              </w:rPr>
              <w:t>Chairman</w:t>
            </w:r>
          </w:p>
        </w:tc>
        <w:tc>
          <w:tcPr>
            <w:tcW w:w="10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00AF41"/>
              </w:rPr>
              <w:t>Talent</w:t>
            </w:r>
          </w:p>
        </w:tc>
        <w:tc>
          <w:tcPr>
            <w:tcW w:w="1140" w:type="dxa"/>
            <w:vAlign w:val="bottom"/>
          </w:tcPr>
          <w:p>
            <w:pPr>
              <w:jc w:val="center"/>
              <w:ind w:left="68"/>
              <w:spacing w:after="0"/>
              <w:rPr>
                <w:sz w:val="20"/>
                <w:szCs w:val="20"/>
                <w:color w:val="auto"/>
              </w:rPr>
            </w:pPr>
            <w:r>
              <w:rPr>
                <w:rFonts w:ascii="Arial" w:cs="Arial" w:eastAsia="Arial" w:hAnsi="Arial"/>
                <w:sz w:val="14"/>
                <w:szCs w:val="14"/>
                <w:b w:val="1"/>
                <w:bCs w:val="1"/>
                <w:color w:val="00AF41"/>
              </w:rPr>
              <w:t>Governance &amp;</w:t>
            </w:r>
          </w:p>
        </w:tc>
      </w:tr>
      <w:tr>
        <w:trPr>
          <w:trHeight w:val="162"/>
        </w:trPr>
        <w:tc>
          <w:tcPr>
            <w:tcW w:w="5220" w:type="dxa"/>
            <w:vAlign w:val="bottom"/>
          </w:tcPr>
          <w:p>
            <w:pPr>
              <w:spacing w:after="0"/>
              <w:rPr>
                <w:sz w:val="14"/>
                <w:szCs w:val="14"/>
                <w:color w:val="auto"/>
              </w:rPr>
            </w:pPr>
          </w:p>
        </w:tc>
        <w:tc>
          <w:tcPr>
            <w:tcW w:w="1160" w:type="dxa"/>
            <w:vAlign w:val="bottom"/>
          </w:tcPr>
          <w:p>
            <w:pPr>
              <w:jc w:val="center"/>
              <w:ind w:left="48"/>
              <w:spacing w:after="0"/>
              <w:rPr>
                <w:sz w:val="20"/>
                <w:szCs w:val="20"/>
                <w:color w:val="auto"/>
              </w:rPr>
            </w:pPr>
            <w:r>
              <w:rPr>
                <w:rFonts w:ascii="Arial" w:cs="Arial" w:eastAsia="Arial" w:hAnsi="Arial"/>
                <w:sz w:val="14"/>
                <w:szCs w:val="14"/>
                <w:b w:val="1"/>
                <w:bCs w:val="1"/>
                <w:color w:val="00AF41"/>
              </w:rPr>
              <w:t>Employee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00AF41"/>
              </w:rPr>
              <w:t>of the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00AF41"/>
              </w:rPr>
              <w:t>Audit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00AF41"/>
              </w:rPr>
              <w:t>Management</w:t>
            </w:r>
          </w:p>
        </w:tc>
        <w:tc>
          <w:tcPr>
            <w:tcW w:w="1140" w:type="dxa"/>
            <w:vAlign w:val="bottom"/>
          </w:tcPr>
          <w:p>
            <w:pPr>
              <w:jc w:val="center"/>
              <w:ind w:left="68"/>
              <w:spacing w:after="0"/>
              <w:rPr>
                <w:sz w:val="20"/>
                <w:szCs w:val="20"/>
                <w:color w:val="auto"/>
              </w:rPr>
            </w:pPr>
            <w:r>
              <w:rPr>
                <w:rFonts w:ascii="Arial" w:cs="Arial" w:eastAsia="Arial" w:hAnsi="Arial"/>
                <w:sz w:val="14"/>
                <w:szCs w:val="14"/>
                <w:b w:val="1"/>
                <w:bCs w:val="1"/>
                <w:color w:val="00AF41"/>
              </w:rPr>
              <w:t>Nominating</w:t>
            </w:r>
          </w:p>
        </w:tc>
      </w:tr>
      <w:tr>
        <w:trPr>
          <w:trHeight w:val="171"/>
        </w:trPr>
        <w:tc>
          <w:tcPr>
            <w:tcW w:w="5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00AF41"/>
              </w:rPr>
              <w:t>Directors</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AF41"/>
              </w:rPr>
              <w:t>Board</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AF41"/>
              </w:rPr>
              <w:t>Committee</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AF41"/>
              </w:rPr>
              <w:t>Committee</w:t>
            </w:r>
          </w:p>
        </w:tc>
        <w:tc>
          <w:tcPr>
            <w:tcW w:w="114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00AF41"/>
              </w:rPr>
              <w:t>Committee</w:t>
            </w:r>
          </w:p>
        </w:tc>
      </w:tr>
      <w:tr>
        <w:trPr>
          <w:trHeight w:val="257"/>
        </w:trPr>
        <w:tc>
          <w:tcPr>
            <w:tcW w:w="522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4"/>
                <w:szCs w:val="14"/>
                <w:color w:val="auto"/>
              </w:rPr>
              <w:t>Cash</w:t>
            </w:r>
          </w:p>
        </w:tc>
        <w:tc>
          <w:tcPr>
            <w:tcW w:w="1160" w:type="dxa"/>
            <w:vAlign w:val="bottom"/>
            <w:tcBorders>
              <w:bottom w:val="single" w:sz="8" w:color="EDEDED"/>
            </w:tcBorders>
            <w:shd w:val="clear" w:color="auto" w:fill="EDEDED"/>
          </w:tcPr>
          <w:p>
            <w:pPr>
              <w:jc w:val="center"/>
              <w:ind w:left="48"/>
              <w:spacing w:after="0"/>
              <w:rPr>
                <w:sz w:val="20"/>
                <w:szCs w:val="20"/>
                <w:color w:val="auto"/>
              </w:rPr>
            </w:pPr>
            <w:r>
              <w:rPr>
                <w:rFonts w:ascii="Arial" w:cs="Arial" w:eastAsia="Arial" w:hAnsi="Arial"/>
                <w:sz w:val="14"/>
                <w:szCs w:val="14"/>
                <w:color w:val="auto"/>
              </w:rPr>
              <w:t>$100,000</w:t>
            </w:r>
          </w:p>
        </w:tc>
        <w:tc>
          <w:tcPr>
            <w:tcW w:w="10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$150,000</w:t>
            </w:r>
          </w:p>
        </w:tc>
        <w:tc>
          <w:tcPr>
            <w:tcW w:w="106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$20,000</w:t>
            </w:r>
          </w:p>
        </w:tc>
        <w:tc>
          <w:tcPr>
            <w:tcW w:w="144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$15,000</w:t>
            </w:r>
          </w:p>
        </w:tc>
        <w:tc>
          <w:tcPr>
            <w:tcW w:w="1140" w:type="dxa"/>
            <w:vAlign w:val="bottom"/>
            <w:tcBorders>
              <w:bottom w:val="single" w:sz="8" w:color="EDEDED"/>
            </w:tcBorders>
            <w:shd w:val="clear" w:color="auto" w:fill="EDEDED"/>
          </w:tcPr>
          <w:p>
            <w:pPr>
              <w:jc w:val="center"/>
              <w:ind w:left="68"/>
              <w:spacing w:after="0"/>
              <w:rPr>
                <w:sz w:val="20"/>
                <w:szCs w:val="20"/>
                <w:color w:val="auto"/>
              </w:rPr>
            </w:pPr>
            <w:r>
              <w:rPr>
                <w:rFonts w:ascii="Arial" w:cs="Arial" w:eastAsia="Arial" w:hAnsi="Arial"/>
                <w:sz w:val="14"/>
                <w:szCs w:val="14"/>
                <w:color w:val="auto"/>
              </w:rPr>
              <w:t>$15,000</w:t>
            </w:r>
          </w:p>
        </w:tc>
      </w:tr>
      <w:tr>
        <w:trPr>
          <w:trHeight w:val="248"/>
        </w:trPr>
        <w:tc>
          <w:tcPr>
            <w:tcW w:w="5220" w:type="dxa"/>
            <w:vAlign w:val="bottom"/>
          </w:tcPr>
          <w:p>
            <w:pPr>
              <w:ind w:left="60"/>
              <w:spacing w:after="0"/>
              <w:rPr>
                <w:sz w:val="20"/>
                <w:szCs w:val="20"/>
                <w:color w:val="auto"/>
              </w:rPr>
            </w:pPr>
            <w:r>
              <w:rPr>
                <w:rFonts w:ascii="Arial" w:cs="Arial" w:eastAsia="Arial" w:hAnsi="Arial"/>
                <w:sz w:val="14"/>
                <w:szCs w:val="14"/>
                <w:color w:val="auto"/>
              </w:rPr>
              <w:t>Equity (Kelly Class A Stock – $ Value)</w:t>
            </w:r>
          </w:p>
        </w:tc>
        <w:tc>
          <w:tcPr>
            <w:tcW w:w="1160" w:type="dxa"/>
            <w:vAlign w:val="bottom"/>
          </w:tcPr>
          <w:p>
            <w:pPr>
              <w:jc w:val="center"/>
              <w:ind w:left="48"/>
              <w:spacing w:after="0"/>
              <w:rPr>
                <w:sz w:val="20"/>
                <w:szCs w:val="20"/>
                <w:color w:val="auto"/>
              </w:rPr>
            </w:pPr>
            <w:r>
              <w:rPr>
                <w:rFonts w:ascii="Arial" w:cs="Arial" w:eastAsia="Arial" w:hAnsi="Arial"/>
                <w:sz w:val="14"/>
                <w:szCs w:val="14"/>
                <w:color w:val="auto"/>
              </w:rPr>
              <w:t>$125,000</w:t>
            </w:r>
          </w:p>
        </w:tc>
        <w:tc>
          <w:tcPr>
            <w:tcW w:w="1000" w:type="dxa"/>
            <w:vAlign w:val="bottom"/>
          </w:tcPr>
          <w:p>
            <w:pPr>
              <w:jc w:val="center"/>
              <w:spacing w:after="0"/>
              <w:rPr>
                <w:sz w:val="20"/>
                <w:szCs w:val="20"/>
                <w:color w:val="auto"/>
              </w:rPr>
            </w:pPr>
            <w:r>
              <w:rPr>
                <w:rFonts w:ascii="Arial" w:cs="Arial" w:eastAsia="Arial" w:hAnsi="Arial"/>
                <w:sz w:val="14"/>
                <w:szCs w:val="14"/>
                <w:color w:val="auto"/>
              </w:rPr>
              <w:t>$165,000</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4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40" w:type="dxa"/>
            <w:vAlign w:val="bottom"/>
          </w:tcPr>
          <w:p>
            <w:pPr>
              <w:jc w:val="center"/>
              <w:ind w:left="68"/>
              <w:spacing w:after="0"/>
              <w:rPr>
                <w:sz w:val="20"/>
                <w:szCs w:val="20"/>
                <w:color w:val="auto"/>
              </w:rPr>
            </w:pPr>
            <w:r>
              <w:rPr>
                <w:rFonts w:ascii="Arial" w:cs="Arial" w:eastAsia="Arial" w:hAnsi="Arial"/>
                <w:sz w:val="14"/>
                <w:szCs w:val="14"/>
                <w:color w:val="auto"/>
              </w:rPr>
              <w:t>—</w:t>
            </w:r>
          </w:p>
        </w:tc>
      </w:tr>
      <w:tr>
        <w:trPr>
          <w:trHeight w:val="49"/>
        </w:trPr>
        <w:tc>
          <w:tcPr>
            <w:tcW w:w="5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77"/>
        </w:trPr>
        <w:tc>
          <w:tcPr>
            <w:tcW w:w="522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4"/>
                <w:szCs w:val="14"/>
                <w:color w:val="auto"/>
              </w:rPr>
              <w:t>Total</w:t>
            </w:r>
          </w:p>
        </w:tc>
        <w:tc>
          <w:tcPr>
            <w:tcW w:w="1160" w:type="dxa"/>
            <w:vAlign w:val="bottom"/>
            <w:tcBorders>
              <w:bottom w:val="single" w:sz="8" w:color="EDEDED"/>
            </w:tcBorders>
            <w:shd w:val="clear" w:color="auto" w:fill="EDEDED"/>
          </w:tcPr>
          <w:p>
            <w:pPr>
              <w:jc w:val="center"/>
              <w:ind w:left="48"/>
              <w:spacing w:after="0"/>
              <w:rPr>
                <w:sz w:val="20"/>
                <w:szCs w:val="20"/>
                <w:color w:val="auto"/>
              </w:rPr>
            </w:pPr>
            <w:r>
              <w:rPr>
                <w:rFonts w:ascii="Arial" w:cs="Arial" w:eastAsia="Arial" w:hAnsi="Arial"/>
                <w:sz w:val="14"/>
                <w:szCs w:val="14"/>
                <w:color w:val="auto"/>
              </w:rPr>
              <w:t>$225,000</w:t>
            </w:r>
          </w:p>
        </w:tc>
        <w:tc>
          <w:tcPr>
            <w:tcW w:w="10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$315,000</w:t>
            </w:r>
          </w:p>
        </w:tc>
        <w:tc>
          <w:tcPr>
            <w:tcW w:w="106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$20,000</w:t>
            </w:r>
          </w:p>
        </w:tc>
        <w:tc>
          <w:tcPr>
            <w:tcW w:w="144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$15,000</w:t>
            </w:r>
          </w:p>
        </w:tc>
        <w:tc>
          <w:tcPr>
            <w:tcW w:w="1140" w:type="dxa"/>
            <w:vAlign w:val="bottom"/>
            <w:tcBorders>
              <w:bottom w:val="single" w:sz="8" w:color="EDEDED"/>
            </w:tcBorders>
            <w:shd w:val="clear" w:color="auto" w:fill="EDEDED"/>
          </w:tcPr>
          <w:p>
            <w:pPr>
              <w:jc w:val="center"/>
              <w:ind w:left="68"/>
              <w:spacing w:after="0"/>
              <w:rPr>
                <w:sz w:val="20"/>
                <w:szCs w:val="20"/>
                <w:color w:val="auto"/>
              </w:rPr>
            </w:pPr>
            <w:r>
              <w:rPr>
                <w:rFonts w:ascii="Arial" w:cs="Arial" w:eastAsia="Arial" w:hAnsi="Arial"/>
                <w:sz w:val="14"/>
                <w:szCs w:val="14"/>
                <w:color w:val="auto"/>
              </w:rPr>
              <w:t>$15,000</w:t>
            </w:r>
          </w:p>
        </w:tc>
      </w:tr>
      <w:tr>
        <w:trPr>
          <w:trHeight w:val="20"/>
        </w:trPr>
        <w:tc>
          <w:tcPr>
            <w:tcW w:w="5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6"/>
          <w:szCs w:val="16"/>
          <w:color w:val="auto"/>
        </w:rPr>
        <w:t>Under the Company’s amended and restated Equity Incentive Plan (“EIP”), the Board of Directors must periodically determine the percentage of the base retainer that will be issued to non-employee directors in shares of Class A Common Stock. At the meeting of the Board following the 2022 Annual Meeting of Shareholders, the Board determined that $125,000 of the base retainer would be issued in shares (55.6%) and $100,000 of the base retainer would be paid in cash (44.4%). Equity portion of $165,000 and cash portion of $150,000 were maintained for the Chairman of the Board.</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Stock Ownership Requirements</w:t>
      </w:r>
    </w:p>
    <w:p>
      <w:pPr>
        <w:spacing w:after="0" w:line="112"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Non-employee directors are subject to a stock ownership requirement that is a minimum fair market value of four times the value of the cash portion of the annual base retainer (which currently equates to $400,000). Although there is not a fixed compliance period, it is expected that new directors will likely reach the ownership requirements within five years from their appointment date. All directors are compliant with the Company’s stock ownership requirements.</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Non-Employee Directors Deferred Compensation Plan</w:t>
      </w:r>
    </w:p>
    <w:p>
      <w:pPr>
        <w:spacing w:after="0" w:line="112" w:lineRule="exact"/>
        <w:rPr>
          <w:sz w:val="20"/>
          <w:szCs w:val="20"/>
          <w:color w:val="auto"/>
        </w:rPr>
      </w:pPr>
    </w:p>
    <w:p>
      <w:pPr>
        <w:ind w:left="120" w:right="180"/>
        <w:spacing w:after="0" w:line="252" w:lineRule="auto"/>
        <w:rPr>
          <w:sz w:val="20"/>
          <w:szCs w:val="20"/>
          <w:color w:val="auto"/>
        </w:rPr>
      </w:pPr>
      <w:r>
        <w:rPr>
          <w:rFonts w:ascii="Arial" w:cs="Arial" w:eastAsia="Arial" w:hAnsi="Arial"/>
          <w:sz w:val="16"/>
          <w:szCs w:val="16"/>
          <w:color w:val="auto"/>
        </w:rPr>
        <w:t>The Company established the Non-Employee Directors Deferred Compensation Plan (“DDCP”), which provides non-employee directors with the opportunity to defer all or a portion of all fees payable to them, pursuant to a valid deferral election. The DDCP is a non-qualified plan that allows for the deferral of all or a portion of annual cash payments to a notional account with investment fund choices that mirror those provided to participants in the Company’s Management Retirement Plan (“MRP”). In addition to those fund choices, the Plan also includes the option to defer annual cash payments into Company common stock units. Non-employee directors may also elect to defer all or a portion of their annual stock retainer into Company common stock units. Participants may elect to receive distributions from their DDCP account at the time they cease to be a director of the Company or at a future date that is between one and ten years following the date they cease to be a director of the Company. Non-employee directors can elect to have distributions from the DDCP made in either a lump sum or in annual installment payments made over a two-to-ten-year period.</w:t>
      </w:r>
    </w:p>
    <w:p>
      <w:pPr>
        <w:spacing w:after="0" w:line="103" w:lineRule="exact"/>
        <w:rPr>
          <w:sz w:val="20"/>
          <w:szCs w:val="20"/>
          <w:color w:val="auto"/>
        </w:rPr>
      </w:pPr>
    </w:p>
    <w:p>
      <w:pPr>
        <w:ind w:left="10820"/>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1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-143510</wp:posOffset>
            </wp:positionV>
            <wp:extent cx="411480" cy="1974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11480" cy="1974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Director Compensation</w:t>
      </w:r>
    </w:p>
    <w:p>
      <w:pPr>
        <w:spacing w:after="0" w:line="143"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The following table sets forth the compensation paid during 2022 to the Company’s non-employee directors. Mr. Quigley received no compensation for his services as a director in 2022. Mr. Quigley’s compensation as President and Chief Executive Officer is disclosed in the Compensation Discussion &amp; Analysis section of this Proxy Statement.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2022 Director Compensation</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0AF41"/>
              </w:rPr>
              <w:t>Change in Pension</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4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0AF41"/>
              </w:rPr>
              <w:t>Value and</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4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0AF41"/>
              </w:rPr>
              <w:t>Nonqualified</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40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AF41"/>
              </w:rPr>
              <w:t>Fees Earned</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0AF41"/>
              </w:rPr>
              <w:t>Non-Equity</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0AF41"/>
              </w:rPr>
              <w:t>Deferred</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8"/>
        </w:trPr>
        <w:tc>
          <w:tcPr>
            <w:tcW w:w="4040" w:type="dxa"/>
            <w:vAlign w:val="bottom"/>
          </w:tcPr>
          <w:p>
            <w:pPr>
              <w:spacing w:after="0"/>
              <w:rPr>
                <w:sz w:val="13"/>
                <w:szCs w:val="13"/>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00AF41"/>
              </w:rPr>
              <w:t>or Paid in</w:t>
            </w: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00AF41"/>
              </w:rPr>
              <w:t>Stock</w:t>
            </w: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00AF41"/>
              </w:rPr>
              <w:t>Award</w:t>
            </w: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00AF41"/>
              </w:rPr>
              <w:t>Incentive Plan</w:t>
            </w:r>
          </w:p>
        </w:tc>
        <w:tc>
          <w:tcPr>
            <w:tcW w:w="1400" w:type="dxa"/>
            <w:vAlign w:val="bottom"/>
          </w:tcPr>
          <w:p>
            <w:pPr>
              <w:jc w:val="center"/>
              <w:spacing w:after="0" w:line="158" w:lineRule="exact"/>
              <w:rPr>
                <w:sz w:val="20"/>
                <w:szCs w:val="20"/>
                <w:color w:val="auto"/>
              </w:rPr>
            </w:pPr>
            <w:r>
              <w:rPr>
                <w:rFonts w:ascii="Arial" w:cs="Arial" w:eastAsia="Arial" w:hAnsi="Arial"/>
                <w:sz w:val="14"/>
                <w:szCs w:val="14"/>
                <w:b w:val="1"/>
                <w:bCs w:val="1"/>
                <w:color w:val="00AF41"/>
              </w:rPr>
              <w:t>Compensation</w:t>
            </w:r>
          </w:p>
        </w:tc>
        <w:tc>
          <w:tcPr>
            <w:tcW w:w="1180" w:type="dxa"/>
            <w:vAlign w:val="bottom"/>
          </w:tcPr>
          <w:p>
            <w:pPr>
              <w:jc w:val="center"/>
              <w:spacing w:after="0" w:line="158" w:lineRule="exact"/>
              <w:rPr>
                <w:sz w:val="20"/>
                <w:szCs w:val="20"/>
                <w:color w:val="auto"/>
              </w:rPr>
            </w:pPr>
            <w:r>
              <w:rPr>
                <w:rFonts w:ascii="Arial" w:cs="Arial" w:eastAsia="Arial" w:hAnsi="Arial"/>
                <w:sz w:val="14"/>
                <w:szCs w:val="14"/>
                <w:b w:val="1"/>
                <w:bCs w:val="1"/>
                <w:color w:val="00AF41"/>
              </w:rPr>
              <w:t>All Other</w:t>
            </w:r>
          </w:p>
        </w:tc>
        <w:tc>
          <w:tcPr>
            <w:tcW w:w="800" w:type="dxa"/>
            <w:vAlign w:val="bottom"/>
          </w:tcPr>
          <w:p>
            <w:pPr>
              <w:spacing w:after="0"/>
              <w:rPr>
                <w:sz w:val="13"/>
                <w:szCs w:val="13"/>
                <w:color w:val="auto"/>
              </w:rPr>
            </w:pPr>
          </w:p>
        </w:tc>
      </w:tr>
      <w:tr>
        <w:trPr>
          <w:trHeight w:val="202"/>
        </w:trPr>
        <w:tc>
          <w:tcPr>
            <w:tcW w:w="40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AF41"/>
              </w:rPr>
              <w:t>Name</w:t>
            </w:r>
          </w:p>
        </w:tc>
        <w:tc>
          <w:tcPr>
            <w:tcW w:w="10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00AF41"/>
                <w:w w:val="93"/>
              </w:rPr>
              <w:t>Cash</w:t>
            </w:r>
            <w:r>
              <w:rPr>
                <w:rFonts w:ascii="Arial" w:cs="Arial" w:eastAsia="Arial" w:hAnsi="Arial"/>
                <w:sz w:val="21"/>
                <w:szCs w:val="21"/>
                <w:b w:val="1"/>
                <w:bCs w:val="1"/>
                <w:color w:val="00AF41"/>
                <w:w w:val="93"/>
                <w:vertAlign w:val="superscript"/>
              </w:rPr>
              <w:t>(1)</w:t>
            </w:r>
          </w:p>
        </w:tc>
        <w:tc>
          <w:tcPr>
            <w:tcW w:w="8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00AF41"/>
                <w:w w:val="94"/>
              </w:rPr>
              <w:t>Awards</w:t>
            </w:r>
            <w:r>
              <w:rPr>
                <w:rFonts w:ascii="Arial" w:cs="Arial" w:eastAsia="Arial" w:hAnsi="Arial"/>
                <w:sz w:val="21"/>
                <w:szCs w:val="21"/>
                <w:b w:val="1"/>
                <w:bCs w:val="1"/>
                <w:color w:val="00AF41"/>
                <w:w w:val="94"/>
                <w:vertAlign w:val="superscript"/>
              </w:rPr>
              <w:t>(2)</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AF41"/>
              </w:rPr>
              <w:t>Options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AF41"/>
              </w:rPr>
              <w:t>Compensation</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AF41"/>
              </w:rPr>
              <w:t>Earnings</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AF41"/>
              </w:rPr>
              <w:t>Compensation</w:t>
            </w:r>
          </w:p>
        </w:tc>
        <w:tc>
          <w:tcPr>
            <w:tcW w:w="800" w:type="dxa"/>
            <w:vAlign w:val="bottom"/>
            <w:tcBorders>
              <w:bottom w:val="single" w:sz="8" w:color="auto"/>
            </w:tcBorders>
          </w:tcPr>
          <w:p>
            <w:pPr>
              <w:jc w:val="center"/>
              <w:ind w:left="20"/>
              <w:spacing w:after="0"/>
              <w:rPr>
                <w:sz w:val="20"/>
                <w:szCs w:val="20"/>
                <w:color w:val="auto"/>
              </w:rPr>
            </w:pPr>
            <w:r>
              <w:rPr>
                <w:rFonts w:ascii="Arial" w:cs="Arial" w:eastAsia="Arial" w:hAnsi="Arial"/>
                <w:sz w:val="14"/>
                <w:szCs w:val="14"/>
                <w:b w:val="1"/>
                <w:bCs w:val="1"/>
                <w:color w:val="00AF41"/>
              </w:rPr>
              <w:t>Total</w:t>
            </w:r>
          </w:p>
        </w:tc>
      </w:tr>
      <w:tr>
        <w:trPr>
          <w:trHeight w:val="284"/>
        </w:trPr>
        <w:tc>
          <w:tcPr>
            <w:tcW w:w="404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auto"/>
              </w:rPr>
              <w:t>Gerald S. Adolph</w:t>
            </w:r>
          </w:p>
        </w:tc>
        <w:tc>
          <w:tcPr>
            <w:tcW w:w="10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$100,000</w:t>
            </w:r>
          </w:p>
        </w:tc>
        <w:tc>
          <w:tcPr>
            <w:tcW w:w="8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$125,000</w:t>
            </w:r>
          </w:p>
        </w:tc>
        <w:tc>
          <w:tcPr>
            <w:tcW w:w="66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w w:val="99"/>
              </w:rPr>
              <w:t>—</w:t>
            </w:r>
          </w:p>
        </w:tc>
        <w:tc>
          <w:tcPr>
            <w:tcW w:w="14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w w:val="99"/>
              </w:rPr>
              <w:t>($16,536)</w:t>
            </w:r>
          </w:p>
        </w:tc>
        <w:tc>
          <w:tcPr>
            <w:tcW w:w="118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$208,464</w:t>
            </w:r>
          </w:p>
        </w:tc>
      </w:tr>
      <w:tr>
        <w:trPr>
          <w:trHeight w:val="276"/>
        </w:trPr>
        <w:tc>
          <w:tcPr>
            <w:tcW w:w="4040" w:type="dxa"/>
            <w:vAlign w:val="bottom"/>
          </w:tcPr>
          <w:p>
            <w:pPr>
              <w:ind w:left="60"/>
              <w:spacing w:after="0"/>
              <w:rPr>
                <w:sz w:val="20"/>
                <w:szCs w:val="20"/>
                <w:color w:val="auto"/>
              </w:rPr>
            </w:pPr>
            <w:r>
              <w:rPr>
                <w:rFonts w:ascii="Arial" w:cs="Arial" w:eastAsia="Arial" w:hAnsi="Arial"/>
                <w:sz w:val="16"/>
                <w:szCs w:val="16"/>
                <w:b w:val="1"/>
                <w:bCs w:val="1"/>
                <w:color w:val="auto"/>
              </w:rPr>
              <w:t>George S. Corona</w:t>
            </w:r>
          </w:p>
        </w:tc>
        <w:tc>
          <w:tcPr>
            <w:tcW w:w="1020" w:type="dxa"/>
            <w:vAlign w:val="bottom"/>
          </w:tcPr>
          <w:p>
            <w:pPr>
              <w:jc w:val="center"/>
              <w:spacing w:after="0"/>
              <w:rPr>
                <w:sz w:val="20"/>
                <w:szCs w:val="20"/>
                <w:color w:val="auto"/>
              </w:rPr>
            </w:pPr>
            <w:r>
              <w:rPr>
                <w:rFonts w:ascii="Arial" w:cs="Arial" w:eastAsia="Arial" w:hAnsi="Arial"/>
                <w:sz w:val="16"/>
                <w:szCs w:val="16"/>
                <w:color w:val="auto"/>
              </w:rPr>
              <w:t>$100,000</w:t>
            </w:r>
          </w:p>
        </w:tc>
        <w:tc>
          <w:tcPr>
            <w:tcW w:w="800" w:type="dxa"/>
            <w:vAlign w:val="bottom"/>
          </w:tcPr>
          <w:p>
            <w:pPr>
              <w:jc w:val="center"/>
              <w:spacing w:after="0"/>
              <w:rPr>
                <w:sz w:val="20"/>
                <w:szCs w:val="20"/>
                <w:color w:val="auto"/>
              </w:rPr>
            </w:pPr>
            <w:r>
              <w:rPr>
                <w:rFonts w:ascii="Arial" w:cs="Arial" w:eastAsia="Arial" w:hAnsi="Arial"/>
                <w:sz w:val="16"/>
                <w:szCs w:val="16"/>
                <w:color w:val="auto"/>
              </w:rPr>
              <w:t>$125,000</w:t>
            </w:r>
          </w:p>
        </w:tc>
        <w:tc>
          <w:tcPr>
            <w:tcW w:w="6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0" w:type="dxa"/>
            <w:vAlign w:val="bottom"/>
          </w:tcPr>
          <w:p>
            <w:pPr>
              <w:jc w:val="center"/>
              <w:spacing w:after="0"/>
              <w:rPr>
                <w:sz w:val="20"/>
                <w:szCs w:val="20"/>
                <w:color w:val="auto"/>
              </w:rPr>
            </w:pPr>
            <w:r>
              <w:rPr>
                <w:rFonts w:ascii="Arial" w:cs="Arial" w:eastAsia="Arial" w:hAnsi="Arial"/>
                <w:sz w:val="16"/>
                <w:szCs w:val="16"/>
                <w:color w:val="auto"/>
              </w:rPr>
              <w:t>($8,830)</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rPr>
              <w:t>$216,170</w:t>
            </w:r>
          </w:p>
        </w:tc>
      </w:tr>
      <w:tr>
        <w:trPr>
          <w:trHeight w:val="48"/>
        </w:trPr>
        <w:tc>
          <w:tcPr>
            <w:tcW w:w="40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304"/>
        </w:trPr>
        <w:tc>
          <w:tcPr>
            <w:tcW w:w="404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auto"/>
              </w:rPr>
              <w:t>Robert S. Cubbin</w:t>
            </w:r>
          </w:p>
        </w:tc>
        <w:tc>
          <w:tcPr>
            <w:tcW w:w="10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w w:val="98"/>
              </w:rPr>
              <w:t>$115,000</w:t>
            </w:r>
          </w:p>
        </w:tc>
        <w:tc>
          <w:tcPr>
            <w:tcW w:w="8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$125,000</w:t>
            </w:r>
          </w:p>
        </w:tc>
        <w:tc>
          <w:tcPr>
            <w:tcW w:w="66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w w:val="99"/>
              </w:rPr>
              <w:t>—</w:t>
            </w:r>
          </w:p>
        </w:tc>
        <w:tc>
          <w:tcPr>
            <w:tcW w:w="14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($1,625)</w:t>
            </w:r>
          </w:p>
        </w:tc>
        <w:tc>
          <w:tcPr>
            <w:tcW w:w="118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$238,375</w:t>
            </w:r>
          </w:p>
        </w:tc>
      </w:tr>
      <w:tr>
        <w:trPr>
          <w:trHeight w:val="276"/>
        </w:trPr>
        <w:tc>
          <w:tcPr>
            <w:tcW w:w="4040" w:type="dxa"/>
            <w:vAlign w:val="bottom"/>
          </w:tcPr>
          <w:p>
            <w:pPr>
              <w:ind w:left="60"/>
              <w:spacing w:after="0"/>
              <w:rPr>
                <w:sz w:val="20"/>
                <w:szCs w:val="20"/>
                <w:color w:val="auto"/>
              </w:rPr>
            </w:pPr>
            <w:r>
              <w:rPr>
                <w:rFonts w:ascii="Arial" w:cs="Arial" w:eastAsia="Arial" w:hAnsi="Arial"/>
                <w:sz w:val="16"/>
                <w:szCs w:val="16"/>
                <w:b w:val="1"/>
                <w:bCs w:val="1"/>
                <w:color w:val="auto"/>
              </w:rPr>
              <w:t>Amala Duggirala</w:t>
            </w:r>
          </w:p>
        </w:tc>
        <w:tc>
          <w:tcPr>
            <w:tcW w:w="1020" w:type="dxa"/>
            <w:vAlign w:val="bottom"/>
          </w:tcPr>
          <w:p>
            <w:pPr>
              <w:jc w:val="center"/>
              <w:spacing w:after="0"/>
              <w:rPr>
                <w:sz w:val="20"/>
                <w:szCs w:val="20"/>
                <w:color w:val="auto"/>
              </w:rPr>
            </w:pPr>
            <w:r>
              <w:rPr>
                <w:rFonts w:ascii="Arial" w:cs="Arial" w:eastAsia="Arial" w:hAnsi="Arial"/>
                <w:sz w:val="16"/>
                <w:szCs w:val="16"/>
                <w:color w:val="auto"/>
              </w:rPr>
              <w:t>$100,000</w:t>
            </w:r>
          </w:p>
        </w:tc>
        <w:tc>
          <w:tcPr>
            <w:tcW w:w="800" w:type="dxa"/>
            <w:vAlign w:val="bottom"/>
          </w:tcPr>
          <w:p>
            <w:pPr>
              <w:jc w:val="center"/>
              <w:spacing w:after="0"/>
              <w:rPr>
                <w:sz w:val="20"/>
                <w:szCs w:val="20"/>
                <w:color w:val="auto"/>
              </w:rPr>
            </w:pPr>
            <w:r>
              <w:rPr>
                <w:rFonts w:ascii="Arial" w:cs="Arial" w:eastAsia="Arial" w:hAnsi="Arial"/>
                <w:sz w:val="16"/>
                <w:szCs w:val="16"/>
                <w:color w:val="auto"/>
              </w:rPr>
              <w:t>$125,000</w:t>
            </w:r>
          </w:p>
        </w:tc>
        <w:tc>
          <w:tcPr>
            <w:tcW w:w="6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($19,563)</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rPr>
              <w:t>$205,437</w:t>
            </w:r>
          </w:p>
        </w:tc>
      </w:tr>
      <w:tr>
        <w:trPr>
          <w:trHeight w:val="48"/>
        </w:trPr>
        <w:tc>
          <w:tcPr>
            <w:tcW w:w="40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304"/>
        </w:trPr>
        <w:tc>
          <w:tcPr>
            <w:tcW w:w="404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auto"/>
              </w:rPr>
              <w:t>InaMarie F. Johnson</w:t>
            </w:r>
          </w:p>
        </w:tc>
        <w:tc>
          <w:tcPr>
            <w:tcW w:w="10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$100,000</w:t>
            </w:r>
          </w:p>
        </w:tc>
        <w:tc>
          <w:tcPr>
            <w:tcW w:w="8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$125,000</w:t>
            </w:r>
          </w:p>
        </w:tc>
        <w:tc>
          <w:tcPr>
            <w:tcW w:w="66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w w:val="99"/>
              </w:rPr>
              <w:t>—</w:t>
            </w:r>
          </w:p>
        </w:tc>
        <w:tc>
          <w:tcPr>
            <w:tcW w:w="14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w w:val="99"/>
              </w:rPr>
              <w:t>($14,148)</w:t>
            </w:r>
          </w:p>
        </w:tc>
        <w:tc>
          <w:tcPr>
            <w:tcW w:w="118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$210,852</w:t>
            </w:r>
          </w:p>
        </w:tc>
      </w:tr>
      <w:tr>
        <w:trPr>
          <w:trHeight w:val="276"/>
        </w:trPr>
        <w:tc>
          <w:tcPr>
            <w:tcW w:w="4040" w:type="dxa"/>
            <w:vAlign w:val="bottom"/>
          </w:tcPr>
          <w:p>
            <w:pPr>
              <w:ind w:left="60"/>
              <w:spacing w:after="0"/>
              <w:rPr>
                <w:sz w:val="20"/>
                <w:szCs w:val="20"/>
                <w:color w:val="auto"/>
              </w:rPr>
            </w:pPr>
            <w:r>
              <w:rPr>
                <w:rFonts w:ascii="Arial" w:cs="Arial" w:eastAsia="Arial" w:hAnsi="Arial"/>
                <w:sz w:val="16"/>
                <w:szCs w:val="16"/>
                <w:b w:val="1"/>
                <w:bCs w:val="1"/>
                <w:color w:val="auto"/>
              </w:rPr>
              <w:t>Terrence B. Larkin</w:t>
            </w:r>
          </w:p>
        </w:tc>
        <w:tc>
          <w:tcPr>
            <w:tcW w:w="1020" w:type="dxa"/>
            <w:vAlign w:val="bottom"/>
          </w:tcPr>
          <w:p>
            <w:pPr>
              <w:jc w:val="center"/>
              <w:spacing w:after="0"/>
              <w:rPr>
                <w:sz w:val="20"/>
                <w:szCs w:val="20"/>
                <w:color w:val="auto"/>
              </w:rPr>
            </w:pPr>
            <w:r>
              <w:rPr>
                <w:rFonts w:ascii="Arial" w:cs="Arial" w:eastAsia="Arial" w:hAnsi="Arial"/>
                <w:sz w:val="16"/>
                <w:szCs w:val="16"/>
                <w:color w:val="auto"/>
                <w:w w:val="98"/>
              </w:rPr>
              <w:t>$115,000</w:t>
            </w:r>
          </w:p>
        </w:tc>
        <w:tc>
          <w:tcPr>
            <w:tcW w:w="800" w:type="dxa"/>
            <w:vAlign w:val="bottom"/>
          </w:tcPr>
          <w:p>
            <w:pPr>
              <w:jc w:val="center"/>
              <w:spacing w:after="0"/>
              <w:rPr>
                <w:sz w:val="20"/>
                <w:szCs w:val="20"/>
                <w:color w:val="auto"/>
              </w:rPr>
            </w:pPr>
            <w:r>
              <w:rPr>
                <w:rFonts w:ascii="Arial" w:cs="Arial" w:eastAsia="Arial" w:hAnsi="Arial"/>
                <w:sz w:val="16"/>
                <w:szCs w:val="16"/>
                <w:color w:val="auto"/>
              </w:rPr>
              <w:t>$125,000</w:t>
            </w:r>
          </w:p>
        </w:tc>
        <w:tc>
          <w:tcPr>
            <w:tcW w:w="6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rPr>
              <w:t>$240,000</w:t>
            </w:r>
          </w:p>
        </w:tc>
      </w:tr>
      <w:tr>
        <w:trPr>
          <w:trHeight w:val="48"/>
        </w:trPr>
        <w:tc>
          <w:tcPr>
            <w:tcW w:w="40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304"/>
        </w:trPr>
        <w:tc>
          <w:tcPr>
            <w:tcW w:w="404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auto"/>
              </w:rPr>
              <w:t>Leslie A. Murphy</w:t>
            </w:r>
          </w:p>
        </w:tc>
        <w:tc>
          <w:tcPr>
            <w:tcW w:w="10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$120,000</w:t>
            </w:r>
          </w:p>
        </w:tc>
        <w:tc>
          <w:tcPr>
            <w:tcW w:w="8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$125,000</w:t>
            </w:r>
          </w:p>
        </w:tc>
        <w:tc>
          <w:tcPr>
            <w:tcW w:w="66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w w:val="99"/>
              </w:rPr>
              <w:t>—</w:t>
            </w:r>
          </w:p>
        </w:tc>
        <w:tc>
          <w:tcPr>
            <w:tcW w:w="14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($4,599)</w:t>
            </w:r>
          </w:p>
        </w:tc>
        <w:tc>
          <w:tcPr>
            <w:tcW w:w="118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$240,401</w:t>
            </w:r>
          </w:p>
        </w:tc>
      </w:tr>
      <w:tr>
        <w:trPr>
          <w:trHeight w:val="276"/>
        </w:trPr>
        <w:tc>
          <w:tcPr>
            <w:tcW w:w="4040" w:type="dxa"/>
            <w:vAlign w:val="bottom"/>
          </w:tcPr>
          <w:p>
            <w:pPr>
              <w:ind w:left="60"/>
              <w:spacing w:after="0"/>
              <w:rPr>
                <w:sz w:val="20"/>
                <w:szCs w:val="20"/>
                <w:color w:val="auto"/>
              </w:rPr>
            </w:pPr>
            <w:r>
              <w:rPr>
                <w:rFonts w:ascii="Arial" w:cs="Arial" w:eastAsia="Arial" w:hAnsi="Arial"/>
                <w:sz w:val="16"/>
                <w:szCs w:val="16"/>
                <w:b w:val="1"/>
                <w:bCs w:val="1"/>
                <w:color w:val="auto"/>
              </w:rPr>
              <w:t>Donald R. Parfet</w:t>
            </w:r>
          </w:p>
        </w:tc>
        <w:tc>
          <w:tcPr>
            <w:tcW w:w="1020" w:type="dxa"/>
            <w:vAlign w:val="bottom"/>
          </w:tcPr>
          <w:p>
            <w:pPr>
              <w:jc w:val="center"/>
              <w:spacing w:after="0"/>
              <w:rPr>
                <w:sz w:val="20"/>
                <w:szCs w:val="20"/>
                <w:color w:val="auto"/>
              </w:rPr>
            </w:pPr>
            <w:r>
              <w:rPr>
                <w:rFonts w:ascii="Arial" w:cs="Arial" w:eastAsia="Arial" w:hAnsi="Arial"/>
                <w:sz w:val="16"/>
                <w:szCs w:val="16"/>
                <w:color w:val="auto"/>
              </w:rPr>
              <w:t>$150,000</w:t>
            </w:r>
          </w:p>
        </w:tc>
        <w:tc>
          <w:tcPr>
            <w:tcW w:w="800" w:type="dxa"/>
            <w:vAlign w:val="bottom"/>
          </w:tcPr>
          <w:p>
            <w:pPr>
              <w:jc w:val="center"/>
              <w:spacing w:after="0"/>
              <w:rPr>
                <w:sz w:val="20"/>
                <w:szCs w:val="20"/>
                <w:color w:val="auto"/>
              </w:rPr>
            </w:pPr>
            <w:r>
              <w:rPr>
                <w:rFonts w:ascii="Arial" w:cs="Arial" w:eastAsia="Arial" w:hAnsi="Arial"/>
                <w:sz w:val="16"/>
                <w:szCs w:val="16"/>
                <w:color w:val="auto"/>
              </w:rPr>
              <w:t>$165,000</w:t>
            </w:r>
          </w:p>
        </w:tc>
        <w:tc>
          <w:tcPr>
            <w:tcW w:w="6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0" w:type="dxa"/>
            <w:vAlign w:val="bottom"/>
          </w:tcPr>
          <w:p>
            <w:pPr>
              <w:jc w:val="center"/>
              <w:spacing w:after="0"/>
              <w:rPr>
                <w:sz w:val="20"/>
                <w:szCs w:val="20"/>
                <w:color w:val="auto"/>
              </w:rPr>
            </w:pPr>
            <w:r>
              <w:rPr>
                <w:rFonts w:ascii="Arial" w:cs="Arial" w:eastAsia="Arial" w:hAnsi="Arial"/>
                <w:sz w:val="16"/>
                <w:szCs w:val="16"/>
                <w:color w:val="auto"/>
              </w:rPr>
              <w:t>$315,000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30480</wp:posOffset>
            </wp:positionV>
            <wp:extent cx="699516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2" w:lineRule="exact"/>
        <w:rPr>
          <w:sz w:val="20"/>
          <w:szCs w:val="20"/>
          <w:color w:val="auto"/>
        </w:rPr>
      </w:pPr>
    </w:p>
    <w:p>
      <w:pPr>
        <w:ind w:left="440" w:hanging="324"/>
        <w:spacing w:after="0"/>
        <w:tabs>
          <w:tab w:leader="none" w:pos="440" w:val="left"/>
        </w:tabs>
        <w:numPr>
          <w:ilvl w:val="0"/>
          <w:numId w:val="26"/>
        </w:numPr>
        <w:rPr>
          <w:rFonts w:ascii="Arial" w:cs="Arial" w:eastAsia="Arial" w:hAnsi="Arial"/>
          <w:sz w:val="19"/>
          <w:szCs w:val="19"/>
          <w:color w:val="auto"/>
          <w:vertAlign w:val="superscript"/>
        </w:rPr>
      </w:pPr>
      <w:r>
        <w:rPr>
          <w:rFonts w:ascii="Arial" w:cs="Arial" w:eastAsia="Arial" w:hAnsi="Arial"/>
          <w:sz w:val="13"/>
          <w:szCs w:val="13"/>
          <w:color w:val="auto"/>
        </w:rPr>
        <w:t>Three of our directors deferred the following amounts from their 2022 cash retainer fee: Mr. Adolph – $100,000; Ms. Duggirala – $100,000 and Ms. Johnson – $100,000.</w:t>
      </w:r>
    </w:p>
    <w:p>
      <w:pPr>
        <w:spacing w:after="0" w:line="48" w:lineRule="exact"/>
        <w:rPr>
          <w:rFonts w:ascii="Arial" w:cs="Arial" w:eastAsia="Arial" w:hAnsi="Arial"/>
          <w:sz w:val="19"/>
          <w:szCs w:val="19"/>
          <w:color w:val="auto"/>
          <w:vertAlign w:val="superscript"/>
        </w:rPr>
      </w:pPr>
    </w:p>
    <w:p>
      <w:pPr>
        <w:ind w:left="440" w:right="100" w:hanging="324"/>
        <w:spacing w:after="0" w:line="196" w:lineRule="auto"/>
        <w:tabs>
          <w:tab w:leader="none" w:pos="440" w:val="left"/>
        </w:tabs>
        <w:numPr>
          <w:ilvl w:val="0"/>
          <w:numId w:val="26"/>
        </w:numPr>
        <w:rPr>
          <w:rFonts w:ascii="Arial" w:cs="Arial" w:eastAsia="Arial" w:hAnsi="Arial"/>
          <w:sz w:val="19"/>
          <w:szCs w:val="19"/>
          <w:color w:val="auto"/>
          <w:vertAlign w:val="superscript"/>
        </w:rPr>
      </w:pPr>
      <w:r>
        <w:rPr>
          <w:rFonts w:ascii="Arial" w:cs="Arial" w:eastAsia="Arial" w:hAnsi="Arial"/>
          <w:sz w:val="13"/>
          <w:szCs w:val="13"/>
          <w:color w:val="auto"/>
        </w:rPr>
        <w:t>Represents the aggregate fair market value of grants awarded on May 18, 2022. Each director received a grant of 6,534 shares of the Company’s Class A Common Stock having a fair market value of $19.13 per share. Each of Mr. Adolph, Mr. Corona, Mr. Cubbin, Ms. Duggirala, Ms. Johnson, and Ms. Murphy deferred 100% of their 2022 annual stock grant into deferred common stock units.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77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-143510</wp:posOffset>
            </wp:positionV>
            <wp:extent cx="411480" cy="1968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Beneficial Ownership of Shares</w:t>
      </w:r>
    </w:p>
    <w:p>
      <w:pPr>
        <w:spacing w:after="0" w:line="134"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color w:val="auto"/>
        </w:rPr>
        <w:t>The following table sets forth, as of March 27, 2023, (i) the beneficial ownership of the Company’s Class B Common Stock by each person known by the Company to own beneficially more than 5% of the Class B Common Stock, and (ii) the beneficial ownership of the Company’s Class A and Class B Common Stock by (a) each director (each of whom is a nominee for election as a director at the Annual Meeting), (b) each of the named executive officers, and (c) all directors and executive officers as a group.</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00AF41"/>
              </w:rPr>
              <w:t>Class B Common Stock</w:t>
            </w:r>
          </w:p>
        </w:tc>
        <w:tc>
          <w:tcPr>
            <w:tcW w:w="1260" w:type="dxa"/>
            <w:vAlign w:val="bottom"/>
            <w:tcBorders>
              <w:bottom w:val="single" w:sz="8" w:color="auto"/>
            </w:tcBorders>
          </w:tcPr>
          <w:p>
            <w:pPr>
              <w:spacing w:after="0"/>
              <w:rPr>
                <w:sz w:val="17"/>
                <w:szCs w:val="17"/>
                <w:color w:val="auto"/>
              </w:rPr>
            </w:pPr>
          </w:p>
        </w:tc>
      </w:tr>
      <w:tr>
        <w:trPr>
          <w:trHeight w:val="143"/>
        </w:trPr>
        <w:tc>
          <w:tcPr>
            <w:tcW w:w="5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60" w:type="dxa"/>
            <w:vAlign w:val="bottom"/>
            <w:gridSpan w:val="3"/>
          </w:tcPr>
          <w:p>
            <w:pPr>
              <w:jc w:val="center"/>
              <w:ind w:left="28"/>
              <w:spacing w:after="0" w:line="143" w:lineRule="exact"/>
              <w:rPr>
                <w:sz w:val="20"/>
                <w:szCs w:val="20"/>
                <w:color w:val="auto"/>
              </w:rPr>
            </w:pPr>
            <w:r>
              <w:rPr>
                <w:rFonts w:ascii="Arial" w:cs="Arial" w:eastAsia="Arial" w:hAnsi="Arial"/>
                <w:sz w:val="14"/>
                <w:szCs w:val="14"/>
                <w:b w:val="1"/>
                <w:bCs w:val="1"/>
                <w:color w:val="00AF41"/>
              </w:rPr>
              <w:t>Number of Shares and Nature of</w:t>
            </w:r>
          </w:p>
        </w:tc>
        <w:tc>
          <w:tcPr>
            <w:tcW w:w="1260" w:type="dxa"/>
            <w:vAlign w:val="bottom"/>
          </w:tcPr>
          <w:p>
            <w:pPr>
              <w:spacing w:after="0"/>
              <w:rPr>
                <w:sz w:val="12"/>
                <w:szCs w:val="12"/>
                <w:color w:val="auto"/>
              </w:rPr>
            </w:pPr>
          </w:p>
        </w:tc>
      </w:tr>
      <w:tr>
        <w:trPr>
          <w:trHeight w:val="202"/>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00AF41"/>
              </w:rPr>
              <w:t>Greater than Five Percent Class B Stockholders</w:t>
            </w:r>
          </w:p>
        </w:tc>
        <w:tc>
          <w:tcPr>
            <w:tcW w:w="6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2"/>
          </w:tcPr>
          <w:p>
            <w:pPr>
              <w:jc w:val="center"/>
              <w:ind w:right="1021"/>
              <w:spacing w:after="0" w:line="202" w:lineRule="exact"/>
              <w:rPr>
                <w:sz w:val="20"/>
                <w:szCs w:val="20"/>
                <w:color w:val="auto"/>
              </w:rPr>
            </w:pPr>
            <w:r>
              <w:rPr>
                <w:rFonts w:ascii="Arial" w:cs="Arial" w:eastAsia="Arial" w:hAnsi="Arial"/>
                <w:sz w:val="14"/>
                <w:szCs w:val="14"/>
                <w:b w:val="1"/>
                <w:bCs w:val="1"/>
                <w:color w:val="00AF41"/>
              </w:rPr>
              <w:t>Beneficial Ownership</w:t>
            </w:r>
            <w:r>
              <w:rPr>
                <w:rFonts w:ascii="Arial" w:cs="Arial" w:eastAsia="Arial" w:hAnsi="Arial"/>
                <w:sz w:val="21"/>
                <w:szCs w:val="21"/>
                <w:b w:val="1"/>
                <w:bCs w:val="1"/>
                <w:color w:val="00AF41"/>
                <w:vertAlign w:val="superscript"/>
              </w:rPr>
              <w:t>(1)</w:t>
            </w:r>
          </w:p>
        </w:tc>
        <w:tc>
          <w:tcPr>
            <w:tcW w:w="12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00AF41"/>
              </w:rPr>
              <w:t>Percent of Class</w:t>
            </w:r>
          </w:p>
        </w:tc>
      </w:tr>
      <w:tr>
        <w:trPr>
          <w:trHeight w:val="309"/>
        </w:trPr>
        <w:tc>
          <w:tcPr>
            <w:tcW w:w="502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Terence E. Adderley Revocable Trust K</w:t>
            </w:r>
          </w:p>
        </w:tc>
        <w:tc>
          <w:tcPr>
            <w:tcW w:w="680" w:type="dxa"/>
            <w:vAlign w:val="bottom"/>
            <w:tcBorders>
              <w:bottom w:val="single" w:sz="8" w:color="EDEDED"/>
            </w:tcBorders>
            <w:shd w:val="clear" w:color="auto" w:fill="EDEDED"/>
          </w:tcPr>
          <w:p>
            <w:pPr>
              <w:spacing w:after="0"/>
              <w:rPr>
                <w:sz w:val="24"/>
                <w:szCs w:val="24"/>
                <w:color w:val="auto"/>
              </w:rPr>
            </w:pPr>
          </w:p>
        </w:tc>
        <w:tc>
          <w:tcPr>
            <w:tcW w:w="1200" w:type="dxa"/>
            <w:vAlign w:val="bottom"/>
            <w:tcBorders>
              <w:bottom w:val="single" w:sz="8" w:color="EDEDED"/>
            </w:tcBorders>
            <w:shd w:val="clear" w:color="auto" w:fill="EDEDED"/>
          </w:tcPr>
          <w:p>
            <w:pPr>
              <w:spacing w:after="0"/>
              <w:rPr>
                <w:sz w:val="24"/>
                <w:szCs w:val="24"/>
                <w:color w:val="auto"/>
              </w:rPr>
            </w:pPr>
          </w:p>
        </w:tc>
        <w:tc>
          <w:tcPr>
            <w:tcW w:w="2860" w:type="dxa"/>
            <w:vAlign w:val="bottom"/>
            <w:tcBorders>
              <w:bottom w:val="single" w:sz="8" w:color="EDEDED"/>
            </w:tcBorders>
            <w:gridSpan w:val="2"/>
            <w:shd w:val="clear" w:color="auto" w:fill="EDEDED"/>
          </w:tcPr>
          <w:p>
            <w:pPr>
              <w:jc w:val="center"/>
              <w:ind w:right="1021"/>
              <w:spacing w:after="0"/>
              <w:rPr>
                <w:sz w:val="20"/>
                <w:szCs w:val="20"/>
                <w:color w:val="auto"/>
              </w:rPr>
            </w:pPr>
            <w:r>
              <w:rPr>
                <w:rFonts w:ascii="Arial" w:cs="Arial" w:eastAsia="Arial" w:hAnsi="Arial"/>
                <w:sz w:val="16"/>
                <w:szCs w:val="16"/>
                <w:color w:val="auto"/>
              </w:rPr>
              <w:t>3,139,940</w:t>
            </w:r>
          </w:p>
        </w:tc>
        <w:tc>
          <w:tcPr>
            <w:tcW w:w="1260" w:type="dxa"/>
            <w:vAlign w:val="bottom"/>
            <w:tcBorders>
              <w:bottom w:val="single" w:sz="8" w:color="EDEDED"/>
            </w:tcBorders>
            <w:shd w:val="clear" w:color="auto" w:fill="EDEDED"/>
          </w:tcPr>
          <w:p>
            <w:pPr>
              <w:ind w:left="460"/>
              <w:spacing w:after="0"/>
              <w:rPr>
                <w:sz w:val="20"/>
                <w:szCs w:val="20"/>
                <w:color w:val="auto"/>
              </w:rPr>
            </w:pPr>
            <w:r>
              <w:rPr>
                <w:rFonts w:ascii="Arial" w:cs="Arial" w:eastAsia="Arial" w:hAnsi="Arial"/>
                <w:sz w:val="16"/>
                <w:szCs w:val="16"/>
                <w:color w:val="auto"/>
              </w:rPr>
              <w:t>93.9%</w:t>
            </w:r>
          </w:p>
        </w:tc>
      </w:tr>
      <w:tr>
        <w:trPr>
          <w:trHeight w:val="438"/>
        </w:trPr>
        <w:tc>
          <w:tcPr>
            <w:tcW w:w="5020" w:type="dxa"/>
            <w:vAlign w:val="bottom"/>
            <w:tcBorders>
              <w:top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218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00AF41"/>
              </w:rPr>
              <w:t>Class A Common Stock</w:t>
            </w:r>
          </w:p>
        </w:tc>
        <w:tc>
          <w:tcPr>
            <w:tcW w:w="3140" w:type="dxa"/>
            <w:vAlign w:val="bottom"/>
            <w:tcBorders>
              <w:top w:val="single" w:sz="8" w:color="auto"/>
              <w:bottom w:val="single" w:sz="8" w:color="auto"/>
            </w:tcBorders>
            <w:gridSpan w:val="2"/>
          </w:tcPr>
          <w:p>
            <w:pPr>
              <w:ind w:left="840"/>
              <w:spacing w:after="0"/>
              <w:rPr>
                <w:sz w:val="20"/>
                <w:szCs w:val="20"/>
                <w:color w:val="auto"/>
              </w:rPr>
            </w:pPr>
            <w:r>
              <w:rPr>
                <w:rFonts w:ascii="Arial" w:cs="Arial" w:eastAsia="Arial" w:hAnsi="Arial"/>
                <w:sz w:val="14"/>
                <w:szCs w:val="14"/>
                <w:b w:val="1"/>
                <w:bCs w:val="1"/>
                <w:color w:val="00AF41"/>
              </w:rPr>
              <w:t>Class B Common Stock</w:t>
            </w:r>
          </w:p>
        </w:tc>
      </w:tr>
      <w:tr>
        <w:trPr>
          <w:trHeight w:val="201"/>
        </w:trPr>
        <w:tc>
          <w:tcPr>
            <w:tcW w:w="5020" w:type="dxa"/>
            <w:vAlign w:val="bottom"/>
          </w:tcPr>
          <w:p>
            <w:pPr>
              <w:spacing w:after="0"/>
              <w:rPr>
                <w:sz w:val="17"/>
                <w:szCs w:val="17"/>
                <w:color w:val="auto"/>
              </w:rPr>
            </w:pPr>
          </w:p>
        </w:tc>
        <w:tc>
          <w:tcPr>
            <w:tcW w:w="1880" w:type="dxa"/>
            <w:vAlign w:val="bottom"/>
            <w:gridSpan w:val="2"/>
          </w:tcPr>
          <w:p>
            <w:pPr>
              <w:jc w:val="center"/>
              <w:ind w:left="201"/>
              <w:spacing w:after="0"/>
              <w:rPr>
                <w:sz w:val="20"/>
                <w:szCs w:val="20"/>
                <w:color w:val="auto"/>
              </w:rPr>
            </w:pPr>
            <w:r>
              <w:rPr>
                <w:rFonts w:ascii="Arial" w:cs="Arial" w:eastAsia="Arial" w:hAnsi="Arial"/>
                <w:sz w:val="14"/>
                <w:szCs w:val="14"/>
                <w:b w:val="1"/>
                <w:bCs w:val="1"/>
                <w:color w:val="00AF41"/>
              </w:rPr>
              <w:t>Number of Shares</w:t>
            </w:r>
          </w:p>
        </w:tc>
        <w:tc>
          <w:tcPr>
            <w:tcW w:w="98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00AF41"/>
              </w:rPr>
              <w:t>Number of Shares</w:t>
            </w:r>
          </w:p>
        </w:tc>
        <w:tc>
          <w:tcPr>
            <w:tcW w:w="1260" w:type="dxa"/>
            <w:vAlign w:val="bottom"/>
          </w:tcPr>
          <w:p>
            <w:pPr>
              <w:spacing w:after="0"/>
              <w:rPr>
                <w:sz w:val="17"/>
                <w:szCs w:val="17"/>
                <w:color w:val="auto"/>
              </w:rPr>
            </w:pPr>
          </w:p>
        </w:tc>
      </w:tr>
      <w:tr>
        <w:trPr>
          <w:trHeight w:val="162"/>
        </w:trPr>
        <w:tc>
          <w:tcPr>
            <w:tcW w:w="5020" w:type="dxa"/>
            <w:vAlign w:val="bottom"/>
          </w:tcPr>
          <w:p>
            <w:pPr>
              <w:spacing w:after="0"/>
              <w:rPr>
                <w:sz w:val="14"/>
                <w:szCs w:val="14"/>
                <w:color w:val="auto"/>
              </w:rPr>
            </w:pPr>
          </w:p>
        </w:tc>
        <w:tc>
          <w:tcPr>
            <w:tcW w:w="1880" w:type="dxa"/>
            <w:vAlign w:val="bottom"/>
            <w:gridSpan w:val="2"/>
          </w:tcPr>
          <w:p>
            <w:pPr>
              <w:jc w:val="center"/>
              <w:ind w:left="181"/>
              <w:spacing w:after="0"/>
              <w:rPr>
                <w:sz w:val="20"/>
                <w:szCs w:val="20"/>
                <w:color w:val="auto"/>
              </w:rPr>
            </w:pPr>
            <w:r>
              <w:rPr>
                <w:rFonts w:ascii="Arial" w:cs="Arial" w:eastAsia="Arial" w:hAnsi="Arial"/>
                <w:sz w:val="14"/>
                <w:szCs w:val="14"/>
                <w:b w:val="1"/>
                <w:bCs w:val="1"/>
                <w:color w:val="00AF41"/>
              </w:rPr>
              <w:t>and Nature of</w:t>
            </w:r>
          </w:p>
        </w:tc>
        <w:tc>
          <w:tcPr>
            <w:tcW w:w="980" w:type="dxa"/>
            <w:vAlign w:val="bottom"/>
          </w:tcPr>
          <w:p>
            <w:pPr>
              <w:ind w:left="280"/>
              <w:spacing w:after="0"/>
              <w:rPr>
                <w:sz w:val="20"/>
                <w:szCs w:val="20"/>
                <w:color w:val="auto"/>
              </w:rPr>
            </w:pPr>
            <w:r>
              <w:rPr>
                <w:rFonts w:ascii="Arial" w:cs="Arial" w:eastAsia="Arial" w:hAnsi="Arial"/>
                <w:sz w:val="14"/>
                <w:szCs w:val="14"/>
                <w:b w:val="1"/>
                <w:bCs w:val="1"/>
                <w:color w:val="00AF41"/>
              </w:rPr>
              <w:t>Percent</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00AF41"/>
              </w:rPr>
              <w:t>and Nature of</w:t>
            </w:r>
          </w:p>
        </w:tc>
        <w:tc>
          <w:tcPr>
            <w:tcW w:w="1260" w:type="dxa"/>
            <w:vAlign w:val="bottom"/>
          </w:tcPr>
          <w:p>
            <w:pPr>
              <w:ind w:left="460"/>
              <w:spacing w:after="0"/>
              <w:rPr>
                <w:sz w:val="20"/>
                <w:szCs w:val="20"/>
                <w:color w:val="auto"/>
              </w:rPr>
            </w:pPr>
            <w:r>
              <w:rPr>
                <w:rFonts w:ascii="Arial" w:cs="Arial" w:eastAsia="Arial" w:hAnsi="Arial"/>
                <w:sz w:val="14"/>
                <w:szCs w:val="14"/>
                <w:b w:val="1"/>
                <w:bCs w:val="1"/>
                <w:color w:val="00AF41"/>
              </w:rPr>
              <w:t>Percent of</w:t>
            </w:r>
          </w:p>
        </w:tc>
      </w:tr>
      <w:tr>
        <w:trPr>
          <w:trHeight w:val="197"/>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00AF41"/>
              </w:rPr>
              <w:t>Directors and Named Executive Officers</w:t>
            </w:r>
          </w:p>
        </w:tc>
        <w:tc>
          <w:tcPr>
            <w:tcW w:w="1880" w:type="dxa"/>
            <w:vAlign w:val="bottom"/>
            <w:tcBorders>
              <w:bottom w:val="single" w:sz="8" w:color="auto"/>
            </w:tcBorders>
            <w:gridSpan w:val="2"/>
          </w:tcPr>
          <w:p>
            <w:pPr>
              <w:jc w:val="center"/>
              <w:ind w:left="181"/>
              <w:spacing w:after="0"/>
              <w:rPr>
                <w:sz w:val="20"/>
                <w:szCs w:val="20"/>
                <w:color w:val="auto"/>
              </w:rPr>
            </w:pPr>
            <w:r>
              <w:rPr>
                <w:rFonts w:ascii="Arial" w:cs="Arial" w:eastAsia="Arial" w:hAnsi="Arial"/>
                <w:sz w:val="14"/>
                <w:szCs w:val="14"/>
                <w:b w:val="1"/>
                <w:bCs w:val="1"/>
                <w:color w:val="00AF41"/>
              </w:rPr>
              <w:t>Beneficial Ownership</w:t>
            </w: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00AF41"/>
              </w:rPr>
              <w:t>of Class</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AF41"/>
              </w:rPr>
              <w:t>Beneficial Ownership</w:t>
            </w:r>
          </w:p>
        </w:tc>
        <w:tc>
          <w:tcPr>
            <w:tcW w:w="126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00AF41"/>
              </w:rPr>
              <w:t>Class</w:t>
            </w:r>
          </w:p>
        </w:tc>
      </w:tr>
      <w:tr>
        <w:trPr>
          <w:trHeight w:val="285"/>
        </w:trPr>
        <w:tc>
          <w:tcPr>
            <w:tcW w:w="502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Directors:</w:t>
            </w:r>
          </w:p>
        </w:tc>
        <w:tc>
          <w:tcPr>
            <w:tcW w:w="680" w:type="dxa"/>
            <w:vAlign w:val="bottom"/>
            <w:tcBorders>
              <w:bottom w:val="single" w:sz="8" w:color="EDEDED"/>
            </w:tcBorders>
            <w:shd w:val="clear" w:color="auto" w:fill="EDEDED"/>
          </w:tcPr>
          <w:p>
            <w:pPr>
              <w:spacing w:after="0"/>
              <w:rPr>
                <w:sz w:val="24"/>
                <w:szCs w:val="24"/>
                <w:color w:val="auto"/>
              </w:rPr>
            </w:pPr>
          </w:p>
        </w:tc>
        <w:tc>
          <w:tcPr>
            <w:tcW w:w="1200" w:type="dxa"/>
            <w:vAlign w:val="bottom"/>
            <w:tcBorders>
              <w:bottom w:val="single" w:sz="8" w:color="EDEDED"/>
            </w:tcBorders>
            <w:shd w:val="clear" w:color="auto" w:fill="EDEDED"/>
          </w:tcPr>
          <w:p>
            <w:pPr>
              <w:spacing w:after="0"/>
              <w:rPr>
                <w:sz w:val="24"/>
                <w:szCs w:val="24"/>
                <w:color w:val="auto"/>
              </w:rPr>
            </w:pPr>
          </w:p>
        </w:tc>
        <w:tc>
          <w:tcPr>
            <w:tcW w:w="980" w:type="dxa"/>
            <w:vAlign w:val="bottom"/>
            <w:tcBorders>
              <w:bottom w:val="single" w:sz="8" w:color="EDEDED"/>
            </w:tcBorders>
            <w:shd w:val="clear" w:color="auto" w:fill="EDEDED"/>
          </w:tcPr>
          <w:p>
            <w:pPr>
              <w:spacing w:after="0"/>
              <w:rPr>
                <w:sz w:val="24"/>
                <w:szCs w:val="24"/>
                <w:color w:val="auto"/>
              </w:rPr>
            </w:pPr>
          </w:p>
        </w:tc>
        <w:tc>
          <w:tcPr>
            <w:tcW w:w="1880" w:type="dxa"/>
            <w:vAlign w:val="bottom"/>
            <w:tcBorders>
              <w:bottom w:val="single" w:sz="8" w:color="EDEDED"/>
            </w:tcBorders>
            <w:shd w:val="clear" w:color="auto" w:fill="EDEDED"/>
          </w:tcPr>
          <w:p>
            <w:pPr>
              <w:spacing w:after="0"/>
              <w:rPr>
                <w:sz w:val="24"/>
                <w:szCs w:val="24"/>
                <w:color w:val="auto"/>
              </w:rPr>
            </w:pPr>
          </w:p>
        </w:tc>
        <w:tc>
          <w:tcPr>
            <w:tcW w:w="1260" w:type="dxa"/>
            <w:vAlign w:val="bottom"/>
            <w:tcBorders>
              <w:bottom w:val="single" w:sz="8" w:color="EDEDED"/>
            </w:tcBorders>
            <w:shd w:val="clear" w:color="auto" w:fill="EDEDED"/>
          </w:tcPr>
          <w:p>
            <w:pPr>
              <w:spacing w:after="0"/>
              <w:rPr>
                <w:sz w:val="24"/>
                <w:szCs w:val="24"/>
                <w:color w:val="auto"/>
              </w:rPr>
            </w:pPr>
          </w:p>
        </w:tc>
      </w:tr>
      <w:tr>
        <w:trPr>
          <w:trHeight w:val="324"/>
        </w:trPr>
        <w:tc>
          <w:tcPr>
            <w:tcW w:w="5020" w:type="dxa"/>
            <w:vAlign w:val="bottom"/>
          </w:tcPr>
          <w:p>
            <w:pPr>
              <w:ind w:left="60"/>
              <w:spacing w:after="0"/>
              <w:rPr>
                <w:sz w:val="20"/>
                <w:szCs w:val="20"/>
                <w:color w:val="auto"/>
              </w:rPr>
            </w:pPr>
            <w:r>
              <w:rPr>
                <w:rFonts w:ascii="Arial" w:cs="Arial" w:eastAsia="Arial" w:hAnsi="Arial"/>
                <w:sz w:val="16"/>
                <w:szCs w:val="16"/>
                <w:color w:val="auto"/>
              </w:rPr>
              <w:t>Gerald S. Adolph</w:t>
            </w:r>
          </w:p>
        </w:tc>
        <w:tc>
          <w:tcPr>
            <w:tcW w:w="1880" w:type="dxa"/>
            <w:vAlign w:val="bottom"/>
            <w:gridSpan w:val="2"/>
          </w:tcPr>
          <w:p>
            <w:pPr>
              <w:jc w:val="center"/>
              <w:ind w:left="181"/>
              <w:spacing w:after="0"/>
              <w:rPr>
                <w:sz w:val="20"/>
                <w:szCs w:val="20"/>
                <w:color w:val="auto"/>
              </w:rPr>
            </w:pPr>
            <w:r>
              <w:rPr>
                <w:rFonts w:ascii="Arial" w:cs="Arial" w:eastAsia="Arial" w:hAnsi="Arial"/>
                <w:sz w:val="16"/>
                <w:szCs w:val="16"/>
                <w:color w:val="auto"/>
                <w:w w:val="96"/>
              </w:rPr>
              <w:t>33,831</w:t>
            </w:r>
            <w:r>
              <w:rPr>
                <w:rFonts w:ascii="Arial" w:cs="Arial" w:eastAsia="Arial" w:hAnsi="Arial"/>
                <w:sz w:val="24"/>
                <w:szCs w:val="24"/>
                <w:color w:val="auto"/>
                <w:w w:val="96"/>
                <w:vertAlign w:val="superscript"/>
              </w:rPr>
              <w:t>(2)</w:t>
            </w:r>
          </w:p>
        </w:tc>
        <w:tc>
          <w:tcPr>
            <w:tcW w:w="980" w:type="dxa"/>
            <w:vAlign w:val="bottom"/>
          </w:tcPr>
          <w:p>
            <w:pPr>
              <w:jc w:val="center"/>
              <w:ind w:left="41"/>
              <w:spacing w:after="0"/>
              <w:rPr>
                <w:sz w:val="20"/>
                <w:szCs w:val="20"/>
                <w:color w:val="auto"/>
              </w:rPr>
            </w:pPr>
            <w:r>
              <w:rPr>
                <w:rFonts w:ascii="Arial" w:cs="Arial" w:eastAsia="Arial" w:hAnsi="Arial"/>
                <w:sz w:val="16"/>
                <w:szCs w:val="16"/>
                <w:color w:val="auto"/>
                <w:w w:val="95"/>
              </w:rPr>
              <w:t>*</w:t>
            </w:r>
          </w:p>
        </w:tc>
        <w:tc>
          <w:tcPr>
            <w:tcW w:w="1880" w:type="dxa"/>
            <w:vAlign w:val="bottom"/>
          </w:tcPr>
          <w:p>
            <w:pPr>
              <w:jc w:val="center"/>
              <w:spacing w:after="0"/>
              <w:rPr>
                <w:sz w:val="20"/>
                <w:szCs w:val="20"/>
                <w:color w:val="auto"/>
              </w:rPr>
            </w:pPr>
            <w:r>
              <w:rPr>
                <w:rFonts w:ascii="Arial" w:cs="Arial" w:eastAsia="Arial" w:hAnsi="Arial"/>
                <w:sz w:val="16"/>
                <w:szCs w:val="16"/>
                <w:color w:val="auto"/>
              </w:rPr>
              <w:t>100</w:t>
            </w:r>
          </w:p>
        </w:tc>
        <w:tc>
          <w:tcPr>
            <w:tcW w:w="1260" w:type="dxa"/>
            <w:vAlign w:val="bottom"/>
          </w:tcPr>
          <w:p>
            <w:pPr>
              <w:jc w:val="center"/>
              <w:ind w:left="361"/>
              <w:spacing w:after="0"/>
              <w:rPr>
                <w:sz w:val="20"/>
                <w:szCs w:val="20"/>
                <w:color w:val="auto"/>
              </w:rPr>
            </w:pPr>
            <w:r>
              <w:rPr>
                <w:rFonts w:ascii="Arial" w:cs="Arial" w:eastAsia="Arial" w:hAnsi="Arial"/>
                <w:sz w:val="16"/>
                <w:szCs w:val="16"/>
                <w:color w:val="auto"/>
                <w:w w:val="95"/>
              </w:rPr>
              <w:t>*</w:t>
            </w:r>
          </w:p>
        </w:tc>
      </w:tr>
      <w:tr>
        <w:trPr>
          <w:trHeight w:val="324"/>
        </w:trPr>
        <w:tc>
          <w:tcPr>
            <w:tcW w:w="5020" w:type="dxa"/>
            <w:vAlign w:val="bottom"/>
            <w:shd w:val="clear" w:color="auto" w:fill="EDEDED"/>
          </w:tcPr>
          <w:p>
            <w:pPr>
              <w:ind w:left="60"/>
              <w:spacing w:after="0"/>
              <w:rPr>
                <w:sz w:val="20"/>
                <w:szCs w:val="20"/>
                <w:color w:val="auto"/>
              </w:rPr>
            </w:pPr>
            <w:r>
              <w:rPr>
                <w:rFonts w:ascii="Arial" w:cs="Arial" w:eastAsia="Arial" w:hAnsi="Arial"/>
                <w:sz w:val="16"/>
                <w:szCs w:val="16"/>
                <w:color w:val="auto"/>
              </w:rPr>
              <w:t>George S. Corona</w:t>
            </w:r>
          </w:p>
        </w:tc>
        <w:tc>
          <w:tcPr>
            <w:tcW w:w="1880" w:type="dxa"/>
            <w:vAlign w:val="bottom"/>
            <w:gridSpan w:val="2"/>
            <w:shd w:val="clear" w:color="auto" w:fill="EDEDED"/>
          </w:tcPr>
          <w:p>
            <w:pPr>
              <w:jc w:val="center"/>
              <w:ind w:left="181"/>
              <w:spacing w:after="0"/>
              <w:rPr>
                <w:sz w:val="20"/>
                <w:szCs w:val="20"/>
                <w:color w:val="auto"/>
              </w:rPr>
            </w:pPr>
            <w:r>
              <w:rPr>
                <w:rFonts w:ascii="Arial" w:cs="Arial" w:eastAsia="Arial" w:hAnsi="Arial"/>
                <w:sz w:val="16"/>
                <w:szCs w:val="16"/>
                <w:color w:val="auto"/>
                <w:w w:val="96"/>
              </w:rPr>
              <w:t>85,906</w:t>
            </w:r>
            <w:r>
              <w:rPr>
                <w:rFonts w:ascii="Arial" w:cs="Arial" w:eastAsia="Arial" w:hAnsi="Arial"/>
                <w:sz w:val="24"/>
                <w:szCs w:val="24"/>
                <w:color w:val="auto"/>
                <w:w w:val="96"/>
                <w:vertAlign w:val="superscript"/>
              </w:rPr>
              <w:t>(2)</w:t>
            </w:r>
          </w:p>
        </w:tc>
        <w:tc>
          <w:tcPr>
            <w:tcW w:w="980" w:type="dxa"/>
            <w:vAlign w:val="bottom"/>
            <w:shd w:val="clear" w:color="auto" w:fill="EDEDED"/>
          </w:tcPr>
          <w:p>
            <w:pPr>
              <w:jc w:val="center"/>
              <w:ind w:left="41"/>
              <w:spacing w:after="0"/>
              <w:rPr>
                <w:sz w:val="20"/>
                <w:szCs w:val="20"/>
                <w:color w:val="auto"/>
              </w:rPr>
            </w:pPr>
            <w:r>
              <w:rPr>
                <w:rFonts w:ascii="Arial" w:cs="Arial" w:eastAsia="Arial" w:hAnsi="Arial"/>
                <w:sz w:val="16"/>
                <w:szCs w:val="16"/>
                <w:color w:val="auto"/>
                <w:w w:val="95"/>
              </w:rPr>
              <w:t>*</w:t>
            </w:r>
          </w:p>
        </w:tc>
        <w:tc>
          <w:tcPr>
            <w:tcW w:w="188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100</w:t>
            </w:r>
          </w:p>
        </w:tc>
        <w:tc>
          <w:tcPr>
            <w:tcW w:w="1260" w:type="dxa"/>
            <w:vAlign w:val="bottom"/>
            <w:shd w:val="clear" w:color="auto" w:fill="EDEDED"/>
          </w:tcPr>
          <w:p>
            <w:pPr>
              <w:jc w:val="center"/>
              <w:ind w:left="361"/>
              <w:spacing w:after="0"/>
              <w:rPr>
                <w:sz w:val="20"/>
                <w:szCs w:val="20"/>
                <w:color w:val="auto"/>
              </w:rPr>
            </w:pPr>
            <w:r>
              <w:rPr>
                <w:rFonts w:ascii="Arial" w:cs="Arial" w:eastAsia="Arial" w:hAnsi="Arial"/>
                <w:sz w:val="16"/>
                <w:szCs w:val="16"/>
                <w:color w:val="auto"/>
                <w:w w:val="95"/>
              </w:rPr>
              <w:t>*</w:t>
            </w:r>
          </w:p>
        </w:tc>
      </w:tr>
      <w:tr>
        <w:trPr>
          <w:trHeight w:val="324"/>
        </w:trPr>
        <w:tc>
          <w:tcPr>
            <w:tcW w:w="5020" w:type="dxa"/>
            <w:vAlign w:val="bottom"/>
          </w:tcPr>
          <w:p>
            <w:pPr>
              <w:ind w:left="60"/>
              <w:spacing w:after="0"/>
              <w:rPr>
                <w:sz w:val="20"/>
                <w:szCs w:val="20"/>
                <w:color w:val="auto"/>
              </w:rPr>
            </w:pPr>
            <w:r>
              <w:rPr>
                <w:rFonts w:ascii="Arial" w:cs="Arial" w:eastAsia="Arial" w:hAnsi="Arial"/>
                <w:sz w:val="16"/>
                <w:szCs w:val="16"/>
                <w:color w:val="auto"/>
              </w:rPr>
              <w:t>Robert S. Cubbin</w:t>
            </w:r>
          </w:p>
        </w:tc>
        <w:tc>
          <w:tcPr>
            <w:tcW w:w="1880" w:type="dxa"/>
            <w:vAlign w:val="bottom"/>
            <w:gridSpan w:val="2"/>
          </w:tcPr>
          <w:p>
            <w:pPr>
              <w:jc w:val="center"/>
              <w:ind w:left="181"/>
              <w:spacing w:after="0"/>
              <w:rPr>
                <w:sz w:val="20"/>
                <w:szCs w:val="20"/>
                <w:color w:val="auto"/>
              </w:rPr>
            </w:pPr>
            <w:r>
              <w:rPr>
                <w:rFonts w:ascii="Arial" w:cs="Arial" w:eastAsia="Arial" w:hAnsi="Arial"/>
                <w:sz w:val="16"/>
                <w:szCs w:val="16"/>
                <w:color w:val="auto"/>
                <w:w w:val="96"/>
              </w:rPr>
              <w:t>46,671</w:t>
            </w:r>
            <w:r>
              <w:rPr>
                <w:rFonts w:ascii="Arial" w:cs="Arial" w:eastAsia="Arial" w:hAnsi="Arial"/>
                <w:sz w:val="24"/>
                <w:szCs w:val="24"/>
                <w:color w:val="auto"/>
                <w:w w:val="96"/>
                <w:vertAlign w:val="superscript"/>
              </w:rPr>
              <w:t>(2)</w:t>
            </w:r>
          </w:p>
        </w:tc>
        <w:tc>
          <w:tcPr>
            <w:tcW w:w="980" w:type="dxa"/>
            <w:vAlign w:val="bottom"/>
          </w:tcPr>
          <w:p>
            <w:pPr>
              <w:jc w:val="center"/>
              <w:ind w:left="41"/>
              <w:spacing w:after="0"/>
              <w:rPr>
                <w:sz w:val="20"/>
                <w:szCs w:val="20"/>
                <w:color w:val="auto"/>
              </w:rPr>
            </w:pPr>
            <w:r>
              <w:rPr>
                <w:rFonts w:ascii="Arial" w:cs="Arial" w:eastAsia="Arial" w:hAnsi="Arial"/>
                <w:sz w:val="16"/>
                <w:szCs w:val="16"/>
                <w:color w:val="auto"/>
                <w:w w:val="95"/>
              </w:rPr>
              <w:t>*</w:t>
            </w:r>
          </w:p>
        </w:tc>
        <w:tc>
          <w:tcPr>
            <w:tcW w:w="1880" w:type="dxa"/>
            <w:vAlign w:val="bottom"/>
          </w:tcPr>
          <w:p>
            <w:pPr>
              <w:jc w:val="center"/>
              <w:spacing w:after="0"/>
              <w:rPr>
                <w:sz w:val="20"/>
                <w:szCs w:val="20"/>
                <w:color w:val="auto"/>
              </w:rPr>
            </w:pPr>
            <w:r>
              <w:rPr>
                <w:rFonts w:ascii="Arial" w:cs="Arial" w:eastAsia="Arial" w:hAnsi="Arial"/>
                <w:sz w:val="16"/>
                <w:szCs w:val="16"/>
                <w:color w:val="auto"/>
              </w:rPr>
              <w:t>100</w:t>
            </w:r>
          </w:p>
        </w:tc>
        <w:tc>
          <w:tcPr>
            <w:tcW w:w="1260" w:type="dxa"/>
            <w:vAlign w:val="bottom"/>
          </w:tcPr>
          <w:p>
            <w:pPr>
              <w:jc w:val="center"/>
              <w:ind w:left="361"/>
              <w:spacing w:after="0"/>
              <w:rPr>
                <w:sz w:val="20"/>
                <w:szCs w:val="20"/>
                <w:color w:val="auto"/>
              </w:rPr>
            </w:pPr>
            <w:r>
              <w:rPr>
                <w:rFonts w:ascii="Arial" w:cs="Arial" w:eastAsia="Arial" w:hAnsi="Arial"/>
                <w:sz w:val="16"/>
                <w:szCs w:val="16"/>
                <w:color w:val="auto"/>
                <w:w w:val="95"/>
              </w:rPr>
              <w:t>*</w:t>
            </w:r>
          </w:p>
        </w:tc>
      </w:tr>
      <w:tr>
        <w:trPr>
          <w:trHeight w:val="324"/>
        </w:trPr>
        <w:tc>
          <w:tcPr>
            <w:tcW w:w="5020" w:type="dxa"/>
            <w:vAlign w:val="bottom"/>
            <w:shd w:val="clear" w:color="auto" w:fill="EDEDED"/>
          </w:tcPr>
          <w:p>
            <w:pPr>
              <w:ind w:left="60"/>
              <w:spacing w:after="0"/>
              <w:rPr>
                <w:sz w:val="20"/>
                <w:szCs w:val="20"/>
                <w:color w:val="auto"/>
              </w:rPr>
            </w:pPr>
            <w:r>
              <w:rPr>
                <w:rFonts w:ascii="Arial" w:cs="Arial" w:eastAsia="Arial" w:hAnsi="Arial"/>
                <w:sz w:val="16"/>
                <w:szCs w:val="16"/>
                <w:color w:val="auto"/>
              </w:rPr>
              <w:t>Amala Duggirala</w:t>
            </w:r>
            <w:r>
              <w:rPr>
                <w:rFonts w:ascii="Arial" w:cs="Arial" w:eastAsia="Arial" w:hAnsi="Arial"/>
                <w:sz w:val="24"/>
                <w:szCs w:val="24"/>
                <w:color w:val="auto"/>
                <w:vertAlign w:val="superscript"/>
              </w:rPr>
              <w:t>(3)</w:t>
            </w:r>
          </w:p>
        </w:tc>
        <w:tc>
          <w:tcPr>
            <w:tcW w:w="1880" w:type="dxa"/>
            <w:vAlign w:val="bottom"/>
            <w:gridSpan w:val="2"/>
            <w:shd w:val="clear" w:color="auto" w:fill="EDEDED"/>
          </w:tcPr>
          <w:p>
            <w:pPr>
              <w:jc w:val="center"/>
              <w:ind w:left="181"/>
              <w:spacing w:after="0"/>
              <w:rPr>
                <w:sz w:val="20"/>
                <w:szCs w:val="20"/>
                <w:color w:val="auto"/>
              </w:rPr>
            </w:pPr>
            <w:r>
              <w:rPr>
                <w:rFonts w:ascii="Arial" w:cs="Arial" w:eastAsia="Arial" w:hAnsi="Arial"/>
                <w:sz w:val="16"/>
                <w:szCs w:val="16"/>
                <w:color w:val="auto"/>
                <w:w w:val="90"/>
              </w:rPr>
              <w:t>9,560</w:t>
            </w:r>
            <w:r>
              <w:rPr>
                <w:rFonts w:ascii="Arial" w:cs="Arial" w:eastAsia="Arial" w:hAnsi="Arial"/>
                <w:sz w:val="24"/>
                <w:szCs w:val="24"/>
                <w:color w:val="auto"/>
                <w:w w:val="90"/>
                <w:vertAlign w:val="superscript"/>
              </w:rPr>
              <w:t>(2)</w:t>
            </w:r>
          </w:p>
        </w:tc>
        <w:tc>
          <w:tcPr>
            <w:tcW w:w="980" w:type="dxa"/>
            <w:vAlign w:val="bottom"/>
            <w:shd w:val="clear" w:color="auto" w:fill="EDEDED"/>
          </w:tcPr>
          <w:p>
            <w:pPr>
              <w:jc w:val="center"/>
              <w:ind w:left="41"/>
              <w:spacing w:after="0"/>
              <w:rPr>
                <w:sz w:val="20"/>
                <w:szCs w:val="20"/>
                <w:color w:val="auto"/>
              </w:rPr>
            </w:pPr>
            <w:r>
              <w:rPr>
                <w:rFonts w:ascii="Arial" w:cs="Arial" w:eastAsia="Arial" w:hAnsi="Arial"/>
                <w:sz w:val="16"/>
                <w:szCs w:val="16"/>
                <w:color w:val="auto"/>
                <w:w w:val="95"/>
              </w:rPr>
              <w:t>*</w:t>
            </w:r>
          </w:p>
        </w:tc>
        <w:tc>
          <w:tcPr>
            <w:tcW w:w="1880" w:type="dxa"/>
            <w:vAlign w:val="bottom"/>
            <w:shd w:val="clear" w:color="auto" w:fill="EDEDED"/>
          </w:tcPr>
          <w:p>
            <w:pPr>
              <w:jc w:val="center"/>
              <w:spacing w:after="0"/>
              <w:rPr>
                <w:sz w:val="20"/>
                <w:szCs w:val="20"/>
                <w:color w:val="auto"/>
              </w:rPr>
            </w:pPr>
            <w:r>
              <w:rPr>
                <w:rFonts w:ascii="Arial" w:cs="Arial" w:eastAsia="Arial" w:hAnsi="Arial"/>
                <w:sz w:val="16"/>
                <w:szCs w:val="16"/>
                <w:color w:val="auto"/>
                <w:w w:val="99"/>
              </w:rPr>
              <w:t>—</w:t>
            </w:r>
          </w:p>
        </w:tc>
        <w:tc>
          <w:tcPr>
            <w:tcW w:w="1260" w:type="dxa"/>
            <w:vAlign w:val="bottom"/>
            <w:shd w:val="clear" w:color="auto" w:fill="EDEDED"/>
          </w:tcPr>
          <w:p>
            <w:pPr>
              <w:jc w:val="center"/>
              <w:ind w:left="361"/>
              <w:spacing w:after="0"/>
              <w:rPr>
                <w:sz w:val="20"/>
                <w:szCs w:val="20"/>
                <w:color w:val="auto"/>
              </w:rPr>
            </w:pPr>
            <w:r>
              <w:rPr>
                <w:rFonts w:ascii="Arial" w:cs="Arial" w:eastAsia="Arial" w:hAnsi="Arial"/>
                <w:sz w:val="16"/>
                <w:szCs w:val="16"/>
                <w:color w:val="auto"/>
                <w:w w:val="95"/>
              </w:rPr>
              <w:t>*</w:t>
            </w:r>
          </w:p>
        </w:tc>
      </w:tr>
      <w:tr>
        <w:trPr>
          <w:trHeight w:val="324"/>
        </w:trPr>
        <w:tc>
          <w:tcPr>
            <w:tcW w:w="5020" w:type="dxa"/>
            <w:vAlign w:val="bottom"/>
          </w:tcPr>
          <w:p>
            <w:pPr>
              <w:ind w:left="60"/>
              <w:spacing w:after="0"/>
              <w:rPr>
                <w:sz w:val="20"/>
                <w:szCs w:val="20"/>
                <w:color w:val="auto"/>
              </w:rPr>
            </w:pPr>
            <w:r>
              <w:rPr>
                <w:rFonts w:ascii="Arial" w:cs="Arial" w:eastAsia="Arial" w:hAnsi="Arial"/>
                <w:sz w:val="16"/>
                <w:szCs w:val="16"/>
                <w:color w:val="auto"/>
              </w:rPr>
              <w:t>InaMarie F. Johnson</w:t>
            </w:r>
            <w:r>
              <w:rPr>
                <w:rFonts w:ascii="Arial" w:cs="Arial" w:eastAsia="Arial" w:hAnsi="Arial"/>
                <w:sz w:val="24"/>
                <w:szCs w:val="24"/>
                <w:color w:val="auto"/>
                <w:vertAlign w:val="superscript"/>
              </w:rPr>
              <w:t>(3)</w:t>
            </w:r>
          </w:p>
        </w:tc>
        <w:tc>
          <w:tcPr>
            <w:tcW w:w="1880" w:type="dxa"/>
            <w:vAlign w:val="bottom"/>
            <w:gridSpan w:val="2"/>
          </w:tcPr>
          <w:p>
            <w:pPr>
              <w:jc w:val="center"/>
              <w:ind w:left="181"/>
              <w:spacing w:after="0"/>
              <w:rPr>
                <w:sz w:val="20"/>
                <w:szCs w:val="20"/>
                <w:color w:val="auto"/>
              </w:rPr>
            </w:pPr>
            <w:r>
              <w:rPr>
                <w:rFonts w:ascii="Arial" w:cs="Arial" w:eastAsia="Arial" w:hAnsi="Arial"/>
                <w:sz w:val="16"/>
                <w:szCs w:val="16"/>
                <w:color w:val="auto"/>
                <w:w w:val="90"/>
              </w:rPr>
              <w:t>8,830</w:t>
            </w:r>
            <w:r>
              <w:rPr>
                <w:rFonts w:ascii="Arial" w:cs="Arial" w:eastAsia="Arial" w:hAnsi="Arial"/>
                <w:sz w:val="24"/>
                <w:szCs w:val="24"/>
                <w:color w:val="auto"/>
                <w:w w:val="90"/>
                <w:vertAlign w:val="superscript"/>
              </w:rPr>
              <w:t>(2)</w:t>
            </w:r>
          </w:p>
        </w:tc>
        <w:tc>
          <w:tcPr>
            <w:tcW w:w="980" w:type="dxa"/>
            <w:vAlign w:val="bottom"/>
          </w:tcPr>
          <w:p>
            <w:pPr>
              <w:jc w:val="center"/>
              <w:ind w:left="41"/>
              <w:spacing w:after="0"/>
              <w:rPr>
                <w:sz w:val="20"/>
                <w:szCs w:val="20"/>
                <w:color w:val="auto"/>
              </w:rPr>
            </w:pPr>
            <w:r>
              <w:rPr>
                <w:rFonts w:ascii="Arial" w:cs="Arial" w:eastAsia="Arial" w:hAnsi="Arial"/>
                <w:sz w:val="16"/>
                <w:szCs w:val="16"/>
                <w:color w:val="auto"/>
                <w:w w:val="95"/>
              </w:rPr>
              <w:t>*</w:t>
            </w:r>
          </w:p>
        </w:tc>
        <w:tc>
          <w:tcPr>
            <w:tcW w:w="1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260" w:type="dxa"/>
            <w:vAlign w:val="bottom"/>
          </w:tcPr>
          <w:p>
            <w:pPr>
              <w:jc w:val="center"/>
              <w:ind w:left="361"/>
              <w:spacing w:after="0"/>
              <w:rPr>
                <w:sz w:val="20"/>
                <w:szCs w:val="20"/>
                <w:color w:val="auto"/>
              </w:rPr>
            </w:pPr>
            <w:r>
              <w:rPr>
                <w:rFonts w:ascii="Arial" w:cs="Arial" w:eastAsia="Arial" w:hAnsi="Arial"/>
                <w:sz w:val="16"/>
                <w:szCs w:val="16"/>
                <w:color w:val="auto"/>
                <w:w w:val="95"/>
              </w:rPr>
              <w:t>*</w:t>
            </w:r>
          </w:p>
        </w:tc>
      </w:tr>
      <w:tr>
        <w:trPr>
          <w:trHeight w:val="304"/>
        </w:trPr>
        <w:tc>
          <w:tcPr>
            <w:tcW w:w="502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Terrence B. Larkin</w:t>
            </w:r>
          </w:p>
        </w:tc>
        <w:tc>
          <w:tcPr>
            <w:tcW w:w="1880" w:type="dxa"/>
            <w:vAlign w:val="bottom"/>
            <w:tcBorders>
              <w:bottom w:val="single" w:sz="8" w:color="EDEDED"/>
            </w:tcBorders>
            <w:gridSpan w:val="2"/>
            <w:shd w:val="clear" w:color="auto" w:fill="EDEDED"/>
          </w:tcPr>
          <w:p>
            <w:pPr>
              <w:jc w:val="center"/>
              <w:ind w:left="181"/>
              <w:spacing w:after="0"/>
              <w:rPr>
                <w:sz w:val="20"/>
                <w:szCs w:val="20"/>
                <w:color w:val="auto"/>
              </w:rPr>
            </w:pPr>
            <w:r>
              <w:rPr>
                <w:rFonts w:ascii="Arial" w:cs="Arial" w:eastAsia="Arial" w:hAnsi="Arial"/>
                <w:sz w:val="16"/>
                <w:szCs w:val="16"/>
                <w:color w:val="auto"/>
              </w:rPr>
              <w:t>40,847</w:t>
            </w:r>
          </w:p>
        </w:tc>
        <w:tc>
          <w:tcPr>
            <w:tcW w:w="980" w:type="dxa"/>
            <w:vAlign w:val="bottom"/>
            <w:tcBorders>
              <w:bottom w:val="single" w:sz="8" w:color="EDEDED"/>
            </w:tcBorders>
            <w:shd w:val="clear" w:color="auto" w:fill="EDEDED"/>
          </w:tcPr>
          <w:p>
            <w:pPr>
              <w:jc w:val="center"/>
              <w:ind w:left="41"/>
              <w:spacing w:after="0"/>
              <w:rPr>
                <w:sz w:val="20"/>
                <w:szCs w:val="20"/>
                <w:color w:val="auto"/>
              </w:rPr>
            </w:pPr>
            <w:r>
              <w:rPr>
                <w:rFonts w:ascii="Arial" w:cs="Arial" w:eastAsia="Arial" w:hAnsi="Arial"/>
                <w:sz w:val="16"/>
                <w:szCs w:val="16"/>
                <w:color w:val="auto"/>
                <w:w w:val="95"/>
              </w:rPr>
              <w:t>*</w:t>
            </w:r>
          </w:p>
        </w:tc>
        <w:tc>
          <w:tcPr>
            <w:tcW w:w="188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100</w:t>
            </w:r>
          </w:p>
        </w:tc>
        <w:tc>
          <w:tcPr>
            <w:tcW w:w="1260" w:type="dxa"/>
            <w:vAlign w:val="bottom"/>
            <w:tcBorders>
              <w:bottom w:val="single" w:sz="8" w:color="EDEDED"/>
            </w:tcBorders>
            <w:shd w:val="clear" w:color="auto" w:fill="EDEDED"/>
          </w:tcPr>
          <w:p>
            <w:pPr>
              <w:jc w:val="center"/>
              <w:ind w:left="361"/>
              <w:spacing w:after="0"/>
              <w:rPr>
                <w:sz w:val="20"/>
                <w:szCs w:val="20"/>
                <w:color w:val="auto"/>
              </w:rPr>
            </w:pPr>
            <w:r>
              <w:rPr>
                <w:rFonts w:ascii="Arial" w:cs="Arial" w:eastAsia="Arial" w:hAnsi="Arial"/>
                <w:sz w:val="16"/>
                <w:szCs w:val="16"/>
                <w:color w:val="auto"/>
                <w:w w:val="95"/>
              </w:rPr>
              <w:t>*</w:t>
            </w:r>
          </w:p>
        </w:tc>
      </w:tr>
      <w:tr>
        <w:trPr>
          <w:trHeight w:val="324"/>
        </w:trPr>
        <w:tc>
          <w:tcPr>
            <w:tcW w:w="5020" w:type="dxa"/>
            <w:vAlign w:val="bottom"/>
          </w:tcPr>
          <w:p>
            <w:pPr>
              <w:ind w:left="60"/>
              <w:spacing w:after="0"/>
              <w:rPr>
                <w:sz w:val="20"/>
                <w:szCs w:val="20"/>
                <w:color w:val="auto"/>
              </w:rPr>
            </w:pPr>
            <w:r>
              <w:rPr>
                <w:rFonts w:ascii="Arial" w:cs="Arial" w:eastAsia="Arial" w:hAnsi="Arial"/>
                <w:sz w:val="16"/>
                <w:szCs w:val="16"/>
                <w:color w:val="auto"/>
              </w:rPr>
              <w:t>Leslie A. Murphy</w:t>
            </w:r>
          </w:p>
        </w:tc>
        <w:tc>
          <w:tcPr>
            <w:tcW w:w="1880" w:type="dxa"/>
            <w:vAlign w:val="bottom"/>
            <w:gridSpan w:val="2"/>
          </w:tcPr>
          <w:p>
            <w:pPr>
              <w:jc w:val="center"/>
              <w:ind w:left="181"/>
              <w:spacing w:after="0"/>
              <w:rPr>
                <w:sz w:val="20"/>
                <w:szCs w:val="20"/>
                <w:color w:val="auto"/>
              </w:rPr>
            </w:pPr>
            <w:r>
              <w:rPr>
                <w:rFonts w:ascii="Arial" w:cs="Arial" w:eastAsia="Arial" w:hAnsi="Arial"/>
                <w:sz w:val="16"/>
                <w:szCs w:val="16"/>
                <w:color w:val="auto"/>
                <w:w w:val="96"/>
              </w:rPr>
              <w:t>40,951</w:t>
            </w:r>
            <w:r>
              <w:rPr>
                <w:rFonts w:ascii="Arial" w:cs="Arial" w:eastAsia="Arial" w:hAnsi="Arial"/>
                <w:sz w:val="24"/>
                <w:szCs w:val="24"/>
                <w:color w:val="auto"/>
                <w:w w:val="96"/>
                <w:vertAlign w:val="superscript"/>
              </w:rPr>
              <w:t>(2)</w:t>
            </w:r>
          </w:p>
        </w:tc>
        <w:tc>
          <w:tcPr>
            <w:tcW w:w="980" w:type="dxa"/>
            <w:vAlign w:val="bottom"/>
          </w:tcPr>
          <w:p>
            <w:pPr>
              <w:jc w:val="center"/>
              <w:ind w:left="41"/>
              <w:spacing w:after="0"/>
              <w:rPr>
                <w:sz w:val="20"/>
                <w:szCs w:val="20"/>
                <w:color w:val="auto"/>
              </w:rPr>
            </w:pPr>
            <w:r>
              <w:rPr>
                <w:rFonts w:ascii="Arial" w:cs="Arial" w:eastAsia="Arial" w:hAnsi="Arial"/>
                <w:sz w:val="16"/>
                <w:szCs w:val="16"/>
                <w:color w:val="auto"/>
                <w:w w:val="95"/>
              </w:rPr>
              <w:t>*</w:t>
            </w:r>
          </w:p>
        </w:tc>
        <w:tc>
          <w:tcPr>
            <w:tcW w:w="1880" w:type="dxa"/>
            <w:vAlign w:val="bottom"/>
          </w:tcPr>
          <w:p>
            <w:pPr>
              <w:jc w:val="center"/>
              <w:spacing w:after="0"/>
              <w:rPr>
                <w:sz w:val="20"/>
                <w:szCs w:val="20"/>
                <w:color w:val="auto"/>
              </w:rPr>
            </w:pPr>
            <w:r>
              <w:rPr>
                <w:rFonts w:ascii="Arial" w:cs="Arial" w:eastAsia="Arial" w:hAnsi="Arial"/>
                <w:sz w:val="16"/>
                <w:szCs w:val="16"/>
                <w:color w:val="auto"/>
              </w:rPr>
              <w:t>100</w:t>
            </w:r>
          </w:p>
        </w:tc>
        <w:tc>
          <w:tcPr>
            <w:tcW w:w="1260" w:type="dxa"/>
            <w:vAlign w:val="bottom"/>
          </w:tcPr>
          <w:p>
            <w:pPr>
              <w:jc w:val="center"/>
              <w:ind w:left="361"/>
              <w:spacing w:after="0"/>
              <w:rPr>
                <w:sz w:val="20"/>
                <w:szCs w:val="20"/>
                <w:color w:val="auto"/>
              </w:rPr>
            </w:pPr>
            <w:r>
              <w:rPr>
                <w:rFonts w:ascii="Arial" w:cs="Arial" w:eastAsia="Arial" w:hAnsi="Arial"/>
                <w:sz w:val="16"/>
                <w:szCs w:val="16"/>
                <w:color w:val="auto"/>
                <w:w w:val="95"/>
              </w:rPr>
              <w:t>*</w:t>
            </w:r>
          </w:p>
        </w:tc>
      </w:tr>
      <w:tr>
        <w:trPr>
          <w:trHeight w:val="304"/>
        </w:trPr>
        <w:tc>
          <w:tcPr>
            <w:tcW w:w="502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Donald R. Parfet</w:t>
            </w:r>
          </w:p>
        </w:tc>
        <w:tc>
          <w:tcPr>
            <w:tcW w:w="1880" w:type="dxa"/>
            <w:vAlign w:val="bottom"/>
            <w:tcBorders>
              <w:bottom w:val="single" w:sz="8" w:color="EDEDED"/>
            </w:tcBorders>
            <w:gridSpan w:val="2"/>
            <w:shd w:val="clear" w:color="auto" w:fill="EDEDED"/>
          </w:tcPr>
          <w:p>
            <w:pPr>
              <w:jc w:val="center"/>
              <w:ind w:left="181"/>
              <w:spacing w:after="0"/>
              <w:rPr>
                <w:sz w:val="20"/>
                <w:szCs w:val="20"/>
                <w:color w:val="auto"/>
              </w:rPr>
            </w:pPr>
            <w:r>
              <w:rPr>
                <w:rFonts w:ascii="Arial" w:cs="Arial" w:eastAsia="Arial" w:hAnsi="Arial"/>
                <w:sz w:val="16"/>
                <w:szCs w:val="16"/>
                <w:color w:val="auto"/>
              </w:rPr>
              <w:t>86,670</w:t>
            </w:r>
          </w:p>
        </w:tc>
        <w:tc>
          <w:tcPr>
            <w:tcW w:w="980" w:type="dxa"/>
            <w:vAlign w:val="bottom"/>
            <w:tcBorders>
              <w:bottom w:val="single" w:sz="8" w:color="EDEDED"/>
            </w:tcBorders>
            <w:shd w:val="clear" w:color="auto" w:fill="EDEDED"/>
          </w:tcPr>
          <w:p>
            <w:pPr>
              <w:jc w:val="center"/>
              <w:ind w:left="41"/>
              <w:spacing w:after="0"/>
              <w:rPr>
                <w:sz w:val="20"/>
                <w:szCs w:val="20"/>
                <w:color w:val="auto"/>
              </w:rPr>
            </w:pPr>
            <w:r>
              <w:rPr>
                <w:rFonts w:ascii="Arial" w:cs="Arial" w:eastAsia="Arial" w:hAnsi="Arial"/>
                <w:sz w:val="16"/>
                <w:szCs w:val="16"/>
                <w:color w:val="auto"/>
                <w:w w:val="95"/>
              </w:rPr>
              <w:t>*</w:t>
            </w:r>
          </w:p>
        </w:tc>
        <w:tc>
          <w:tcPr>
            <w:tcW w:w="188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100</w:t>
            </w:r>
          </w:p>
        </w:tc>
        <w:tc>
          <w:tcPr>
            <w:tcW w:w="1260" w:type="dxa"/>
            <w:vAlign w:val="bottom"/>
            <w:tcBorders>
              <w:bottom w:val="single" w:sz="8" w:color="EDEDED"/>
            </w:tcBorders>
            <w:shd w:val="clear" w:color="auto" w:fill="EDEDED"/>
          </w:tcPr>
          <w:p>
            <w:pPr>
              <w:jc w:val="center"/>
              <w:ind w:left="361"/>
              <w:spacing w:after="0"/>
              <w:rPr>
                <w:sz w:val="20"/>
                <w:szCs w:val="20"/>
                <w:color w:val="auto"/>
              </w:rPr>
            </w:pPr>
            <w:r>
              <w:rPr>
                <w:rFonts w:ascii="Arial" w:cs="Arial" w:eastAsia="Arial" w:hAnsi="Arial"/>
                <w:sz w:val="16"/>
                <w:szCs w:val="16"/>
                <w:color w:val="auto"/>
                <w:w w:val="95"/>
              </w:rPr>
              <w:t>*</w:t>
            </w:r>
          </w:p>
        </w:tc>
      </w:tr>
      <w:tr>
        <w:trPr>
          <w:trHeight w:val="268"/>
        </w:trPr>
        <w:tc>
          <w:tcPr>
            <w:tcW w:w="5020" w:type="dxa"/>
            <w:vAlign w:val="bottom"/>
          </w:tcPr>
          <w:p>
            <w:pPr>
              <w:ind w:left="60"/>
              <w:spacing w:after="0"/>
              <w:rPr>
                <w:sz w:val="20"/>
                <w:szCs w:val="20"/>
                <w:color w:val="auto"/>
              </w:rPr>
            </w:pPr>
            <w:r>
              <w:rPr>
                <w:rFonts w:ascii="Arial" w:cs="Arial" w:eastAsia="Arial" w:hAnsi="Arial"/>
                <w:sz w:val="16"/>
                <w:szCs w:val="16"/>
                <w:color w:val="auto"/>
              </w:rPr>
              <w:t>Named Executive Officers:</w:t>
            </w: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56"/>
        </w:trPr>
        <w:tc>
          <w:tcPr>
            <w:tcW w:w="502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c>
          <w:tcPr>
            <w:tcW w:w="9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304"/>
        </w:trPr>
        <w:tc>
          <w:tcPr>
            <w:tcW w:w="502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Peter W. Quigley (also a director)</w:t>
            </w:r>
          </w:p>
        </w:tc>
        <w:tc>
          <w:tcPr>
            <w:tcW w:w="1880" w:type="dxa"/>
            <w:vAlign w:val="bottom"/>
            <w:tcBorders>
              <w:bottom w:val="single" w:sz="8" w:color="EDEDED"/>
            </w:tcBorders>
            <w:gridSpan w:val="2"/>
            <w:shd w:val="clear" w:color="auto" w:fill="EDEDED"/>
          </w:tcPr>
          <w:p>
            <w:pPr>
              <w:jc w:val="center"/>
              <w:ind w:left="181"/>
              <w:spacing w:after="0"/>
              <w:rPr>
                <w:sz w:val="20"/>
                <w:szCs w:val="20"/>
                <w:color w:val="auto"/>
              </w:rPr>
            </w:pPr>
            <w:r>
              <w:rPr>
                <w:rFonts w:ascii="Arial" w:cs="Arial" w:eastAsia="Arial" w:hAnsi="Arial"/>
                <w:sz w:val="16"/>
                <w:szCs w:val="16"/>
                <w:color w:val="auto"/>
              </w:rPr>
              <w:t>283,347</w:t>
            </w:r>
          </w:p>
        </w:tc>
        <w:tc>
          <w:tcPr>
            <w:tcW w:w="980" w:type="dxa"/>
            <w:vAlign w:val="bottom"/>
            <w:tcBorders>
              <w:bottom w:val="single" w:sz="8" w:color="EDEDED"/>
            </w:tcBorders>
            <w:shd w:val="clear" w:color="auto" w:fill="EDEDED"/>
          </w:tcPr>
          <w:p>
            <w:pPr>
              <w:jc w:val="center"/>
              <w:ind w:left="41"/>
              <w:spacing w:after="0"/>
              <w:rPr>
                <w:sz w:val="20"/>
                <w:szCs w:val="20"/>
                <w:color w:val="auto"/>
              </w:rPr>
            </w:pPr>
            <w:r>
              <w:rPr>
                <w:rFonts w:ascii="Arial" w:cs="Arial" w:eastAsia="Arial" w:hAnsi="Arial"/>
                <w:sz w:val="16"/>
                <w:szCs w:val="16"/>
                <w:color w:val="auto"/>
                <w:w w:val="95"/>
              </w:rPr>
              <w:t>*</w:t>
            </w:r>
          </w:p>
        </w:tc>
        <w:tc>
          <w:tcPr>
            <w:tcW w:w="188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100</w:t>
            </w:r>
          </w:p>
        </w:tc>
        <w:tc>
          <w:tcPr>
            <w:tcW w:w="1260" w:type="dxa"/>
            <w:vAlign w:val="bottom"/>
            <w:tcBorders>
              <w:bottom w:val="single" w:sz="8" w:color="EDEDED"/>
            </w:tcBorders>
            <w:shd w:val="clear" w:color="auto" w:fill="EDEDED"/>
          </w:tcPr>
          <w:p>
            <w:pPr>
              <w:jc w:val="center"/>
              <w:ind w:left="361"/>
              <w:spacing w:after="0"/>
              <w:rPr>
                <w:sz w:val="20"/>
                <w:szCs w:val="20"/>
                <w:color w:val="auto"/>
              </w:rPr>
            </w:pPr>
            <w:r>
              <w:rPr>
                <w:rFonts w:ascii="Arial" w:cs="Arial" w:eastAsia="Arial" w:hAnsi="Arial"/>
                <w:sz w:val="16"/>
                <w:szCs w:val="16"/>
                <w:color w:val="auto"/>
                <w:w w:val="95"/>
              </w:rPr>
              <w:t>*</w:t>
            </w:r>
          </w:p>
        </w:tc>
      </w:tr>
      <w:tr>
        <w:trPr>
          <w:trHeight w:val="268"/>
        </w:trPr>
        <w:tc>
          <w:tcPr>
            <w:tcW w:w="5020" w:type="dxa"/>
            <w:vAlign w:val="bottom"/>
          </w:tcPr>
          <w:p>
            <w:pPr>
              <w:ind w:left="60"/>
              <w:spacing w:after="0"/>
              <w:rPr>
                <w:sz w:val="20"/>
                <w:szCs w:val="20"/>
                <w:color w:val="auto"/>
              </w:rPr>
            </w:pPr>
            <w:r>
              <w:rPr>
                <w:rFonts w:ascii="Arial" w:cs="Arial" w:eastAsia="Arial" w:hAnsi="Arial"/>
                <w:sz w:val="16"/>
                <w:szCs w:val="16"/>
                <w:color w:val="auto"/>
              </w:rPr>
              <w:t>Olivier G. Thirot</w:t>
            </w:r>
          </w:p>
        </w:tc>
        <w:tc>
          <w:tcPr>
            <w:tcW w:w="1880" w:type="dxa"/>
            <w:vAlign w:val="bottom"/>
            <w:gridSpan w:val="2"/>
          </w:tcPr>
          <w:p>
            <w:pPr>
              <w:jc w:val="center"/>
              <w:ind w:left="181"/>
              <w:spacing w:after="0"/>
              <w:rPr>
                <w:sz w:val="20"/>
                <w:szCs w:val="20"/>
                <w:color w:val="auto"/>
              </w:rPr>
            </w:pPr>
            <w:r>
              <w:rPr>
                <w:rFonts w:ascii="Arial" w:cs="Arial" w:eastAsia="Arial" w:hAnsi="Arial"/>
                <w:sz w:val="16"/>
                <w:szCs w:val="16"/>
                <w:color w:val="auto"/>
              </w:rPr>
              <w:t>172,138</w:t>
            </w:r>
          </w:p>
        </w:tc>
        <w:tc>
          <w:tcPr>
            <w:tcW w:w="980" w:type="dxa"/>
            <w:vAlign w:val="bottom"/>
          </w:tcPr>
          <w:p>
            <w:pPr>
              <w:jc w:val="center"/>
              <w:ind w:left="41"/>
              <w:spacing w:after="0"/>
              <w:rPr>
                <w:sz w:val="20"/>
                <w:szCs w:val="20"/>
                <w:color w:val="auto"/>
              </w:rPr>
            </w:pPr>
            <w:r>
              <w:rPr>
                <w:rFonts w:ascii="Arial" w:cs="Arial" w:eastAsia="Arial" w:hAnsi="Arial"/>
                <w:sz w:val="16"/>
                <w:szCs w:val="16"/>
                <w:color w:val="auto"/>
                <w:w w:val="95"/>
              </w:rPr>
              <w:t>*</w:t>
            </w:r>
          </w:p>
        </w:tc>
        <w:tc>
          <w:tcPr>
            <w:tcW w:w="1880" w:type="dxa"/>
            <w:vAlign w:val="bottom"/>
          </w:tcPr>
          <w:p>
            <w:pPr>
              <w:jc w:val="center"/>
              <w:spacing w:after="0"/>
              <w:rPr>
                <w:sz w:val="20"/>
                <w:szCs w:val="20"/>
                <w:color w:val="auto"/>
              </w:rPr>
            </w:pPr>
            <w:r>
              <w:rPr>
                <w:rFonts w:ascii="Arial" w:cs="Arial" w:eastAsia="Arial" w:hAnsi="Arial"/>
                <w:sz w:val="16"/>
                <w:szCs w:val="16"/>
                <w:color w:val="auto"/>
              </w:rPr>
              <w:t>10</w:t>
            </w:r>
          </w:p>
        </w:tc>
        <w:tc>
          <w:tcPr>
            <w:tcW w:w="1260" w:type="dxa"/>
            <w:vAlign w:val="bottom"/>
          </w:tcPr>
          <w:p>
            <w:pPr>
              <w:jc w:val="center"/>
              <w:ind w:left="361"/>
              <w:spacing w:after="0"/>
              <w:rPr>
                <w:sz w:val="20"/>
                <w:szCs w:val="20"/>
                <w:color w:val="auto"/>
              </w:rPr>
            </w:pPr>
            <w:r>
              <w:rPr>
                <w:rFonts w:ascii="Arial" w:cs="Arial" w:eastAsia="Arial" w:hAnsi="Arial"/>
                <w:sz w:val="16"/>
                <w:szCs w:val="16"/>
                <w:color w:val="auto"/>
                <w:w w:val="95"/>
              </w:rPr>
              <w:t>*</w:t>
            </w:r>
          </w:p>
        </w:tc>
      </w:tr>
      <w:tr>
        <w:trPr>
          <w:trHeight w:val="56"/>
        </w:trPr>
        <w:tc>
          <w:tcPr>
            <w:tcW w:w="502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c>
          <w:tcPr>
            <w:tcW w:w="9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304"/>
        </w:trPr>
        <w:tc>
          <w:tcPr>
            <w:tcW w:w="502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Danette Koolhaas</w:t>
            </w:r>
          </w:p>
        </w:tc>
        <w:tc>
          <w:tcPr>
            <w:tcW w:w="1880" w:type="dxa"/>
            <w:vAlign w:val="bottom"/>
            <w:tcBorders>
              <w:bottom w:val="single" w:sz="8" w:color="EDEDED"/>
            </w:tcBorders>
            <w:gridSpan w:val="2"/>
            <w:shd w:val="clear" w:color="auto" w:fill="EDEDED"/>
          </w:tcPr>
          <w:p>
            <w:pPr>
              <w:jc w:val="center"/>
              <w:ind w:left="181"/>
              <w:spacing w:after="0"/>
              <w:rPr>
                <w:sz w:val="20"/>
                <w:szCs w:val="20"/>
                <w:color w:val="auto"/>
              </w:rPr>
            </w:pPr>
            <w:r>
              <w:rPr>
                <w:rFonts w:ascii="Arial" w:cs="Arial" w:eastAsia="Arial" w:hAnsi="Arial"/>
                <w:sz w:val="16"/>
                <w:szCs w:val="16"/>
                <w:color w:val="auto"/>
              </w:rPr>
              <w:t>36,849</w:t>
            </w:r>
          </w:p>
        </w:tc>
        <w:tc>
          <w:tcPr>
            <w:tcW w:w="980" w:type="dxa"/>
            <w:vAlign w:val="bottom"/>
            <w:tcBorders>
              <w:bottom w:val="single" w:sz="8" w:color="EDEDED"/>
            </w:tcBorders>
            <w:shd w:val="clear" w:color="auto" w:fill="EDEDED"/>
          </w:tcPr>
          <w:p>
            <w:pPr>
              <w:jc w:val="center"/>
              <w:ind w:left="41"/>
              <w:spacing w:after="0"/>
              <w:rPr>
                <w:sz w:val="20"/>
                <w:szCs w:val="20"/>
                <w:color w:val="auto"/>
              </w:rPr>
            </w:pPr>
            <w:r>
              <w:rPr>
                <w:rFonts w:ascii="Arial" w:cs="Arial" w:eastAsia="Arial" w:hAnsi="Arial"/>
                <w:sz w:val="16"/>
                <w:szCs w:val="16"/>
                <w:color w:val="auto"/>
                <w:w w:val="95"/>
              </w:rPr>
              <w:t>*</w:t>
            </w:r>
          </w:p>
        </w:tc>
        <w:tc>
          <w:tcPr>
            <w:tcW w:w="188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w w:val="99"/>
              </w:rPr>
              <w:t>—</w:t>
            </w:r>
          </w:p>
        </w:tc>
        <w:tc>
          <w:tcPr>
            <w:tcW w:w="1260" w:type="dxa"/>
            <w:vAlign w:val="bottom"/>
            <w:tcBorders>
              <w:bottom w:val="single" w:sz="8" w:color="EDEDED"/>
            </w:tcBorders>
            <w:shd w:val="clear" w:color="auto" w:fill="EDEDED"/>
          </w:tcPr>
          <w:p>
            <w:pPr>
              <w:jc w:val="center"/>
              <w:ind w:left="361"/>
              <w:spacing w:after="0"/>
              <w:rPr>
                <w:sz w:val="20"/>
                <w:szCs w:val="20"/>
                <w:color w:val="auto"/>
              </w:rPr>
            </w:pPr>
            <w:r>
              <w:rPr>
                <w:rFonts w:ascii="Arial" w:cs="Arial" w:eastAsia="Arial" w:hAnsi="Arial"/>
                <w:sz w:val="16"/>
                <w:szCs w:val="16"/>
                <w:color w:val="auto"/>
                <w:w w:val="95"/>
              </w:rPr>
              <w:t>*</w:t>
            </w:r>
          </w:p>
        </w:tc>
      </w:tr>
      <w:tr>
        <w:trPr>
          <w:trHeight w:val="268"/>
        </w:trPr>
        <w:tc>
          <w:tcPr>
            <w:tcW w:w="5020" w:type="dxa"/>
            <w:vAlign w:val="bottom"/>
          </w:tcPr>
          <w:p>
            <w:pPr>
              <w:ind w:left="60"/>
              <w:spacing w:after="0"/>
              <w:rPr>
                <w:sz w:val="20"/>
                <w:szCs w:val="20"/>
                <w:color w:val="auto"/>
              </w:rPr>
            </w:pPr>
            <w:r>
              <w:rPr>
                <w:rFonts w:ascii="Arial" w:cs="Arial" w:eastAsia="Arial" w:hAnsi="Arial"/>
                <w:sz w:val="16"/>
                <w:szCs w:val="16"/>
                <w:color w:val="auto"/>
              </w:rPr>
              <w:t>Vanessa P. Williams</w:t>
            </w:r>
          </w:p>
        </w:tc>
        <w:tc>
          <w:tcPr>
            <w:tcW w:w="1880" w:type="dxa"/>
            <w:vAlign w:val="bottom"/>
            <w:gridSpan w:val="2"/>
          </w:tcPr>
          <w:p>
            <w:pPr>
              <w:jc w:val="center"/>
              <w:ind w:left="181"/>
              <w:spacing w:after="0"/>
              <w:rPr>
                <w:sz w:val="20"/>
                <w:szCs w:val="20"/>
                <w:color w:val="auto"/>
              </w:rPr>
            </w:pPr>
            <w:r>
              <w:rPr>
                <w:rFonts w:ascii="Arial" w:cs="Arial" w:eastAsia="Arial" w:hAnsi="Arial"/>
                <w:sz w:val="16"/>
                <w:szCs w:val="16"/>
                <w:color w:val="auto"/>
              </w:rPr>
              <w:t>40,079</w:t>
            </w:r>
          </w:p>
        </w:tc>
        <w:tc>
          <w:tcPr>
            <w:tcW w:w="980" w:type="dxa"/>
            <w:vAlign w:val="bottom"/>
          </w:tcPr>
          <w:p>
            <w:pPr>
              <w:jc w:val="center"/>
              <w:ind w:left="41"/>
              <w:spacing w:after="0"/>
              <w:rPr>
                <w:sz w:val="20"/>
                <w:szCs w:val="20"/>
                <w:color w:val="auto"/>
              </w:rPr>
            </w:pPr>
            <w:r>
              <w:rPr>
                <w:rFonts w:ascii="Arial" w:cs="Arial" w:eastAsia="Arial" w:hAnsi="Arial"/>
                <w:sz w:val="16"/>
                <w:szCs w:val="16"/>
                <w:color w:val="auto"/>
                <w:w w:val="95"/>
              </w:rPr>
              <w:t>*</w:t>
            </w:r>
          </w:p>
        </w:tc>
        <w:tc>
          <w:tcPr>
            <w:tcW w:w="1880" w:type="dxa"/>
            <w:vAlign w:val="bottom"/>
          </w:tcPr>
          <w:p>
            <w:pPr>
              <w:jc w:val="center"/>
              <w:spacing w:after="0"/>
              <w:rPr>
                <w:sz w:val="20"/>
                <w:szCs w:val="20"/>
                <w:color w:val="auto"/>
              </w:rPr>
            </w:pPr>
            <w:r>
              <w:rPr>
                <w:rFonts w:ascii="Arial" w:cs="Arial" w:eastAsia="Arial" w:hAnsi="Arial"/>
                <w:sz w:val="16"/>
                <w:szCs w:val="16"/>
                <w:color w:val="auto"/>
              </w:rPr>
              <w:t>100</w:t>
            </w:r>
          </w:p>
        </w:tc>
        <w:tc>
          <w:tcPr>
            <w:tcW w:w="1260" w:type="dxa"/>
            <w:vAlign w:val="bottom"/>
          </w:tcPr>
          <w:p>
            <w:pPr>
              <w:jc w:val="center"/>
              <w:ind w:left="361"/>
              <w:spacing w:after="0"/>
              <w:rPr>
                <w:sz w:val="20"/>
                <w:szCs w:val="20"/>
                <w:color w:val="auto"/>
              </w:rPr>
            </w:pPr>
            <w:r>
              <w:rPr>
                <w:rFonts w:ascii="Arial" w:cs="Arial" w:eastAsia="Arial" w:hAnsi="Arial"/>
                <w:sz w:val="16"/>
                <w:szCs w:val="16"/>
                <w:color w:val="auto"/>
                <w:w w:val="95"/>
              </w:rPr>
              <w:t>*</w:t>
            </w:r>
          </w:p>
        </w:tc>
      </w:tr>
      <w:tr>
        <w:trPr>
          <w:trHeight w:val="56"/>
        </w:trPr>
        <w:tc>
          <w:tcPr>
            <w:tcW w:w="502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c>
          <w:tcPr>
            <w:tcW w:w="980" w:type="dxa"/>
            <w:vAlign w:val="bottom"/>
          </w:tcPr>
          <w:p>
            <w:pPr>
              <w:spacing w:after="0"/>
              <w:rPr>
                <w:sz w:val="4"/>
                <w:szCs w:val="4"/>
                <w:color w:val="auto"/>
              </w:rPr>
            </w:pPr>
          </w:p>
        </w:tc>
        <w:tc>
          <w:tcPr>
            <w:tcW w:w="188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304"/>
        </w:trPr>
        <w:tc>
          <w:tcPr>
            <w:tcW w:w="502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Darren Simons</w:t>
            </w:r>
          </w:p>
        </w:tc>
        <w:tc>
          <w:tcPr>
            <w:tcW w:w="1880" w:type="dxa"/>
            <w:vAlign w:val="bottom"/>
            <w:tcBorders>
              <w:bottom w:val="single" w:sz="8" w:color="EDEDED"/>
            </w:tcBorders>
            <w:gridSpan w:val="2"/>
            <w:shd w:val="clear" w:color="auto" w:fill="EDEDED"/>
          </w:tcPr>
          <w:p>
            <w:pPr>
              <w:jc w:val="center"/>
              <w:ind w:left="181"/>
              <w:spacing w:after="0"/>
              <w:rPr>
                <w:sz w:val="20"/>
                <w:szCs w:val="20"/>
                <w:color w:val="auto"/>
              </w:rPr>
            </w:pPr>
            <w:r>
              <w:rPr>
                <w:rFonts w:ascii="Arial" w:cs="Arial" w:eastAsia="Arial" w:hAnsi="Arial"/>
                <w:sz w:val="16"/>
                <w:szCs w:val="16"/>
                <w:color w:val="auto"/>
              </w:rPr>
              <w:t>44,909</w:t>
            </w:r>
          </w:p>
        </w:tc>
        <w:tc>
          <w:tcPr>
            <w:tcW w:w="980" w:type="dxa"/>
            <w:vAlign w:val="bottom"/>
            <w:tcBorders>
              <w:bottom w:val="single" w:sz="8" w:color="EDEDED"/>
            </w:tcBorders>
            <w:shd w:val="clear" w:color="auto" w:fill="EDEDED"/>
          </w:tcPr>
          <w:p>
            <w:pPr>
              <w:jc w:val="center"/>
              <w:ind w:left="41"/>
              <w:spacing w:after="0"/>
              <w:rPr>
                <w:sz w:val="20"/>
                <w:szCs w:val="20"/>
                <w:color w:val="auto"/>
              </w:rPr>
            </w:pPr>
            <w:r>
              <w:rPr>
                <w:rFonts w:ascii="Arial" w:cs="Arial" w:eastAsia="Arial" w:hAnsi="Arial"/>
                <w:sz w:val="16"/>
                <w:szCs w:val="16"/>
                <w:color w:val="auto"/>
                <w:w w:val="95"/>
              </w:rPr>
              <w:t>*</w:t>
            </w:r>
          </w:p>
        </w:tc>
        <w:tc>
          <w:tcPr>
            <w:tcW w:w="188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w w:val="99"/>
              </w:rPr>
              <w:t>—</w:t>
            </w:r>
          </w:p>
        </w:tc>
        <w:tc>
          <w:tcPr>
            <w:tcW w:w="1260" w:type="dxa"/>
            <w:vAlign w:val="bottom"/>
            <w:tcBorders>
              <w:bottom w:val="single" w:sz="8" w:color="EDEDED"/>
            </w:tcBorders>
            <w:shd w:val="clear" w:color="auto" w:fill="EDEDED"/>
          </w:tcPr>
          <w:p>
            <w:pPr>
              <w:jc w:val="center"/>
              <w:ind w:left="361"/>
              <w:spacing w:after="0"/>
              <w:rPr>
                <w:sz w:val="20"/>
                <w:szCs w:val="20"/>
                <w:color w:val="auto"/>
              </w:rPr>
            </w:pPr>
            <w:r>
              <w:rPr>
                <w:rFonts w:ascii="Arial" w:cs="Arial" w:eastAsia="Arial" w:hAnsi="Arial"/>
                <w:sz w:val="16"/>
                <w:szCs w:val="16"/>
                <w:color w:val="auto"/>
                <w:w w:val="95"/>
              </w:rPr>
              <w:t>*</w:t>
            </w:r>
          </w:p>
        </w:tc>
      </w:tr>
      <w:tr>
        <w:trPr>
          <w:trHeight w:val="242"/>
        </w:trPr>
        <w:tc>
          <w:tcPr>
            <w:tcW w:w="5020" w:type="dxa"/>
            <w:vAlign w:val="bottom"/>
          </w:tcPr>
          <w:p>
            <w:pPr>
              <w:ind w:left="60"/>
              <w:spacing w:after="0"/>
              <w:rPr>
                <w:sz w:val="20"/>
                <w:szCs w:val="20"/>
                <w:color w:val="auto"/>
              </w:rPr>
            </w:pPr>
            <w:r>
              <w:rPr>
                <w:rFonts w:ascii="Arial" w:cs="Arial" w:eastAsia="Arial" w:hAnsi="Arial"/>
                <w:sz w:val="16"/>
                <w:szCs w:val="16"/>
                <w:color w:val="auto"/>
              </w:rPr>
              <w:t>All directors and executive officers as a Group</w:t>
            </w:r>
          </w:p>
        </w:tc>
        <w:tc>
          <w:tcPr>
            <w:tcW w:w="6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15"/>
        </w:trPr>
        <w:tc>
          <w:tcPr>
            <w:tcW w:w="5020" w:type="dxa"/>
            <w:vAlign w:val="bottom"/>
          </w:tcPr>
          <w:p>
            <w:pPr>
              <w:ind w:left="60"/>
              <w:spacing w:after="0"/>
              <w:rPr>
                <w:sz w:val="20"/>
                <w:szCs w:val="20"/>
                <w:color w:val="auto"/>
              </w:rPr>
            </w:pPr>
            <w:r>
              <w:rPr>
                <w:rFonts w:ascii="Arial" w:cs="Arial" w:eastAsia="Arial" w:hAnsi="Arial"/>
                <w:sz w:val="16"/>
                <w:szCs w:val="16"/>
                <w:color w:val="auto"/>
              </w:rPr>
              <w:t>(19 persons)</w:t>
            </w:r>
          </w:p>
        </w:tc>
        <w:tc>
          <w:tcPr>
            <w:tcW w:w="1880" w:type="dxa"/>
            <w:vAlign w:val="bottom"/>
            <w:gridSpan w:val="2"/>
          </w:tcPr>
          <w:p>
            <w:pPr>
              <w:jc w:val="center"/>
              <w:ind w:left="201"/>
              <w:spacing w:after="0"/>
              <w:rPr>
                <w:sz w:val="20"/>
                <w:szCs w:val="20"/>
                <w:color w:val="auto"/>
              </w:rPr>
            </w:pPr>
            <w:r>
              <w:rPr>
                <w:rFonts w:ascii="Arial" w:cs="Arial" w:eastAsia="Arial" w:hAnsi="Arial"/>
                <w:sz w:val="16"/>
                <w:szCs w:val="16"/>
                <w:color w:val="auto"/>
              </w:rPr>
              <w:t>1,197,917</w:t>
            </w:r>
          </w:p>
        </w:tc>
        <w:tc>
          <w:tcPr>
            <w:tcW w:w="980" w:type="dxa"/>
            <w:vAlign w:val="bottom"/>
          </w:tcPr>
          <w:p>
            <w:pPr>
              <w:jc w:val="center"/>
              <w:ind w:left="41"/>
              <w:spacing w:after="0"/>
              <w:rPr>
                <w:sz w:val="20"/>
                <w:szCs w:val="20"/>
                <w:color w:val="auto"/>
              </w:rPr>
            </w:pPr>
            <w:r>
              <w:rPr>
                <w:rFonts w:ascii="Arial" w:cs="Arial" w:eastAsia="Arial" w:hAnsi="Arial"/>
                <w:sz w:val="16"/>
                <w:szCs w:val="16"/>
                <w:color w:val="auto"/>
                <w:w w:val="98"/>
              </w:rPr>
              <w:t>3.5</w:t>
            </w:r>
          </w:p>
        </w:tc>
        <w:tc>
          <w:tcPr>
            <w:tcW w:w="1880" w:type="dxa"/>
            <w:vAlign w:val="bottom"/>
          </w:tcPr>
          <w:p>
            <w:pPr>
              <w:jc w:val="center"/>
              <w:spacing w:after="0"/>
              <w:rPr>
                <w:sz w:val="20"/>
                <w:szCs w:val="20"/>
                <w:color w:val="auto"/>
              </w:rPr>
            </w:pPr>
            <w:r>
              <w:rPr>
                <w:rFonts w:ascii="Arial" w:cs="Arial" w:eastAsia="Arial" w:hAnsi="Arial"/>
                <w:sz w:val="16"/>
                <w:szCs w:val="16"/>
                <w:color w:val="auto"/>
              </w:rPr>
              <w:t>810</w:t>
            </w:r>
          </w:p>
        </w:tc>
        <w:tc>
          <w:tcPr>
            <w:tcW w:w="1260" w:type="dxa"/>
            <w:vAlign w:val="bottom"/>
          </w:tcPr>
          <w:p>
            <w:pPr>
              <w:jc w:val="center"/>
              <w:ind w:left="361"/>
              <w:spacing w:after="0"/>
              <w:rPr>
                <w:sz w:val="20"/>
                <w:szCs w:val="20"/>
                <w:color w:val="auto"/>
              </w:rPr>
            </w:pPr>
            <w:r>
              <w:rPr>
                <w:rFonts w:ascii="Arial" w:cs="Arial" w:eastAsia="Arial" w:hAnsi="Arial"/>
                <w:sz w:val="16"/>
                <w:szCs w:val="16"/>
                <w:color w:val="auto"/>
                <w:w w:val="98"/>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35560</wp:posOffset>
            </wp:positionV>
            <wp:extent cx="69951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3" w:lineRule="exact"/>
        <w:rPr>
          <w:sz w:val="20"/>
          <w:szCs w:val="20"/>
          <w:color w:val="auto"/>
        </w:rPr>
      </w:pPr>
    </w:p>
    <w:p>
      <w:pPr>
        <w:ind w:left="440" w:hanging="324"/>
        <w:spacing w:after="0"/>
        <w:tabs>
          <w:tab w:leader="none" w:pos="4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Less than 1%</w:t>
      </w:r>
    </w:p>
    <w:p>
      <w:pPr>
        <w:spacing w:after="0" w:line="53" w:lineRule="exact"/>
        <w:rPr>
          <w:sz w:val="20"/>
          <w:szCs w:val="20"/>
          <w:color w:val="auto"/>
        </w:rPr>
      </w:pPr>
    </w:p>
    <w:p>
      <w:pPr>
        <w:ind w:left="440" w:right="60" w:hanging="324"/>
        <w:spacing w:after="0" w:line="211" w:lineRule="auto"/>
        <w:tabs>
          <w:tab w:leader="none" w:pos="440" w:val="left"/>
        </w:tabs>
        <w:numPr>
          <w:ilvl w:val="0"/>
          <w:numId w:val="28"/>
        </w:numPr>
        <w:rPr>
          <w:rFonts w:ascii="Arial" w:cs="Arial" w:eastAsia="Arial" w:hAnsi="Arial"/>
          <w:sz w:val="19"/>
          <w:szCs w:val="19"/>
          <w:color w:val="auto"/>
          <w:vertAlign w:val="superscript"/>
        </w:rPr>
      </w:pPr>
      <w:r>
        <w:rPr>
          <w:rFonts w:ascii="Arial" w:cs="Arial" w:eastAsia="Arial" w:hAnsi="Arial"/>
          <w:sz w:val="13"/>
          <w:szCs w:val="13"/>
          <w:color w:val="auto"/>
        </w:rPr>
        <w:t>This information is based on the Schedule 13D (the “13D”) filed with the SEC on October 19, 2018 on behalf of the Terence E. Adderley Revocable Trust K (“Trust K”) and the three co-trustees of Trust K. Trust K was created by Terence E. Adderley, the Company’s former Chairman of the Board, during his lifetime as a revocable trust, with Mr. Adderley serving as the trustee of and retaining the right to revoke the trust during his lifetime. Mr. Adderley funded Trust K, including a gift of 3,139,940 shares of Class B Stock. Mr. Adderley died on October 9, 2018, at which time the trust became irrevocable. In accordance with the provisions of Trust K, Andrew H. Curoe, David M. Hempstead and William U. Parfet, were appointed as successor co-trustees of Trust K following Mr. Adderley’s death. They are required by the provisions of Trust K to act by majority vote to exercise voting or investment power over the Class B stock held by Trust K and have stated in the 13D that the filing is not an admission that the co-trustees are beneficial owners of such Class B stock. Mr. Curoe may be deemed the beneficial owner of an additional 42,825 shares of Class B Stock held by trusts where Mr. Curoe acts as trustee or co-trustee, including ten trusts holding 100 shares of Class B Stock each, and one trust holding 41,825 shares of Class B Stock. The business address of the Terence E. Adderley Revocable Trust K and each of Messrs. Curoe, Hempstead and Parfet is c/o Andrew H. Curoe, 6th Floor at Ford Field, 1901 St. Antoine Street, Detroit, Michigan 48226.</w:t>
      </w:r>
    </w:p>
    <w:p>
      <w:pPr>
        <w:spacing w:after="0" w:line="38" w:lineRule="exact"/>
        <w:rPr>
          <w:rFonts w:ascii="Arial" w:cs="Arial" w:eastAsia="Arial" w:hAnsi="Arial"/>
          <w:sz w:val="19"/>
          <w:szCs w:val="19"/>
          <w:color w:val="auto"/>
          <w:vertAlign w:val="superscript"/>
        </w:rPr>
      </w:pPr>
    </w:p>
    <w:p>
      <w:pPr>
        <w:ind w:left="440" w:right="80" w:hanging="324"/>
        <w:spacing w:after="0" w:line="196" w:lineRule="auto"/>
        <w:tabs>
          <w:tab w:leader="none" w:pos="440" w:val="left"/>
        </w:tabs>
        <w:numPr>
          <w:ilvl w:val="0"/>
          <w:numId w:val="28"/>
        </w:numPr>
        <w:rPr>
          <w:rFonts w:ascii="Arial" w:cs="Arial" w:eastAsia="Arial" w:hAnsi="Arial"/>
          <w:sz w:val="19"/>
          <w:szCs w:val="19"/>
          <w:color w:val="auto"/>
          <w:vertAlign w:val="superscript"/>
        </w:rPr>
      </w:pPr>
      <w:r>
        <w:rPr>
          <w:rFonts w:ascii="Arial" w:cs="Arial" w:eastAsia="Arial" w:hAnsi="Arial"/>
          <w:sz w:val="13"/>
          <w:szCs w:val="13"/>
          <w:color w:val="auto"/>
        </w:rPr>
        <w:t>Includes 29,804 shares for Mr. Adolph, 17,467 shares for Mr. Corona, 35,841 shares for Mr. Cubbin, 9,560 shares for Ms. Duggirala, 8,830 shares for Ms. Johnson, and 28,256 for Ms. Murphy indirectly held in the Company’s Non-Employee Directors Deferred Compensation Plan.</w:t>
      </w:r>
    </w:p>
    <w:p>
      <w:pPr>
        <w:ind w:left="440" w:hanging="324"/>
        <w:spacing w:after="0" w:line="222" w:lineRule="auto"/>
        <w:tabs>
          <w:tab w:leader="none" w:pos="440" w:val="left"/>
        </w:tabs>
        <w:numPr>
          <w:ilvl w:val="0"/>
          <w:numId w:val="28"/>
        </w:numPr>
        <w:rPr>
          <w:rFonts w:ascii="Arial" w:cs="Arial" w:eastAsia="Arial" w:hAnsi="Arial"/>
          <w:sz w:val="19"/>
          <w:szCs w:val="19"/>
          <w:color w:val="auto"/>
          <w:vertAlign w:val="superscript"/>
        </w:rPr>
      </w:pPr>
      <w:r>
        <w:rPr>
          <w:rFonts w:ascii="Arial" w:cs="Arial" w:eastAsia="Arial" w:hAnsi="Arial"/>
          <w:sz w:val="13"/>
          <w:szCs w:val="13"/>
          <w:color w:val="auto"/>
        </w:rPr>
        <w:t>Ms. Duggirala and Ms. Johnson were appointed to the Company’s Board of Directors on January 12, 2022.</w:t>
      </w:r>
    </w:p>
    <w:p>
      <w:pPr>
        <w:spacing w:after="0" w:line="109" w:lineRule="exact"/>
        <w:rPr>
          <w:sz w:val="20"/>
          <w:szCs w:val="20"/>
          <w:color w:val="auto"/>
        </w:rPr>
      </w:pPr>
    </w:p>
    <w:p>
      <w:pPr>
        <w:ind w:left="10820"/>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1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-143510</wp:posOffset>
            </wp:positionV>
            <wp:extent cx="411480" cy="1968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8" w:lineRule="exact"/>
        <w:rPr>
          <w:sz w:val="20"/>
          <w:szCs w:val="20"/>
          <w:color w:val="auto"/>
        </w:rPr>
      </w:pPr>
    </w:p>
    <w:p>
      <w:pPr>
        <w:ind w:left="120" w:right="960"/>
        <w:spacing w:after="0" w:line="298" w:lineRule="auto"/>
        <w:rPr>
          <w:sz w:val="20"/>
          <w:szCs w:val="20"/>
          <w:color w:val="auto"/>
        </w:rPr>
      </w:pPr>
      <w:r>
        <w:rPr>
          <w:rFonts w:ascii="Arial" w:cs="Arial" w:eastAsia="Arial" w:hAnsi="Arial"/>
          <w:sz w:val="32"/>
          <w:szCs w:val="32"/>
          <w:b w:val="1"/>
          <w:bCs w:val="1"/>
          <w:color w:val="auto"/>
        </w:rPr>
        <w:t>Proposal 2 – Advisory Vote to Approve the Company’s Executive Compensation</w:t>
      </w:r>
    </w:p>
    <w:p>
      <w:pPr>
        <w:spacing w:after="0" w:line="47"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As described in the following Compensation Discussion and Analysis, our executive compensation programs are designed to align the interests of our executive officers with those of our shareholders by tying a significant portion of the compensation they receive to Company performance, and by providing a competitive level of compensation in order to attract, retain, and reward executive officers who are critical to the long-term success of our business. Under these programs, our named executive officers are rewarded for the Company’s financial performance, individual performance, and long-term value creation, as well as to facilitate retention, and reflect market realities. Please read the Compensation Discussion and Analysis for additional details about our executive compensation programs, including information about the fiscal year 2022 compensation of our named executive officers.</w:t>
      </w:r>
    </w:p>
    <w:p>
      <w:pPr>
        <w:spacing w:after="0" w:line="74"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color w:val="auto"/>
        </w:rPr>
        <w:t>As required by Section 14A of the Exchange Act, this proposal, commonly referred to as a “say-on-pay” proposal, seeks a shareholder advisory vote on our named executive officers’ compensation, as disclosed in this Proxy Statement pursuant to Item 402 of Regulation S-K and in the Compensation Discussion and Analysis, through the following resolution:</w:t>
      </w:r>
    </w:p>
    <w:p>
      <w:pPr>
        <w:spacing w:after="0" w:line="63" w:lineRule="exact"/>
        <w:rPr>
          <w:sz w:val="20"/>
          <w:szCs w:val="20"/>
          <w:color w:val="auto"/>
        </w:rPr>
      </w:pPr>
    </w:p>
    <w:p>
      <w:pPr>
        <w:ind w:left="120" w:right="280"/>
        <w:spacing w:after="0" w:line="266" w:lineRule="auto"/>
        <w:rPr>
          <w:sz w:val="20"/>
          <w:szCs w:val="20"/>
          <w:color w:val="auto"/>
        </w:rPr>
      </w:pPr>
      <w:r>
        <w:rPr>
          <w:rFonts w:ascii="Arial" w:cs="Arial" w:eastAsia="Arial" w:hAnsi="Arial"/>
          <w:sz w:val="16"/>
          <w:szCs w:val="16"/>
          <w:color w:val="auto"/>
        </w:rPr>
        <w:t>“RESOLVED, that the Company’s shareholders approve, on an advisory basis, the compensation of the named executive officers, as disclosed in the Company’s Proxy Statement for the 2023 Annual Meeting of Shareholders pursuant to the compensation disclosure rules of the SEC, including the Compensation Discussion and Analysis, the 2022 Summary Compensation Table, and the other related tables and disclosure.”</w:t>
      </w:r>
    </w:p>
    <w:p>
      <w:pPr>
        <w:spacing w:after="0" w:line="63"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color w:val="auto"/>
        </w:rPr>
        <w:t>The say-on-pay vote is advisory and, therefore, not binding on the Company. Our Board of Directors and our Compensation and Talent Management Committee value the opinions of our shareholders and consider the result of the advisory vote in designing and evaluating our executive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212090</wp:posOffset>
            </wp:positionV>
            <wp:extent cx="5760720" cy="43688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76072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7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-143510</wp:posOffset>
            </wp:positionV>
            <wp:extent cx="411480" cy="1968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060"/>
          </w:cols>
          <w:pgMar w:left="320" w:top="482" w:right="5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Compensation Discussion and Analysis</w:t>
      </w:r>
    </w:p>
    <w:p>
      <w:pPr>
        <w:sectPr>
          <w:pgSz w:w="11900" w:h="16838" w:orient="portrait"/>
          <w:cols w:equalWidth="0" w:num="1">
            <w:col w:w="11140"/>
          </w:cols>
          <w:pgMar w:left="320" w:top="482" w:right="439" w:bottom="1440" w:gutter="0" w:footer="0" w:header="0"/>
        </w:sectPr>
      </w:pPr>
    </w:p>
    <w:p>
      <w:pPr>
        <w:spacing w:after="0" w:line="296"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The Compensation Discussion and Analysis section of this Proxy Statement provides an overview of our executive compensation sections: philosophy and objectives. This section describes the material elements of our executive compensation programs, the compensation decisions the Compensation and Talent Management Committee (the “Committee”) made under those programs, key factors considered, and details of the compensation paid to our named executive officers.</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The Compensation Discussion and Analysis is organized in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286385</wp:posOffset>
            </wp:positionV>
            <wp:extent cx="3420110" cy="155130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0110" cy="155130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CD&amp;A Table of Contents</w:t>
      </w:r>
    </w:p>
    <w:p>
      <w:pPr>
        <w:spacing w:after="0" w:line="33" w:lineRule="exact"/>
        <w:rPr>
          <w:sz w:val="20"/>
          <w:szCs w:val="20"/>
          <w:color w:val="auto"/>
        </w:rPr>
      </w:pPr>
    </w:p>
    <w:tbl>
      <w:tblPr>
        <w:tblLayout w:type="fixed"/>
        <w:tblInd w:w="290" w:type="dxa"/>
        <w:tblCellMar>
          <w:top w:w="0" w:type="dxa"/>
          <w:left w:w="0" w:type="dxa"/>
          <w:bottom w:w="0" w:type="dxa"/>
          <w:right w:w="0" w:type="dxa"/>
        </w:tblCellMar>
      </w:tblPr>
      <w:tr>
        <w:trPr>
          <w:trHeight w:val="48"/>
        </w:trPr>
        <w:tc>
          <w:tcPr>
            <w:tcW w:w="1480" w:type="dxa"/>
            <w:vAlign w:val="bottom"/>
            <w:tcBorders>
              <w:top w:val="single" w:sz="8" w:color="00AF41"/>
            </w:tcBorders>
          </w:tcPr>
          <w:p>
            <w:pPr>
              <w:spacing w:after="0"/>
              <w:rPr>
                <w:sz w:val="4"/>
                <w:szCs w:val="4"/>
                <w:color w:val="auto"/>
              </w:rPr>
            </w:pPr>
          </w:p>
        </w:tc>
        <w:tc>
          <w:tcPr>
            <w:tcW w:w="840" w:type="dxa"/>
            <w:vAlign w:val="bottom"/>
            <w:tcBorders>
              <w:top w:val="single" w:sz="8" w:color="00AF41"/>
            </w:tcBorders>
          </w:tcPr>
          <w:p>
            <w:pPr>
              <w:spacing w:after="0"/>
              <w:rPr>
                <w:sz w:val="4"/>
                <w:szCs w:val="4"/>
                <w:color w:val="auto"/>
              </w:rPr>
            </w:pPr>
          </w:p>
        </w:tc>
        <w:tc>
          <w:tcPr>
            <w:tcW w:w="1360" w:type="dxa"/>
            <w:vAlign w:val="bottom"/>
            <w:tcBorders>
              <w:top w:val="single" w:sz="8" w:color="00AF41"/>
            </w:tcBorders>
          </w:tcPr>
          <w:p>
            <w:pPr>
              <w:spacing w:after="0"/>
              <w:rPr>
                <w:sz w:val="4"/>
                <w:szCs w:val="4"/>
                <w:color w:val="auto"/>
              </w:rPr>
            </w:pPr>
          </w:p>
        </w:tc>
        <w:tc>
          <w:tcPr>
            <w:tcW w:w="420" w:type="dxa"/>
            <w:vAlign w:val="bottom"/>
            <w:tcBorders>
              <w:top w:val="single" w:sz="8" w:color="00AF41"/>
            </w:tcBorders>
          </w:tcPr>
          <w:p>
            <w:pPr>
              <w:spacing w:after="0"/>
              <w:rPr>
                <w:sz w:val="4"/>
                <w:szCs w:val="4"/>
                <w:color w:val="auto"/>
              </w:rPr>
            </w:pPr>
          </w:p>
        </w:tc>
        <w:tc>
          <w:tcPr>
            <w:tcW w:w="120" w:type="dxa"/>
            <w:vAlign w:val="bottom"/>
            <w:tcBorders>
              <w:top w:val="single" w:sz="8" w:color="00AF41"/>
            </w:tcBorders>
          </w:tcPr>
          <w:p>
            <w:pPr>
              <w:spacing w:after="0"/>
              <w:rPr>
                <w:sz w:val="4"/>
                <w:szCs w:val="4"/>
                <w:color w:val="auto"/>
              </w:rPr>
            </w:pPr>
          </w:p>
        </w:tc>
        <w:tc>
          <w:tcPr>
            <w:tcW w:w="200" w:type="dxa"/>
            <w:vAlign w:val="bottom"/>
            <w:tcBorders>
              <w:top w:val="single" w:sz="8" w:color="00AF41"/>
            </w:tcBorders>
          </w:tcPr>
          <w:p>
            <w:pPr>
              <w:spacing w:after="0"/>
              <w:rPr>
                <w:sz w:val="4"/>
                <w:szCs w:val="4"/>
                <w:color w:val="auto"/>
              </w:rPr>
            </w:pPr>
          </w:p>
        </w:tc>
        <w:tc>
          <w:tcPr>
            <w:tcW w:w="60" w:type="dxa"/>
            <w:vAlign w:val="bottom"/>
            <w:tcBorders>
              <w:top w:val="single" w:sz="8" w:color="00AF41"/>
            </w:tcBorders>
          </w:tcPr>
          <w:p>
            <w:pPr>
              <w:spacing w:after="0"/>
              <w:rPr>
                <w:sz w:val="4"/>
                <w:szCs w:val="4"/>
                <w:color w:val="auto"/>
              </w:rPr>
            </w:pPr>
          </w:p>
        </w:tc>
        <w:tc>
          <w:tcPr>
            <w:tcW w:w="360" w:type="dxa"/>
            <w:vAlign w:val="bottom"/>
            <w:tcBorders>
              <w:top w:val="single" w:sz="8" w:color="00AF41"/>
            </w:tcBorders>
            <w:shd w:val="clear" w:color="auto" w:fill="EDEDED"/>
          </w:tcPr>
          <w:p>
            <w:pPr>
              <w:spacing w:after="0"/>
              <w:rPr>
                <w:sz w:val="4"/>
                <w:szCs w:val="4"/>
                <w:color w:val="auto"/>
              </w:rPr>
            </w:pPr>
          </w:p>
        </w:tc>
        <w:tc>
          <w:tcPr>
            <w:tcW w:w="360" w:type="dxa"/>
            <w:vAlign w:val="bottom"/>
            <w:tcBorders>
              <w:top w:val="single" w:sz="8" w:color="EDEDED"/>
            </w:tcBorders>
            <w:shd w:val="clear" w:color="auto" w:fill="EDEDED"/>
          </w:tcPr>
          <w:p>
            <w:pPr>
              <w:spacing w:after="0"/>
              <w:rPr>
                <w:sz w:val="4"/>
                <w:szCs w:val="4"/>
                <w:color w:val="auto"/>
              </w:rPr>
            </w:pPr>
          </w:p>
        </w:tc>
      </w:tr>
      <w:tr>
        <w:trPr>
          <w:trHeight w:val="162"/>
        </w:trPr>
        <w:tc>
          <w:tcPr>
            <w:tcW w:w="2320" w:type="dxa"/>
            <w:vAlign w:val="bottom"/>
            <w:tcBorders>
              <w:left w:val="single" w:sz="8" w:color="EDEDED"/>
              <w:bottom w:val="single" w:sz="8" w:color="0000EE"/>
            </w:tcBorders>
            <w:gridSpan w:val="2"/>
            <w:shd w:val="clear" w:color="auto" w:fill="EDEDED"/>
          </w:tcPr>
          <w:p>
            <w:pPr>
              <w:ind w:left="40"/>
              <w:spacing w:after="0" w:line="162" w:lineRule="exact"/>
              <w:rPr>
                <w:sz w:val="20"/>
                <w:szCs w:val="20"/>
                <w:color w:val="auto"/>
              </w:rPr>
            </w:pPr>
            <w:r>
              <w:rPr>
                <w:rFonts w:ascii="Arial" w:cs="Arial" w:eastAsia="Arial" w:hAnsi="Arial"/>
                <w:sz w:val="16"/>
                <w:szCs w:val="16"/>
                <w:color w:val="0000EE"/>
              </w:rPr>
              <w:t>2022 Named Executive Officers</w:t>
            </w:r>
          </w:p>
        </w:tc>
        <w:tc>
          <w:tcPr>
            <w:tcW w:w="2160" w:type="dxa"/>
            <w:vAlign w:val="bottom"/>
            <w:tcBorders>
              <w:bottom w:val="single" w:sz="8" w:color="EDEDED"/>
            </w:tcBorders>
            <w:gridSpan w:val="5"/>
            <w:shd w:val="clear" w:color="auto" w:fill="EDEDED"/>
          </w:tcPr>
          <w:p>
            <w:pPr>
              <w:spacing w:after="0"/>
              <w:rPr>
                <w:sz w:val="14"/>
                <w:szCs w:val="14"/>
                <w:color w:val="auto"/>
              </w:rPr>
            </w:pPr>
          </w:p>
        </w:tc>
        <w:tc>
          <w:tcPr>
            <w:tcW w:w="360" w:type="dxa"/>
            <w:vAlign w:val="bottom"/>
            <w:tcBorders>
              <w:bottom w:val="single" w:sz="8" w:color="EDEDED"/>
            </w:tcBorders>
            <w:shd w:val="clear" w:color="auto" w:fill="EDEDED"/>
          </w:tcPr>
          <w:p>
            <w:pPr>
              <w:jc w:val="right"/>
              <w:spacing w:after="0" w:line="162" w:lineRule="exact"/>
              <w:rPr>
                <w:sz w:val="20"/>
                <w:szCs w:val="20"/>
                <w:color w:val="auto"/>
              </w:rPr>
            </w:pPr>
            <w:r>
              <w:rPr>
                <w:rFonts w:ascii="Arial" w:cs="Arial" w:eastAsia="Arial" w:hAnsi="Arial"/>
                <w:sz w:val="16"/>
                <w:szCs w:val="16"/>
                <w:color w:val="auto"/>
              </w:rPr>
              <w:t>51</w:t>
            </w:r>
          </w:p>
        </w:tc>
        <w:tc>
          <w:tcPr>
            <w:tcW w:w="360" w:type="dxa"/>
            <w:vAlign w:val="bottom"/>
            <w:tcBorders>
              <w:bottom w:val="single" w:sz="8" w:color="EDEDED"/>
            </w:tcBorders>
            <w:shd w:val="clear" w:color="auto" w:fill="EDEDED"/>
          </w:tcPr>
          <w:p>
            <w:pPr>
              <w:spacing w:after="0"/>
              <w:rPr>
                <w:sz w:val="14"/>
                <w:szCs w:val="14"/>
                <w:color w:val="auto"/>
              </w:rPr>
            </w:pPr>
          </w:p>
        </w:tc>
      </w:tr>
      <w:tr>
        <w:trPr>
          <w:trHeight w:val="263"/>
        </w:trPr>
        <w:tc>
          <w:tcPr>
            <w:tcW w:w="4480" w:type="dxa"/>
            <w:vAlign w:val="bottom"/>
            <w:tcBorders>
              <w:left w:val="single" w:sz="8" w:color="EDEDED"/>
            </w:tcBorders>
            <w:gridSpan w:val="7"/>
            <w:shd w:val="clear" w:color="auto" w:fill="EDEDED"/>
          </w:tcPr>
          <w:p>
            <w:pPr>
              <w:ind w:left="40"/>
              <w:spacing w:after="0"/>
              <w:rPr>
                <w:sz w:val="20"/>
                <w:szCs w:val="20"/>
                <w:color w:val="auto"/>
              </w:rPr>
            </w:pPr>
            <w:r>
              <w:rPr>
                <w:rFonts w:ascii="Arial" w:cs="Arial" w:eastAsia="Arial" w:hAnsi="Arial"/>
                <w:sz w:val="16"/>
                <w:szCs w:val="16"/>
                <w:color w:val="0000EE"/>
              </w:rPr>
              <w:t>Executive Summary</w:t>
            </w:r>
          </w:p>
        </w:tc>
        <w:tc>
          <w:tcPr>
            <w:tcW w:w="3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52</w:t>
            </w:r>
          </w:p>
        </w:tc>
        <w:tc>
          <w:tcPr>
            <w:tcW w:w="360" w:type="dxa"/>
            <w:vAlign w:val="bottom"/>
            <w:shd w:val="clear" w:color="auto" w:fill="EDEDED"/>
          </w:tcPr>
          <w:p>
            <w:pPr>
              <w:spacing w:after="0"/>
              <w:rPr>
                <w:sz w:val="22"/>
                <w:szCs w:val="22"/>
                <w:color w:val="auto"/>
              </w:rPr>
            </w:pPr>
          </w:p>
        </w:tc>
      </w:tr>
      <w:tr>
        <w:trPr>
          <w:trHeight w:val="20"/>
        </w:trPr>
        <w:tc>
          <w:tcPr>
            <w:tcW w:w="1480" w:type="dxa"/>
            <w:vAlign w:val="bottom"/>
            <w:tcBorders>
              <w:left w:val="single" w:sz="8" w:color="EDEDED"/>
            </w:tcBorders>
            <w:shd w:val="clear" w:color="auto" w:fill="0000EE"/>
          </w:tcPr>
          <w:p>
            <w:pPr>
              <w:spacing w:after="0" w:line="20" w:lineRule="exact"/>
              <w:rPr>
                <w:sz w:val="1"/>
                <w:szCs w:val="1"/>
                <w:color w:val="auto"/>
              </w:rPr>
            </w:pPr>
          </w:p>
        </w:tc>
        <w:tc>
          <w:tcPr>
            <w:tcW w:w="840" w:type="dxa"/>
            <w:vAlign w:val="bottom"/>
            <w:shd w:val="clear" w:color="auto" w:fill="EDEDED"/>
          </w:tcPr>
          <w:p>
            <w:pPr>
              <w:spacing w:after="0" w:line="20" w:lineRule="exact"/>
              <w:rPr>
                <w:sz w:val="1"/>
                <w:szCs w:val="1"/>
                <w:color w:val="auto"/>
              </w:rPr>
            </w:pPr>
          </w:p>
        </w:tc>
        <w:tc>
          <w:tcPr>
            <w:tcW w:w="1360" w:type="dxa"/>
            <w:vAlign w:val="bottom"/>
            <w:tcBorders>
              <w:right w:val="single" w:sz="8" w:color="EDEDED"/>
            </w:tcBorders>
            <w:shd w:val="clear" w:color="auto" w:fill="EDEDED"/>
          </w:tcPr>
          <w:p>
            <w:pPr>
              <w:spacing w:after="0" w:line="20" w:lineRule="exact"/>
              <w:rPr>
                <w:sz w:val="1"/>
                <w:szCs w:val="1"/>
                <w:color w:val="auto"/>
              </w:rPr>
            </w:pPr>
          </w:p>
        </w:tc>
        <w:tc>
          <w:tcPr>
            <w:tcW w:w="420" w:type="dxa"/>
            <w:vAlign w:val="bottom"/>
            <w:shd w:val="clear" w:color="auto" w:fill="EDEDED"/>
          </w:tcPr>
          <w:p>
            <w:pPr>
              <w:spacing w:after="0" w:line="20" w:lineRule="exact"/>
              <w:rPr>
                <w:sz w:val="1"/>
                <w:szCs w:val="1"/>
                <w:color w:val="auto"/>
              </w:rPr>
            </w:pPr>
          </w:p>
        </w:tc>
        <w:tc>
          <w:tcPr>
            <w:tcW w:w="120" w:type="dxa"/>
            <w:vAlign w:val="bottom"/>
            <w:shd w:val="clear" w:color="auto" w:fill="EDEDED"/>
          </w:tcPr>
          <w:p>
            <w:pPr>
              <w:spacing w:after="0" w:line="20" w:lineRule="exact"/>
              <w:rPr>
                <w:sz w:val="1"/>
                <w:szCs w:val="1"/>
                <w:color w:val="auto"/>
              </w:rPr>
            </w:pPr>
          </w:p>
        </w:tc>
        <w:tc>
          <w:tcPr>
            <w:tcW w:w="200" w:type="dxa"/>
            <w:vAlign w:val="bottom"/>
            <w:shd w:val="clear" w:color="auto" w:fill="EDEDED"/>
          </w:tcPr>
          <w:p>
            <w:pPr>
              <w:spacing w:after="0" w:line="20" w:lineRule="exact"/>
              <w:rPr>
                <w:sz w:val="1"/>
                <w:szCs w:val="1"/>
                <w:color w:val="auto"/>
              </w:rPr>
            </w:pPr>
          </w:p>
        </w:tc>
        <w:tc>
          <w:tcPr>
            <w:tcW w:w="60" w:type="dxa"/>
            <w:vAlign w:val="bottom"/>
            <w:shd w:val="clear" w:color="auto" w:fill="EDEDED"/>
          </w:tcPr>
          <w:p>
            <w:pPr>
              <w:spacing w:after="0" w:line="20" w:lineRule="exact"/>
              <w:rPr>
                <w:sz w:val="1"/>
                <w:szCs w:val="1"/>
                <w:color w:val="auto"/>
              </w:rPr>
            </w:pPr>
          </w:p>
        </w:tc>
        <w:tc>
          <w:tcPr>
            <w:tcW w:w="360" w:type="dxa"/>
            <w:vAlign w:val="bottom"/>
            <w:shd w:val="clear" w:color="auto" w:fill="EDEDED"/>
          </w:tcPr>
          <w:p>
            <w:pPr>
              <w:spacing w:after="0" w:line="20" w:lineRule="exact"/>
              <w:rPr>
                <w:sz w:val="1"/>
                <w:szCs w:val="1"/>
                <w:color w:val="auto"/>
              </w:rPr>
            </w:pPr>
          </w:p>
        </w:tc>
        <w:tc>
          <w:tcPr>
            <w:tcW w:w="360" w:type="dxa"/>
            <w:vAlign w:val="bottom"/>
            <w:shd w:val="clear" w:color="auto" w:fill="EDEDED"/>
          </w:tcPr>
          <w:p>
            <w:pPr>
              <w:spacing w:after="0" w:line="20" w:lineRule="exact"/>
              <w:rPr>
                <w:sz w:val="1"/>
                <w:szCs w:val="1"/>
                <w:color w:val="auto"/>
              </w:rPr>
            </w:pPr>
          </w:p>
        </w:tc>
      </w:tr>
      <w:tr>
        <w:trPr>
          <w:trHeight w:val="263"/>
        </w:trPr>
        <w:tc>
          <w:tcPr>
            <w:tcW w:w="4420" w:type="dxa"/>
            <w:vAlign w:val="bottom"/>
            <w:tcBorders>
              <w:left w:val="single" w:sz="8" w:color="EDEDED"/>
              <w:bottom w:val="single" w:sz="8" w:color="0000EE"/>
            </w:tcBorders>
            <w:gridSpan w:val="6"/>
            <w:shd w:val="clear" w:color="auto" w:fill="EDEDED"/>
          </w:tcPr>
          <w:p>
            <w:pPr>
              <w:ind w:left="40"/>
              <w:spacing w:after="0"/>
              <w:rPr>
                <w:sz w:val="20"/>
                <w:szCs w:val="20"/>
                <w:color w:val="auto"/>
              </w:rPr>
            </w:pPr>
            <w:r>
              <w:rPr>
                <w:rFonts w:ascii="Arial" w:cs="Arial" w:eastAsia="Arial" w:hAnsi="Arial"/>
                <w:sz w:val="16"/>
                <w:szCs w:val="16"/>
                <w:color w:val="0000EE"/>
              </w:rPr>
              <w:t>Executive Compensation Philosophy, Objectives, and Design</w:t>
            </w:r>
          </w:p>
        </w:tc>
        <w:tc>
          <w:tcPr>
            <w:tcW w:w="60" w:type="dxa"/>
            <w:vAlign w:val="bottom"/>
            <w:tcBorders>
              <w:bottom w:val="single" w:sz="8" w:color="EDEDED"/>
            </w:tcBorders>
            <w:shd w:val="clear" w:color="auto" w:fill="EDEDED"/>
          </w:tcPr>
          <w:p>
            <w:pPr>
              <w:spacing w:after="0"/>
              <w:rPr>
                <w:sz w:val="22"/>
                <w:szCs w:val="22"/>
                <w:color w:val="auto"/>
              </w:rPr>
            </w:pPr>
          </w:p>
        </w:tc>
        <w:tc>
          <w:tcPr>
            <w:tcW w:w="3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56</w:t>
            </w:r>
          </w:p>
        </w:tc>
        <w:tc>
          <w:tcPr>
            <w:tcW w:w="360" w:type="dxa"/>
            <w:vAlign w:val="bottom"/>
            <w:tcBorders>
              <w:bottom w:val="single" w:sz="8" w:color="EDEDED"/>
            </w:tcBorders>
            <w:shd w:val="clear" w:color="auto" w:fill="EDEDED"/>
          </w:tcPr>
          <w:p>
            <w:pPr>
              <w:spacing w:after="0"/>
              <w:rPr>
                <w:sz w:val="22"/>
                <w:szCs w:val="22"/>
                <w:color w:val="auto"/>
              </w:rPr>
            </w:pPr>
          </w:p>
        </w:tc>
      </w:tr>
      <w:tr>
        <w:trPr>
          <w:trHeight w:val="264"/>
        </w:trPr>
        <w:tc>
          <w:tcPr>
            <w:tcW w:w="3680" w:type="dxa"/>
            <w:vAlign w:val="bottom"/>
            <w:tcBorders>
              <w:left w:val="single" w:sz="8" w:color="EDEDED"/>
              <w:bottom w:val="single" w:sz="8" w:color="0000EE"/>
              <w:right w:val="single" w:sz="8" w:color="EDEDED"/>
            </w:tcBorders>
            <w:gridSpan w:val="3"/>
            <w:shd w:val="clear" w:color="auto" w:fill="EDEDED"/>
          </w:tcPr>
          <w:p>
            <w:pPr>
              <w:ind w:left="40"/>
              <w:spacing w:after="0"/>
              <w:rPr>
                <w:sz w:val="20"/>
                <w:szCs w:val="20"/>
                <w:color w:val="auto"/>
              </w:rPr>
            </w:pPr>
            <w:r>
              <w:rPr>
                <w:rFonts w:ascii="Arial" w:cs="Arial" w:eastAsia="Arial" w:hAnsi="Arial"/>
                <w:sz w:val="16"/>
                <w:szCs w:val="16"/>
                <w:color w:val="0000EE"/>
              </w:rPr>
              <w:t>Process for Determining Executive Compensation</w:t>
            </w:r>
          </w:p>
        </w:tc>
        <w:tc>
          <w:tcPr>
            <w:tcW w:w="800" w:type="dxa"/>
            <w:vAlign w:val="bottom"/>
            <w:tcBorders>
              <w:bottom w:val="single" w:sz="8" w:color="EDEDED"/>
            </w:tcBorders>
            <w:gridSpan w:val="4"/>
            <w:shd w:val="clear" w:color="auto" w:fill="EDEDED"/>
          </w:tcPr>
          <w:p>
            <w:pPr>
              <w:spacing w:after="0"/>
              <w:rPr>
                <w:sz w:val="22"/>
                <w:szCs w:val="22"/>
                <w:color w:val="auto"/>
              </w:rPr>
            </w:pPr>
          </w:p>
        </w:tc>
        <w:tc>
          <w:tcPr>
            <w:tcW w:w="3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58</w:t>
            </w:r>
          </w:p>
        </w:tc>
        <w:tc>
          <w:tcPr>
            <w:tcW w:w="360" w:type="dxa"/>
            <w:vAlign w:val="bottom"/>
            <w:tcBorders>
              <w:bottom w:val="single" w:sz="8" w:color="EDEDED"/>
            </w:tcBorders>
            <w:shd w:val="clear" w:color="auto" w:fill="EDEDED"/>
          </w:tcPr>
          <w:p>
            <w:pPr>
              <w:spacing w:after="0"/>
              <w:rPr>
                <w:sz w:val="22"/>
                <w:szCs w:val="22"/>
                <w:color w:val="auto"/>
              </w:rPr>
            </w:pPr>
          </w:p>
        </w:tc>
      </w:tr>
      <w:tr>
        <w:trPr>
          <w:trHeight w:val="263"/>
        </w:trPr>
        <w:tc>
          <w:tcPr>
            <w:tcW w:w="4100" w:type="dxa"/>
            <w:vAlign w:val="bottom"/>
            <w:tcBorders>
              <w:left w:val="single" w:sz="8" w:color="EDEDED"/>
              <w:bottom w:val="single" w:sz="8" w:color="0000EE"/>
            </w:tcBorders>
            <w:gridSpan w:val="4"/>
            <w:shd w:val="clear" w:color="auto" w:fill="EDEDED"/>
          </w:tcPr>
          <w:p>
            <w:pPr>
              <w:ind w:left="40"/>
              <w:spacing w:after="0"/>
              <w:rPr>
                <w:sz w:val="20"/>
                <w:szCs w:val="20"/>
                <w:color w:val="auto"/>
              </w:rPr>
            </w:pPr>
            <w:r>
              <w:rPr>
                <w:rFonts w:ascii="Arial" w:cs="Arial" w:eastAsia="Arial" w:hAnsi="Arial"/>
                <w:sz w:val="16"/>
                <w:szCs w:val="16"/>
                <w:color w:val="0000EE"/>
              </w:rPr>
              <w:t>Compensation Programs: Decisions and Actions in 2022</w:t>
            </w:r>
          </w:p>
        </w:tc>
        <w:tc>
          <w:tcPr>
            <w:tcW w:w="380" w:type="dxa"/>
            <w:vAlign w:val="bottom"/>
            <w:tcBorders>
              <w:bottom w:val="single" w:sz="8" w:color="EDEDED"/>
            </w:tcBorders>
            <w:gridSpan w:val="3"/>
            <w:shd w:val="clear" w:color="auto" w:fill="EDEDED"/>
          </w:tcPr>
          <w:p>
            <w:pPr>
              <w:spacing w:after="0"/>
              <w:rPr>
                <w:sz w:val="22"/>
                <w:szCs w:val="22"/>
                <w:color w:val="auto"/>
              </w:rPr>
            </w:pPr>
          </w:p>
        </w:tc>
        <w:tc>
          <w:tcPr>
            <w:tcW w:w="36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6"/>
                <w:szCs w:val="16"/>
                <w:color w:val="auto"/>
              </w:rPr>
              <w:t>61</w:t>
            </w:r>
          </w:p>
        </w:tc>
        <w:tc>
          <w:tcPr>
            <w:tcW w:w="360" w:type="dxa"/>
            <w:vAlign w:val="bottom"/>
            <w:tcBorders>
              <w:bottom w:val="single" w:sz="8" w:color="EDEDED"/>
            </w:tcBorders>
            <w:shd w:val="clear" w:color="auto" w:fill="EDEDED"/>
          </w:tcPr>
          <w:p>
            <w:pPr>
              <w:spacing w:after="0"/>
              <w:rPr>
                <w:sz w:val="22"/>
                <w:szCs w:val="22"/>
                <w:color w:val="auto"/>
              </w:rPr>
            </w:pPr>
          </w:p>
        </w:tc>
      </w:tr>
      <w:tr>
        <w:trPr>
          <w:trHeight w:val="263"/>
        </w:trPr>
        <w:tc>
          <w:tcPr>
            <w:tcW w:w="4480" w:type="dxa"/>
            <w:vAlign w:val="bottom"/>
            <w:tcBorders>
              <w:left w:val="single" w:sz="8" w:color="EDEDED"/>
            </w:tcBorders>
            <w:gridSpan w:val="7"/>
            <w:shd w:val="clear" w:color="auto" w:fill="EDEDED"/>
          </w:tcPr>
          <w:p>
            <w:pPr>
              <w:ind w:left="40"/>
              <w:spacing w:after="0"/>
              <w:rPr>
                <w:sz w:val="20"/>
                <w:szCs w:val="20"/>
                <w:color w:val="auto"/>
              </w:rPr>
            </w:pPr>
            <w:r>
              <w:rPr>
                <w:rFonts w:ascii="Arial" w:cs="Arial" w:eastAsia="Arial" w:hAnsi="Arial"/>
                <w:sz w:val="16"/>
                <w:szCs w:val="16"/>
                <w:color w:val="0000EE"/>
              </w:rPr>
              <w:t>Governance of Executive Compensation Programs</w:t>
            </w:r>
          </w:p>
        </w:tc>
        <w:tc>
          <w:tcPr>
            <w:tcW w:w="3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70</w:t>
            </w:r>
          </w:p>
        </w:tc>
        <w:tc>
          <w:tcPr>
            <w:tcW w:w="360" w:type="dxa"/>
            <w:vAlign w:val="bottom"/>
            <w:shd w:val="clear" w:color="auto" w:fill="EDEDED"/>
          </w:tcPr>
          <w:p>
            <w:pPr>
              <w:spacing w:after="0"/>
              <w:rPr>
                <w:sz w:val="22"/>
                <w:szCs w:val="22"/>
                <w:color w:val="auto"/>
              </w:rPr>
            </w:pPr>
          </w:p>
        </w:tc>
      </w:tr>
      <w:tr>
        <w:trPr>
          <w:trHeight w:val="20"/>
        </w:trPr>
        <w:tc>
          <w:tcPr>
            <w:tcW w:w="1480" w:type="dxa"/>
            <w:vAlign w:val="bottom"/>
            <w:tcBorders>
              <w:left w:val="single" w:sz="8" w:color="EDEDED"/>
            </w:tcBorders>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3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EDEDED"/>
          </w:tcPr>
          <w:p>
            <w:pPr>
              <w:spacing w:after="0" w:line="20" w:lineRule="exact"/>
              <w:rPr>
                <w:sz w:val="1"/>
                <w:szCs w:val="1"/>
                <w:color w:val="auto"/>
              </w:rPr>
            </w:pPr>
          </w:p>
        </w:tc>
        <w:tc>
          <w:tcPr>
            <w:tcW w:w="120" w:type="dxa"/>
            <w:vAlign w:val="bottom"/>
            <w:shd w:val="clear" w:color="auto" w:fill="EDEDED"/>
          </w:tcPr>
          <w:p>
            <w:pPr>
              <w:spacing w:after="0" w:line="20" w:lineRule="exact"/>
              <w:rPr>
                <w:sz w:val="1"/>
                <w:szCs w:val="1"/>
                <w:color w:val="auto"/>
              </w:rPr>
            </w:pPr>
          </w:p>
        </w:tc>
        <w:tc>
          <w:tcPr>
            <w:tcW w:w="200" w:type="dxa"/>
            <w:vAlign w:val="bottom"/>
            <w:shd w:val="clear" w:color="auto" w:fill="EDEDED"/>
          </w:tcPr>
          <w:p>
            <w:pPr>
              <w:spacing w:after="0" w:line="20" w:lineRule="exact"/>
              <w:rPr>
                <w:sz w:val="1"/>
                <w:szCs w:val="1"/>
                <w:color w:val="auto"/>
              </w:rPr>
            </w:pPr>
          </w:p>
        </w:tc>
        <w:tc>
          <w:tcPr>
            <w:tcW w:w="60" w:type="dxa"/>
            <w:vAlign w:val="bottom"/>
            <w:shd w:val="clear" w:color="auto" w:fill="EDEDED"/>
          </w:tcPr>
          <w:p>
            <w:pPr>
              <w:spacing w:after="0" w:line="20" w:lineRule="exact"/>
              <w:rPr>
                <w:sz w:val="1"/>
                <w:szCs w:val="1"/>
                <w:color w:val="auto"/>
              </w:rPr>
            </w:pPr>
          </w:p>
        </w:tc>
        <w:tc>
          <w:tcPr>
            <w:tcW w:w="360" w:type="dxa"/>
            <w:vAlign w:val="bottom"/>
            <w:shd w:val="clear" w:color="auto" w:fill="EDEDED"/>
          </w:tcPr>
          <w:p>
            <w:pPr>
              <w:spacing w:after="0" w:line="20" w:lineRule="exact"/>
              <w:rPr>
                <w:sz w:val="1"/>
                <w:szCs w:val="1"/>
                <w:color w:val="auto"/>
              </w:rPr>
            </w:pPr>
          </w:p>
        </w:tc>
        <w:tc>
          <w:tcPr>
            <w:tcW w:w="360" w:type="dxa"/>
            <w:vAlign w:val="bottom"/>
            <w:shd w:val="clear" w:color="auto" w:fill="EDEDED"/>
          </w:tcPr>
          <w:p>
            <w:pPr>
              <w:spacing w:after="0" w:line="20" w:lineRule="exact"/>
              <w:rPr>
                <w:sz w:val="1"/>
                <w:szCs w:val="1"/>
                <w:color w:val="auto"/>
              </w:rPr>
            </w:pPr>
          </w:p>
        </w:tc>
      </w:tr>
      <w:tr>
        <w:trPr>
          <w:trHeight w:val="263"/>
        </w:trPr>
        <w:tc>
          <w:tcPr>
            <w:tcW w:w="4480" w:type="dxa"/>
            <w:vAlign w:val="bottom"/>
            <w:tcBorders>
              <w:left w:val="single" w:sz="8" w:color="EDEDED"/>
            </w:tcBorders>
            <w:gridSpan w:val="7"/>
            <w:shd w:val="clear" w:color="auto" w:fill="EDEDED"/>
          </w:tcPr>
          <w:p>
            <w:pPr>
              <w:ind w:left="40"/>
              <w:spacing w:after="0"/>
              <w:rPr>
                <w:sz w:val="20"/>
                <w:szCs w:val="20"/>
                <w:color w:val="auto"/>
              </w:rPr>
            </w:pPr>
            <w:r>
              <w:rPr>
                <w:rFonts w:ascii="Arial" w:cs="Arial" w:eastAsia="Arial" w:hAnsi="Arial"/>
                <w:sz w:val="16"/>
                <w:szCs w:val="16"/>
                <w:color w:val="0000EE"/>
              </w:rPr>
              <w:t>Compensation and Talent Management Committee Report</w:t>
            </w:r>
          </w:p>
        </w:tc>
        <w:tc>
          <w:tcPr>
            <w:tcW w:w="360" w:type="dxa"/>
            <w:vAlign w:val="bottom"/>
            <w:shd w:val="clear" w:color="auto" w:fill="EDEDED"/>
          </w:tcPr>
          <w:p>
            <w:pPr>
              <w:jc w:val="right"/>
              <w:spacing w:after="0"/>
              <w:rPr>
                <w:sz w:val="20"/>
                <w:szCs w:val="20"/>
                <w:color w:val="auto"/>
              </w:rPr>
            </w:pPr>
            <w:r>
              <w:rPr>
                <w:rFonts w:ascii="Arial" w:cs="Arial" w:eastAsia="Arial" w:hAnsi="Arial"/>
                <w:sz w:val="16"/>
                <w:szCs w:val="16"/>
                <w:color w:val="auto"/>
              </w:rPr>
              <w:t>71</w:t>
            </w:r>
          </w:p>
        </w:tc>
        <w:tc>
          <w:tcPr>
            <w:tcW w:w="360" w:type="dxa"/>
            <w:vAlign w:val="bottom"/>
            <w:shd w:val="clear" w:color="auto" w:fill="EDEDED"/>
          </w:tcPr>
          <w:p>
            <w:pPr>
              <w:spacing w:after="0"/>
              <w:rPr>
                <w:sz w:val="22"/>
                <w:szCs w:val="22"/>
                <w:color w:val="auto"/>
              </w:rPr>
            </w:pPr>
          </w:p>
        </w:tc>
      </w:tr>
      <w:tr>
        <w:trPr>
          <w:trHeight w:val="183"/>
        </w:trPr>
        <w:tc>
          <w:tcPr>
            <w:tcW w:w="1480" w:type="dxa"/>
            <w:vAlign w:val="bottom"/>
            <w:tcBorders>
              <w:top w:val="single" w:sz="8" w:color="0000EE"/>
              <w:left w:val="single" w:sz="8" w:color="EDEDED"/>
            </w:tcBorders>
            <w:shd w:val="clear" w:color="auto" w:fill="EDEDED"/>
          </w:tcPr>
          <w:p>
            <w:pPr>
              <w:spacing w:after="0"/>
              <w:rPr>
                <w:sz w:val="15"/>
                <w:szCs w:val="15"/>
                <w:color w:val="auto"/>
              </w:rPr>
            </w:pPr>
          </w:p>
        </w:tc>
        <w:tc>
          <w:tcPr>
            <w:tcW w:w="840" w:type="dxa"/>
            <w:vAlign w:val="bottom"/>
            <w:tcBorders>
              <w:top w:val="single" w:sz="8" w:color="0000EE"/>
            </w:tcBorders>
            <w:shd w:val="clear" w:color="auto" w:fill="EDEDED"/>
          </w:tcPr>
          <w:p>
            <w:pPr>
              <w:spacing w:after="0"/>
              <w:rPr>
                <w:sz w:val="15"/>
                <w:szCs w:val="15"/>
                <w:color w:val="auto"/>
              </w:rPr>
            </w:pPr>
          </w:p>
        </w:tc>
        <w:tc>
          <w:tcPr>
            <w:tcW w:w="1360" w:type="dxa"/>
            <w:vAlign w:val="bottom"/>
            <w:tcBorders>
              <w:top w:val="single" w:sz="8" w:color="0000EE"/>
              <w:right w:val="single" w:sz="8" w:color="EDEDED"/>
            </w:tcBorders>
            <w:shd w:val="clear" w:color="auto" w:fill="EDEDED"/>
          </w:tcPr>
          <w:p>
            <w:pPr>
              <w:spacing w:after="0"/>
              <w:rPr>
                <w:sz w:val="15"/>
                <w:szCs w:val="15"/>
                <w:color w:val="auto"/>
              </w:rPr>
            </w:pPr>
          </w:p>
        </w:tc>
        <w:tc>
          <w:tcPr>
            <w:tcW w:w="420" w:type="dxa"/>
            <w:vAlign w:val="bottom"/>
            <w:tcBorders>
              <w:top w:val="single" w:sz="8" w:color="0000EE"/>
            </w:tcBorders>
            <w:shd w:val="clear" w:color="auto" w:fill="EDEDED"/>
          </w:tcPr>
          <w:p>
            <w:pPr>
              <w:spacing w:after="0"/>
              <w:rPr>
                <w:sz w:val="15"/>
                <w:szCs w:val="15"/>
                <w:color w:val="auto"/>
              </w:rPr>
            </w:pPr>
          </w:p>
        </w:tc>
        <w:tc>
          <w:tcPr>
            <w:tcW w:w="120" w:type="dxa"/>
            <w:vAlign w:val="bottom"/>
            <w:tcBorders>
              <w:top w:val="single" w:sz="8" w:color="0000EE"/>
            </w:tcBorders>
            <w:shd w:val="clear" w:color="auto" w:fill="EDEDED"/>
          </w:tcPr>
          <w:p>
            <w:pPr>
              <w:spacing w:after="0"/>
              <w:rPr>
                <w:sz w:val="15"/>
                <w:szCs w:val="15"/>
                <w:color w:val="auto"/>
              </w:rPr>
            </w:pPr>
          </w:p>
        </w:tc>
        <w:tc>
          <w:tcPr>
            <w:tcW w:w="200" w:type="dxa"/>
            <w:vAlign w:val="bottom"/>
            <w:tcBorders>
              <w:top w:val="single" w:sz="8" w:color="EDEDED"/>
            </w:tcBorders>
            <w:shd w:val="clear" w:color="auto" w:fill="EDEDED"/>
          </w:tcPr>
          <w:p>
            <w:pPr>
              <w:spacing w:after="0"/>
              <w:rPr>
                <w:sz w:val="15"/>
                <w:szCs w:val="15"/>
                <w:color w:val="auto"/>
              </w:rPr>
            </w:pPr>
          </w:p>
        </w:tc>
        <w:tc>
          <w:tcPr>
            <w:tcW w:w="60" w:type="dxa"/>
            <w:vAlign w:val="bottom"/>
            <w:tcBorders>
              <w:top w:val="single" w:sz="8" w:color="EDEDED"/>
            </w:tcBorders>
            <w:shd w:val="clear" w:color="auto" w:fill="EDEDED"/>
          </w:tcPr>
          <w:p>
            <w:pPr>
              <w:spacing w:after="0"/>
              <w:rPr>
                <w:sz w:val="15"/>
                <w:szCs w:val="15"/>
                <w:color w:val="auto"/>
              </w:rPr>
            </w:pPr>
          </w:p>
        </w:tc>
        <w:tc>
          <w:tcPr>
            <w:tcW w:w="360" w:type="dxa"/>
            <w:vAlign w:val="bottom"/>
            <w:tcBorders>
              <w:top w:val="single" w:sz="8" w:color="EDEDED"/>
            </w:tcBorders>
            <w:shd w:val="clear" w:color="auto" w:fill="EDEDED"/>
          </w:tcPr>
          <w:p>
            <w:pPr>
              <w:spacing w:after="0"/>
              <w:rPr>
                <w:sz w:val="15"/>
                <w:szCs w:val="15"/>
                <w:color w:val="auto"/>
              </w:rPr>
            </w:pPr>
          </w:p>
        </w:tc>
        <w:tc>
          <w:tcPr>
            <w:tcW w:w="360" w:type="dxa"/>
            <w:vAlign w:val="bottom"/>
            <w:tcBorders>
              <w:top w:val="single" w:sz="8" w:color="EDEDED"/>
            </w:tcBorders>
            <w:shd w:val="clear" w:color="auto" w:fill="EDEDED"/>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2">
            <w:col w:w="5400" w:space="260"/>
            <w:col w:w="5480"/>
          </w:cols>
          <w:pgMar w:left="320" w:top="482" w:right="439" w:bottom="1440" w:gutter="0" w:footer="0" w:header="0"/>
          <w:type w:val="continuous"/>
        </w:sectPr>
      </w:pPr>
    </w:p>
    <w:p>
      <w:pPr>
        <w:spacing w:after="0" w:line="16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2022 Named Executive Officers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named executive officers for 2022, as defined by the SEC, were as follows:</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7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AF41"/>
              </w:rPr>
              <w:t>Name</w:t>
            </w:r>
          </w:p>
        </w:tc>
        <w:tc>
          <w:tcPr>
            <w:tcW w:w="83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00AF41"/>
              </w:rPr>
              <w:t>Title</w:t>
            </w:r>
          </w:p>
        </w:tc>
      </w:tr>
      <w:tr>
        <w:trPr>
          <w:trHeight w:val="458"/>
        </w:trPr>
        <w:tc>
          <w:tcPr>
            <w:tcW w:w="2700" w:type="dxa"/>
            <w:vAlign w:val="bottom"/>
            <w:shd w:val="clear" w:color="auto" w:fill="EDEDED"/>
          </w:tcPr>
          <w:p>
            <w:pPr>
              <w:ind w:left="1000"/>
              <w:spacing w:after="0"/>
              <w:rPr>
                <w:sz w:val="20"/>
                <w:szCs w:val="20"/>
                <w:color w:val="auto"/>
              </w:rPr>
            </w:pPr>
            <w:r>
              <w:rPr>
                <w:rFonts w:ascii="Arial" w:cs="Arial" w:eastAsia="Arial" w:hAnsi="Arial"/>
                <w:sz w:val="16"/>
                <w:szCs w:val="16"/>
                <w:b w:val="1"/>
                <w:bCs w:val="1"/>
                <w:color w:val="auto"/>
              </w:rPr>
              <w:t>Peter W. Quigley</w:t>
            </w:r>
          </w:p>
        </w:tc>
        <w:tc>
          <w:tcPr>
            <w:tcW w:w="8320" w:type="dxa"/>
            <w:vAlign w:val="bottom"/>
            <w:shd w:val="clear" w:color="auto" w:fill="EDEDED"/>
          </w:tcPr>
          <w:p>
            <w:pPr>
              <w:ind w:left="180"/>
              <w:spacing w:after="0"/>
              <w:rPr>
                <w:sz w:val="20"/>
                <w:szCs w:val="20"/>
                <w:color w:val="auto"/>
              </w:rPr>
            </w:pPr>
            <w:r>
              <w:rPr>
                <w:rFonts w:ascii="Arial" w:cs="Arial" w:eastAsia="Arial" w:hAnsi="Arial"/>
                <w:sz w:val="16"/>
                <w:szCs w:val="16"/>
                <w:color w:val="auto"/>
              </w:rPr>
              <w:t>President and Chief Executive Officer</w:t>
            </w:r>
          </w:p>
        </w:tc>
      </w:tr>
      <w:tr>
        <w:trPr>
          <w:trHeight w:val="264"/>
        </w:trPr>
        <w:tc>
          <w:tcPr>
            <w:tcW w:w="2700" w:type="dxa"/>
            <w:vAlign w:val="bottom"/>
            <w:shd w:val="clear" w:color="auto" w:fill="EDEDED"/>
          </w:tcPr>
          <w:p>
            <w:pPr>
              <w:spacing w:after="0"/>
              <w:rPr>
                <w:sz w:val="22"/>
                <w:szCs w:val="22"/>
                <w:color w:val="auto"/>
              </w:rPr>
            </w:pPr>
          </w:p>
        </w:tc>
        <w:tc>
          <w:tcPr>
            <w:tcW w:w="8320" w:type="dxa"/>
            <w:vAlign w:val="bottom"/>
            <w:shd w:val="clear" w:color="auto" w:fill="EDEDED"/>
          </w:tcPr>
          <w:p>
            <w:pPr>
              <w:spacing w:after="0"/>
              <w:rPr>
                <w:sz w:val="22"/>
                <w:szCs w:val="22"/>
                <w:color w:val="auto"/>
              </w:rPr>
            </w:pPr>
          </w:p>
        </w:tc>
      </w:tr>
      <w:tr>
        <w:trPr>
          <w:trHeight w:val="478"/>
        </w:trPr>
        <w:tc>
          <w:tcPr>
            <w:tcW w:w="2700" w:type="dxa"/>
            <w:vAlign w:val="bottom"/>
          </w:tcPr>
          <w:p>
            <w:pPr>
              <w:ind w:left="1000"/>
              <w:spacing w:after="0"/>
              <w:rPr>
                <w:sz w:val="20"/>
                <w:szCs w:val="20"/>
                <w:color w:val="auto"/>
              </w:rPr>
            </w:pPr>
            <w:r>
              <w:rPr>
                <w:rFonts w:ascii="Arial" w:cs="Arial" w:eastAsia="Arial" w:hAnsi="Arial"/>
                <w:sz w:val="16"/>
                <w:szCs w:val="16"/>
                <w:b w:val="1"/>
                <w:bCs w:val="1"/>
                <w:color w:val="auto"/>
              </w:rPr>
              <w:t>Olivier G. Thirot</w:t>
            </w:r>
          </w:p>
        </w:tc>
        <w:tc>
          <w:tcPr>
            <w:tcW w:w="8320" w:type="dxa"/>
            <w:vAlign w:val="bottom"/>
          </w:tcPr>
          <w:p>
            <w:pPr>
              <w:ind w:left="180"/>
              <w:spacing w:after="0"/>
              <w:rPr>
                <w:sz w:val="20"/>
                <w:szCs w:val="20"/>
                <w:color w:val="auto"/>
              </w:rPr>
            </w:pPr>
            <w:r>
              <w:rPr>
                <w:rFonts w:ascii="Arial" w:cs="Arial" w:eastAsia="Arial" w:hAnsi="Arial"/>
                <w:sz w:val="16"/>
                <w:szCs w:val="16"/>
                <w:color w:val="auto"/>
              </w:rPr>
              <w:t>Executive Vice President and Chief Financial Officer</w:t>
            </w:r>
          </w:p>
        </w:tc>
      </w:tr>
      <w:tr>
        <w:trPr>
          <w:trHeight w:val="264"/>
        </w:trPr>
        <w:tc>
          <w:tcPr>
            <w:tcW w:w="2700" w:type="dxa"/>
            <w:vAlign w:val="bottom"/>
          </w:tcPr>
          <w:p>
            <w:pPr>
              <w:spacing w:after="0"/>
              <w:rPr>
                <w:sz w:val="22"/>
                <w:szCs w:val="22"/>
                <w:color w:val="auto"/>
              </w:rPr>
            </w:pPr>
          </w:p>
        </w:tc>
        <w:tc>
          <w:tcPr>
            <w:tcW w:w="8320" w:type="dxa"/>
            <w:vAlign w:val="bottom"/>
          </w:tcPr>
          <w:p>
            <w:pPr>
              <w:spacing w:after="0"/>
              <w:rPr>
                <w:sz w:val="22"/>
                <w:szCs w:val="22"/>
                <w:color w:val="auto"/>
              </w:rPr>
            </w:pPr>
          </w:p>
        </w:tc>
      </w:tr>
      <w:tr>
        <w:trPr>
          <w:trHeight w:val="479"/>
        </w:trPr>
        <w:tc>
          <w:tcPr>
            <w:tcW w:w="2700" w:type="dxa"/>
            <w:vAlign w:val="bottom"/>
            <w:shd w:val="clear" w:color="auto" w:fill="EDEDED"/>
          </w:tcPr>
          <w:p>
            <w:pPr>
              <w:ind w:left="1000"/>
              <w:spacing w:after="0"/>
              <w:rPr>
                <w:sz w:val="20"/>
                <w:szCs w:val="20"/>
                <w:color w:val="auto"/>
              </w:rPr>
            </w:pPr>
            <w:r>
              <w:rPr>
                <w:rFonts w:ascii="Arial" w:cs="Arial" w:eastAsia="Arial" w:hAnsi="Arial"/>
                <w:sz w:val="16"/>
                <w:szCs w:val="16"/>
                <w:b w:val="1"/>
                <w:bCs w:val="1"/>
                <w:color w:val="auto"/>
              </w:rPr>
              <w:t>Dinette Koolhaas</w:t>
            </w:r>
          </w:p>
        </w:tc>
        <w:tc>
          <w:tcPr>
            <w:tcW w:w="8320" w:type="dxa"/>
            <w:vAlign w:val="bottom"/>
            <w:shd w:val="clear" w:color="auto" w:fill="EDEDED"/>
          </w:tcPr>
          <w:p>
            <w:pPr>
              <w:ind w:left="180"/>
              <w:spacing w:after="0"/>
              <w:rPr>
                <w:sz w:val="20"/>
                <w:szCs w:val="20"/>
                <w:color w:val="auto"/>
              </w:rPr>
            </w:pPr>
            <w:r>
              <w:rPr>
                <w:rFonts w:ascii="Arial" w:cs="Arial" w:eastAsia="Arial" w:hAnsi="Arial"/>
                <w:sz w:val="16"/>
                <w:szCs w:val="16"/>
                <w:color w:val="auto"/>
              </w:rPr>
              <w:t>Senior Vice President and President International</w:t>
            </w:r>
          </w:p>
        </w:tc>
      </w:tr>
      <w:tr>
        <w:trPr>
          <w:trHeight w:val="264"/>
        </w:trPr>
        <w:tc>
          <w:tcPr>
            <w:tcW w:w="2700" w:type="dxa"/>
            <w:vAlign w:val="bottom"/>
            <w:shd w:val="clear" w:color="auto" w:fill="EDEDED"/>
          </w:tcPr>
          <w:p>
            <w:pPr>
              <w:spacing w:after="0"/>
              <w:rPr>
                <w:sz w:val="22"/>
                <w:szCs w:val="22"/>
                <w:color w:val="auto"/>
              </w:rPr>
            </w:pPr>
          </w:p>
        </w:tc>
        <w:tc>
          <w:tcPr>
            <w:tcW w:w="8320" w:type="dxa"/>
            <w:vAlign w:val="bottom"/>
            <w:shd w:val="clear" w:color="auto" w:fill="EDEDED"/>
          </w:tcPr>
          <w:p>
            <w:pPr>
              <w:spacing w:after="0"/>
              <w:rPr>
                <w:sz w:val="22"/>
                <w:szCs w:val="22"/>
                <w:color w:val="auto"/>
              </w:rPr>
            </w:pPr>
          </w:p>
        </w:tc>
      </w:tr>
      <w:tr>
        <w:trPr>
          <w:trHeight w:val="479"/>
        </w:trPr>
        <w:tc>
          <w:tcPr>
            <w:tcW w:w="2700" w:type="dxa"/>
            <w:vAlign w:val="bottom"/>
          </w:tcPr>
          <w:p>
            <w:pPr>
              <w:ind w:left="1000"/>
              <w:spacing w:after="0"/>
              <w:rPr>
                <w:sz w:val="20"/>
                <w:szCs w:val="20"/>
                <w:color w:val="auto"/>
              </w:rPr>
            </w:pPr>
            <w:r>
              <w:rPr>
                <w:rFonts w:ascii="Arial" w:cs="Arial" w:eastAsia="Arial" w:hAnsi="Arial"/>
                <w:sz w:val="16"/>
                <w:szCs w:val="16"/>
                <w:b w:val="1"/>
                <w:bCs w:val="1"/>
                <w:color w:val="auto"/>
              </w:rPr>
              <w:t>Vanessa P. Williams</w:t>
            </w:r>
          </w:p>
        </w:tc>
        <w:tc>
          <w:tcPr>
            <w:tcW w:w="8320" w:type="dxa"/>
            <w:vAlign w:val="bottom"/>
          </w:tcPr>
          <w:p>
            <w:pPr>
              <w:ind w:left="180"/>
              <w:spacing w:after="0"/>
              <w:rPr>
                <w:sz w:val="20"/>
                <w:szCs w:val="20"/>
                <w:color w:val="auto"/>
              </w:rPr>
            </w:pPr>
            <w:r>
              <w:rPr>
                <w:rFonts w:ascii="Arial" w:cs="Arial" w:eastAsia="Arial" w:hAnsi="Arial"/>
                <w:sz w:val="16"/>
                <w:szCs w:val="16"/>
                <w:color w:val="auto"/>
              </w:rPr>
              <w:t>Senior Vice President, General Counsel, and Assistant Secretary</w:t>
            </w:r>
          </w:p>
        </w:tc>
      </w:tr>
      <w:tr>
        <w:trPr>
          <w:trHeight w:val="264"/>
        </w:trPr>
        <w:tc>
          <w:tcPr>
            <w:tcW w:w="2700" w:type="dxa"/>
            <w:vAlign w:val="bottom"/>
          </w:tcPr>
          <w:p>
            <w:pPr>
              <w:spacing w:after="0"/>
              <w:rPr>
                <w:sz w:val="22"/>
                <w:szCs w:val="22"/>
                <w:color w:val="auto"/>
              </w:rPr>
            </w:pPr>
          </w:p>
        </w:tc>
        <w:tc>
          <w:tcPr>
            <w:tcW w:w="8320" w:type="dxa"/>
            <w:vAlign w:val="bottom"/>
          </w:tcPr>
          <w:p>
            <w:pPr>
              <w:spacing w:after="0"/>
              <w:rPr>
                <w:sz w:val="22"/>
                <w:szCs w:val="22"/>
                <w:color w:val="auto"/>
              </w:rPr>
            </w:pPr>
          </w:p>
        </w:tc>
      </w:tr>
      <w:tr>
        <w:trPr>
          <w:trHeight w:val="478"/>
        </w:trPr>
        <w:tc>
          <w:tcPr>
            <w:tcW w:w="2700" w:type="dxa"/>
            <w:vAlign w:val="bottom"/>
            <w:shd w:val="clear" w:color="auto" w:fill="EDEDED"/>
          </w:tcPr>
          <w:p>
            <w:pPr>
              <w:ind w:left="1000"/>
              <w:spacing w:after="0"/>
              <w:rPr>
                <w:sz w:val="20"/>
                <w:szCs w:val="20"/>
                <w:color w:val="auto"/>
              </w:rPr>
            </w:pPr>
            <w:r>
              <w:rPr>
                <w:rFonts w:ascii="Arial" w:cs="Arial" w:eastAsia="Arial" w:hAnsi="Arial"/>
                <w:sz w:val="16"/>
                <w:szCs w:val="16"/>
                <w:b w:val="1"/>
                <w:bCs w:val="1"/>
                <w:color w:val="auto"/>
              </w:rPr>
              <w:t>Darren L. Simons</w:t>
            </w:r>
          </w:p>
        </w:tc>
        <w:tc>
          <w:tcPr>
            <w:tcW w:w="8320" w:type="dxa"/>
            <w:vAlign w:val="bottom"/>
            <w:shd w:val="clear" w:color="auto" w:fill="EDEDED"/>
          </w:tcPr>
          <w:p>
            <w:pPr>
              <w:ind w:left="180"/>
              <w:spacing w:after="0"/>
              <w:rPr>
                <w:sz w:val="20"/>
                <w:szCs w:val="20"/>
                <w:color w:val="auto"/>
              </w:rPr>
            </w:pPr>
            <w:r>
              <w:rPr>
                <w:rFonts w:ascii="Arial" w:cs="Arial" w:eastAsia="Arial" w:hAnsi="Arial"/>
                <w:sz w:val="16"/>
                <w:szCs w:val="16"/>
                <w:color w:val="auto"/>
              </w:rPr>
              <w:t>Senior Vice President and Chief Digital Officer</w:t>
            </w:r>
          </w:p>
        </w:tc>
      </w:tr>
      <w:tr>
        <w:trPr>
          <w:trHeight w:val="264"/>
        </w:trPr>
        <w:tc>
          <w:tcPr>
            <w:tcW w:w="2700" w:type="dxa"/>
            <w:vAlign w:val="bottom"/>
            <w:tcBorders>
              <w:bottom w:val="single" w:sz="8" w:color="auto"/>
            </w:tcBorders>
            <w:shd w:val="clear" w:color="auto" w:fill="EDEDED"/>
          </w:tcPr>
          <w:p>
            <w:pPr>
              <w:spacing w:after="0"/>
              <w:rPr>
                <w:sz w:val="22"/>
                <w:szCs w:val="22"/>
                <w:color w:val="auto"/>
              </w:rPr>
            </w:pPr>
          </w:p>
        </w:tc>
        <w:tc>
          <w:tcPr>
            <w:tcW w:w="8320" w:type="dxa"/>
            <w:vAlign w:val="bottom"/>
            <w:tcBorders>
              <w:bottom w:val="single" w:sz="8" w:color="auto"/>
            </w:tcBorders>
            <w:shd w:val="clear" w:color="auto" w:fill="EDEDED"/>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-2322830</wp:posOffset>
            </wp:positionV>
            <wp:extent cx="385445" cy="38608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85445" cy="3860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-1851025</wp:posOffset>
            </wp:positionV>
            <wp:extent cx="385445" cy="38608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85445" cy="3860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-1379855</wp:posOffset>
            </wp:positionV>
            <wp:extent cx="385445" cy="38608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85445" cy="3860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-908050</wp:posOffset>
            </wp:positionV>
            <wp:extent cx="385445" cy="38608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85445" cy="3860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-436880</wp:posOffset>
            </wp:positionV>
            <wp:extent cx="385445" cy="38608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85445" cy="386080"/>
                    </a:xfrm>
                    <a:prstGeom prst="rect">
                      <a:avLst/>
                    </a:prstGeom>
                    <a:noFill/>
                  </pic:spPr>
                </pic:pic>
              </a:graphicData>
            </a:graphic>
          </wp:anchor>
        </w:drawing>
      </w:r>
    </w:p>
    <w:p>
      <w:pPr>
        <w:spacing w:after="0" w:line="102" w:lineRule="exact"/>
        <w:rPr>
          <w:sz w:val="20"/>
          <w:szCs w:val="20"/>
          <w:color w:val="auto"/>
        </w:rPr>
      </w:pPr>
    </w:p>
    <w:p>
      <w:pPr>
        <w:ind w:left="10820"/>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1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-143510</wp:posOffset>
            </wp:positionV>
            <wp:extent cx="411480" cy="1968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Executive Summary</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Fiscal 2022 Performance</w:t>
      </w:r>
    </w:p>
    <w:p>
      <w:pPr>
        <w:spacing w:after="0" w:line="111"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Kelly’s philosophy as a talent company is rooted in the conviction that our business makes a difference on a daily basis – in the lives of our employees and talent networks, for our customers, in the local communities we serve, and in the broader economy. As work has evolved so has our range of solutions, growing over the years to reflect the changing needs of our customers and the changing nature of work itself. Kelly’s simple yet powerful Noble Purpose, “We connect people to work in ways that enrich their lives,” continues to guide our strategy and actions. Kelly remains committed to being a leading talent solutions provider in our specialty areas and in the markets where we compete. While executing our strategy, we will continue to demonstrate our expected behaviors and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141605</wp:posOffset>
            </wp:positionV>
            <wp:extent cx="5537835" cy="13290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53783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2022 was a successful year for Kelly as we continued our transformational journey as a provider of specialized workforce solutions. While navigating the impact of rising global inflation on our business, we, like many companies, faced unprecedented talent retention challenges. Coupled with uncertain economic conditions, Kelly had to strike a balance of providing competitive compensation programs that attract, reward, and retain high performing talent while doing so in a fiscally responsible framework. For 2022, these balanced actions included:</w:t>
      </w:r>
    </w:p>
    <w:p>
      <w:pPr>
        <w:spacing w:after="0" w:line="83"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With respect to our short-term incentive plan:</w:t>
      </w:r>
    </w:p>
    <w:p>
      <w:pPr>
        <w:spacing w:after="0" w:line="86" w:lineRule="exact"/>
        <w:rPr>
          <w:rFonts w:ascii="Arial" w:cs="Arial" w:eastAsia="Arial" w:hAnsi="Arial"/>
          <w:sz w:val="16"/>
          <w:szCs w:val="16"/>
          <w:color w:val="auto"/>
        </w:rPr>
      </w:pPr>
    </w:p>
    <w:p>
      <w:pPr>
        <w:ind w:left="980" w:hanging="324"/>
        <w:spacing w:after="0"/>
        <w:tabs>
          <w:tab w:leader="none" w:pos="9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 lower payout for achieving threshold performance goals at 25% of target;</w:t>
      </w:r>
    </w:p>
    <w:p>
      <w:pPr>
        <w:spacing w:after="0" w:line="86" w:lineRule="exact"/>
        <w:rPr>
          <w:rFonts w:ascii="Arial" w:cs="Arial" w:eastAsia="Arial" w:hAnsi="Arial"/>
          <w:sz w:val="16"/>
          <w:szCs w:val="16"/>
          <w:color w:val="auto"/>
        </w:rPr>
      </w:pPr>
    </w:p>
    <w:p>
      <w:pPr>
        <w:ind w:left="980" w:hanging="324"/>
        <w:spacing w:after="0"/>
        <w:tabs>
          <w:tab w:leader="none" w:pos="9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 “intermediate point” between threshold and target (set at a payout of 80% of target);</w:t>
      </w:r>
    </w:p>
    <w:p>
      <w:pPr>
        <w:spacing w:after="0" w:line="86" w:lineRule="exact"/>
        <w:rPr>
          <w:rFonts w:ascii="Arial" w:cs="Arial" w:eastAsia="Arial" w:hAnsi="Arial"/>
          <w:sz w:val="16"/>
          <w:szCs w:val="16"/>
          <w:color w:val="auto"/>
        </w:rPr>
      </w:pPr>
    </w:p>
    <w:p>
      <w:pPr>
        <w:ind w:left="980" w:hanging="324"/>
        <w:spacing w:after="0"/>
        <w:tabs>
          <w:tab w:leader="none" w:pos="9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returned to a maximum payout opportunity of 200% of target;</w:t>
      </w:r>
    </w:p>
    <w:p>
      <w:pPr>
        <w:spacing w:after="0" w:line="86" w:lineRule="exact"/>
        <w:rPr>
          <w:rFonts w:ascii="Arial" w:cs="Arial" w:eastAsia="Arial" w:hAnsi="Arial"/>
          <w:sz w:val="16"/>
          <w:szCs w:val="16"/>
          <w:color w:val="auto"/>
        </w:rPr>
      </w:pPr>
    </w:p>
    <w:p>
      <w:pPr>
        <w:ind w:left="980" w:hanging="324"/>
        <w:spacing w:after="0"/>
        <w:tabs>
          <w:tab w:leader="none" w:pos="9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for business unit executives, greater funding weighting on overall specific business unit performance results; and</w:t>
      </w:r>
    </w:p>
    <w:p>
      <w:pPr>
        <w:spacing w:after="0" w:line="86" w:lineRule="exact"/>
        <w:rPr>
          <w:rFonts w:ascii="Arial" w:cs="Arial" w:eastAsia="Arial" w:hAnsi="Arial"/>
          <w:sz w:val="16"/>
          <w:szCs w:val="16"/>
          <w:color w:val="auto"/>
        </w:rPr>
      </w:pPr>
    </w:p>
    <w:p>
      <w:pPr>
        <w:ind w:left="980" w:hanging="324"/>
        <w:spacing w:after="0"/>
        <w:tabs>
          <w:tab w:leader="none" w:pos="980" w:val="left"/>
        </w:tabs>
        <w:numPr>
          <w:ilvl w:val="1"/>
          <w:numId w:val="29"/>
        </w:numPr>
        <w:rPr>
          <w:rFonts w:ascii="Arial" w:cs="Arial" w:eastAsia="Arial" w:hAnsi="Arial"/>
          <w:sz w:val="16"/>
          <w:szCs w:val="16"/>
          <w:color w:val="auto"/>
        </w:rPr>
      </w:pPr>
      <w:r>
        <w:rPr>
          <w:rFonts w:ascii="Arial" w:cs="Arial" w:eastAsia="Arial" w:hAnsi="Arial"/>
          <w:sz w:val="16"/>
          <w:szCs w:val="16"/>
          <w:color w:val="auto"/>
        </w:rPr>
        <w:t>continued emphasis on individual performance for determining final payouts.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returned to an annual base salary review process in Q1 with all named executive officers receiving a salary increase in 2022;</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continued with three one-year annual goals for performance-based Long-Term Incentives (“LTI”) program;</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returned to 100% cliff vesting at the end of the three-year performance period for any earned performance-based LTI;</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granted special long-term equity recognition award to one named executive officer; and</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one-third of the 2021 special equity award Key Employee Equity Plan (“KEEP”) was earned during 2022.</w:t>
      </w:r>
    </w:p>
    <w:p>
      <w:pPr>
        <w:spacing w:after="0" w:line="221"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auto"/>
        </w:rPr>
        <w:t>The above-described actions provided fiscally responsible reward programs while also providing targeted investments needed to reward employees for achieving important financial and operational goals, and to support the longer-term retention of critical talent.</w:t>
      </w:r>
    </w:p>
    <w:p>
      <w:pPr>
        <w:spacing w:after="0" w:line="156"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color w:val="auto"/>
        </w:rPr>
        <w:t>As our strategy evolves and we manage through the impact of inflation and market uncertainty, we continue to move forward with our specialization strategy. These specialties represent areas where we see the most robust demand, the most promising growth opportunities, and where we believe we excel in attracting and placing talent.</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1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-143510</wp:posOffset>
            </wp:positionV>
            <wp:extent cx="411480" cy="1968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060"/>
          </w:cols>
          <w:pgMar w:left="320" w:top="482" w:right="5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8220"/>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43" w:lineRule="exact"/>
        <w:rPr>
          <w:sz w:val="20"/>
          <w:szCs w:val="20"/>
          <w:color w:val="auto"/>
        </w:rPr>
      </w:pPr>
    </w:p>
    <w:p>
      <w:pPr>
        <w:ind w:left="120" w:right="200"/>
        <w:spacing w:after="0" w:line="254" w:lineRule="auto"/>
        <w:rPr>
          <w:sz w:val="20"/>
          <w:szCs w:val="20"/>
          <w:color w:val="auto"/>
        </w:rPr>
      </w:pPr>
      <w:r>
        <w:rPr>
          <w:rFonts w:ascii="Arial" w:cs="Arial" w:eastAsia="Arial" w:hAnsi="Arial"/>
          <w:sz w:val="16"/>
          <w:szCs w:val="16"/>
          <w:color w:val="auto"/>
        </w:rPr>
        <w:t>Kelly’s business model brings together both staffing and outcome-based solutions under a single specialty leader and aggregates assets to accelerate specialty growth and profitability. We believe this specialty structure gives us greater advantages in the market, and we expect our disciplined focus will enable us to achieve greater efficiencies and deliver profitable growth coming out of a period of elevated economic uncertainty. In addition, we intend to invest in strategic, targeted M&amp;A opportunities in our specialties, while optimizing our portfolio, as demonstrated by the acquisitions of Pediatric Therapeutic Services and RocketPower, the ending of our cross-ownership arrangement between Kelly and Persol Holdings, the reduced ownership interest in our KellyPersol joint venture, and the transfer of ownership of Kelly’s Russian operations in 2022.</w:t>
      </w:r>
    </w:p>
    <w:p>
      <w:pPr>
        <w:spacing w:after="0" w:line="182" w:lineRule="exact"/>
        <w:rPr>
          <w:sz w:val="20"/>
          <w:szCs w:val="20"/>
          <w:color w:val="auto"/>
        </w:rPr>
      </w:pPr>
    </w:p>
    <w:p>
      <w:pPr>
        <w:ind w:left="120" w:right="660"/>
        <w:spacing w:after="0" w:line="256" w:lineRule="auto"/>
        <w:rPr>
          <w:sz w:val="20"/>
          <w:szCs w:val="20"/>
          <w:color w:val="auto"/>
        </w:rPr>
      </w:pPr>
      <w:r>
        <w:rPr>
          <w:rFonts w:ascii="Arial" w:cs="Arial" w:eastAsia="Arial" w:hAnsi="Arial"/>
          <w:sz w:val="16"/>
          <w:szCs w:val="16"/>
          <w:color w:val="auto"/>
        </w:rPr>
        <w:t>In 2022, Kelly moved forward on its strategic growth journey amid a dynamic macroeconomic environment in the first half of the year. As the year progressed, a mixed pattern of revenue growth and deceleration emerged and persisted</w:t>
      </w:r>
    </w:p>
    <w:p>
      <w:pPr>
        <w:spacing w:after="0" w:line="1"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color w:val="auto"/>
        </w:rPr>
        <w:t>through the balance of 2022 driven by rising inflation, increasing interest rates, and heightened economic uncertainty. Consequently, a growing number of employers scaled back or paused hiring – and in some cases reduced the size of their workforces – to align their costs with declining growth. Notwithstanding these dynamics, the labor market remained tight. The economy continued to add jobs – albeit at a slightly slower pace to end the year – and unemployment remained at historically low levels, which contributed to ongoing challenges with sourcing talent.</w:t>
      </w:r>
    </w:p>
    <w:p>
      <w:pPr>
        <w:spacing w:after="0" w:line="183" w:lineRule="exact"/>
        <w:rPr>
          <w:sz w:val="20"/>
          <w:szCs w:val="20"/>
          <w:color w:val="auto"/>
        </w:rPr>
      </w:pPr>
    </w:p>
    <w:p>
      <w:pPr>
        <w:ind w:left="120" w:right="700"/>
        <w:spacing w:after="0" w:line="286" w:lineRule="auto"/>
        <w:rPr>
          <w:sz w:val="20"/>
          <w:szCs w:val="20"/>
          <w:color w:val="auto"/>
        </w:rPr>
      </w:pPr>
      <w:r>
        <w:rPr>
          <w:rFonts w:ascii="Arial" w:cs="Arial" w:eastAsia="Arial" w:hAnsi="Arial"/>
          <w:sz w:val="16"/>
          <w:szCs w:val="16"/>
          <w:color w:val="auto"/>
        </w:rPr>
        <w:t>By executing our strategy in a disciplined manner and focusing on factors within our control, we managed through these ongoing headwinds and achieved solid growth over the prior year:</w:t>
      </w:r>
    </w:p>
    <w:p>
      <w:pPr>
        <w:spacing w:after="0" w:line="2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increased total company revenue driven by top-line growth in our Education, SET and OCG business units.</w:t>
      </w:r>
    </w:p>
    <w:p>
      <w:pPr>
        <w:spacing w:after="0" w:line="86" w:lineRule="exact"/>
        <w:rPr>
          <w:rFonts w:ascii="Arial" w:cs="Arial" w:eastAsia="Arial" w:hAnsi="Arial"/>
          <w:sz w:val="16"/>
          <w:szCs w:val="16"/>
          <w:color w:val="auto"/>
        </w:rPr>
      </w:pPr>
    </w:p>
    <w:p>
      <w:pPr>
        <w:ind w:left="660" w:right="220" w:hanging="328"/>
        <w:spacing w:after="0" w:line="286"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more profitable outcome-based solutions demonstrated resilience amid macroeconomic headwinds and generated solid revenue and gross profit growth.</w:t>
      </w:r>
    </w:p>
    <w:p>
      <w:pPr>
        <w:spacing w:after="0" w:line="20" w:lineRule="exact"/>
        <w:rPr>
          <w:rFonts w:ascii="Arial" w:cs="Arial" w:eastAsia="Arial" w:hAnsi="Arial"/>
          <w:sz w:val="16"/>
          <w:szCs w:val="16"/>
          <w:color w:val="auto"/>
        </w:rPr>
      </w:pPr>
    </w:p>
    <w:p>
      <w:pPr>
        <w:ind w:left="660" w:right="220" w:hanging="328"/>
        <w:spacing w:after="0" w:line="286"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Each of our five business units expanded its gross profit rate, reflecting our ongoing drive to shift toward a higher-margin, higher-value business mix.</w:t>
      </w:r>
    </w:p>
    <w:p>
      <w:pPr>
        <w:spacing w:after="0" w:line="20" w:lineRule="exact"/>
        <w:rPr>
          <w:rFonts w:ascii="Arial" w:cs="Arial" w:eastAsia="Arial" w:hAnsi="Arial"/>
          <w:sz w:val="16"/>
          <w:szCs w:val="16"/>
          <w:color w:val="auto"/>
        </w:rPr>
      </w:pPr>
    </w:p>
    <w:p>
      <w:pPr>
        <w:ind w:left="660" w:right="20" w:hanging="328"/>
        <w:spacing w:after="0" w:line="286"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Excluding the impact of goodwill impairment charges and a loss on the disposal of our Russian operations, we improved earnings from operations, demonstrating our ability to effectively translate gross margin expansion to earnings growth.</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2022 was also a year in which we accelerated our transformation and streamlined our portfolio.</w:t>
      </w:r>
    </w:p>
    <w:p>
      <w:pPr>
        <w:spacing w:after="0" w:line="86" w:lineRule="exact"/>
        <w:rPr>
          <w:sz w:val="20"/>
          <w:szCs w:val="20"/>
          <w:color w:val="auto"/>
        </w:rPr>
      </w:pPr>
    </w:p>
    <w:p>
      <w:pPr>
        <w:ind w:left="660" w:right="240" w:hanging="328"/>
        <w:spacing w:after="0" w:line="266"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ended the cross-ownership arrangement between Kelly and Persol Holdings – selling our investment in the common shares of Persol Holdings and repurchasing our Class A and B common shares held by Persol Holdings – and reduced our ownership interest in our PersolKelly joint venture, unlocking $235 million of liquidity.</w:t>
      </w:r>
    </w:p>
    <w:p>
      <w:pPr>
        <w:spacing w:after="0" w:line="36" w:lineRule="exact"/>
        <w:rPr>
          <w:rFonts w:ascii="Arial" w:cs="Arial" w:eastAsia="Arial" w:hAnsi="Arial"/>
          <w:sz w:val="16"/>
          <w:szCs w:val="16"/>
          <w:color w:val="auto"/>
        </w:rPr>
      </w:pPr>
    </w:p>
    <w:p>
      <w:pPr>
        <w:ind w:left="660" w:right="320" w:hanging="328"/>
        <w:spacing w:after="0" w:line="286"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redeployed a portion of the net proceeds from these transactions to advance our inorganic growth strategy, while preserving the remaining capital to pursue additional high-margin, high-growth acquisitions in the future.</w:t>
      </w:r>
    </w:p>
    <w:p>
      <w:pPr>
        <w:spacing w:after="0" w:line="20"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monetized non-core real estate holdings, unlocking more capital to invest in growth initiatives.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acted decisively to transfer ownership of our Russian operations to a Russian company.</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restored our dividend to its pre-pandemic level and authorized a $50 million repurchase of outstanding Class A common shares.</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Key Executive Compensation Program Highlights for Fiscal 2022</w:t>
      </w:r>
    </w:p>
    <w:p>
      <w:pPr>
        <w:spacing w:after="0" w:line="111"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color w:val="auto"/>
        </w:rPr>
        <w:t>We believe compensation should align with and enhance long-term shareholder value. Our pay-for-performance philosophy ensures that a significant portion of compensation for our senior officers is “at risk” and reflects our business performance. Our named executive officers experienced the following outcomes for 2022 as a result of Company performance and management’s decision to focus on the Company’s transition in becoming a specialty talent solutions company:</w:t>
      </w:r>
    </w:p>
    <w:p>
      <w:pPr>
        <w:spacing w:after="0" w:line="43" w:lineRule="exact"/>
        <w:rPr>
          <w:sz w:val="20"/>
          <w:szCs w:val="20"/>
          <w:color w:val="auto"/>
        </w:rPr>
      </w:pPr>
    </w:p>
    <w:p>
      <w:pPr>
        <w:ind w:left="540" w:hanging="316"/>
        <w:spacing w:after="0"/>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Returned to a standard compensation review schedule with all named executive officers receiving a base salary increase during 2022.</w:t>
      </w:r>
    </w:p>
    <w:p>
      <w:pPr>
        <w:spacing w:after="0" w:line="86" w:lineRule="exact"/>
        <w:rPr>
          <w:rFonts w:ascii="Arial" w:cs="Arial" w:eastAsia="Arial" w:hAnsi="Arial"/>
          <w:sz w:val="16"/>
          <w:szCs w:val="16"/>
          <w:color w:val="auto"/>
        </w:rPr>
      </w:pPr>
    </w:p>
    <w:p>
      <w:pPr>
        <w:ind w:left="540" w:hanging="316"/>
        <w:spacing w:after="0"/>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2022 STIP was earned at below target levels for those officers with payouts based on total company performance.</w:t>
      </w:r>
    </w:p>
    <w:p>
      <w:pPr>
        <w:spacing w:after="0" w:line="141" w:lineRule="exact"/>
        <w:rPr>
          <w:sz w:val="20"/>
          <w:szCs w:val="20"/>
          <w:color w:val="auto"/>
        </w:rPr>
      </w:pPr>
    </w:p>
    <w:p>
      <w:pPr>
        <w:ind w:left="10820"/>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7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-143510</wp:posOffset>
            </wp:positionV>
            <wp:extent cx="411480" cy="1968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43" w:lineRule="exact"/>
        <w:rPr>
          <w:sz w:val="20"/>
          <w:szCs w:val="20"/>
          <w:color w:val="auto"/>
        </w:rPr>
      </w:pPr>
    </w:p>
    <w:p>
      <w:pPr>
        <w:ind w:left="540" w:right="640" w:hanging="316"/>
        <w:spacing w:after="0" w:line="286"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Year one of the 2022-2024 and year two of the 2021-2023 Performance Shares were earned in aggregate, at 71.85% of target for the 2022 assessment period.</w:t>
      </w:r>
    </w:p>
    <w:p>
      <w:pPr>
        <w:spacing w:after="0" w:line="20" w:lineRule="exact"/>
        <w:rPr>
          <w:rFonts w:ascii="Arial" w:cs="Arial" w:eastAsia="Arial" w:hAnsi="Arial"/>
          <w:sz w:val="16"/>
          <w:szCs w:val="16"/>
          <w:color w:val="auto"/>
        </w:rPr>
      </w:pPr>
    </w:p>
    <w:p>
      <w:pPr>
        <w:ind w:left="540" w:right="40" w:hanging="316"/>
        <w:spacing w:after="0" w:line="286"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2022 LTI target award opportunity was granted in a mix of 75% weighting in the form of Performance Shares and 25% weighting in the form of time-based vesting restricted shares.</w:t>
      </w:r>
    </w:p>
    <w:p>
      <w:pPr>
        <w:spacing w:after="0" w:line="20" w:lineRule="exact"/>
        <w:rPr>
          <w:rFonts w:ascii="Arial" w:cs="Arial" w:eastAsia="Arial" w:hAnsi="Arial"/>
          <w:sz w:val="16"/>
          <w:szCs w:val="16"/>
          <w:color w:val="auto"/>
        </w:rPr>
      </w:pPr>
    </w:p>
    <w:p>
      <w:pPr>
        <w:ind w:left="540" w:hanging="316"/>
        <w:spacing w:after="0"/>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Granted special retention award to one named executive officer who is a critical part of the Company’s transition focus.</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Annual Say on Pay Vote</w:t>
      </w:r>
    </w:p>
    <w:p>
      <w:pPr>
        <w:spacing w:after="0" w:line="111"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color w:val="auto"/>
        </w:rPr>
        <w:t>The frequency of the Company’s Say on Pay vote is annual and, as such, the Committee considers the shareholder advisory vote on executive compensation as disclosed in the Company’s Proxy Statement each year. In 2022, 98.6% of the shares represented at the meeting approved the Say on Pay proposal. The Committee considered this result as a factor in its decision to maintain the general design of the Company’s compensation programs.</w:t>
      </w:r>
    </w:p>
    <w:p>
      <w:pPr>
        <w:spacing w:after="0" w:line="171"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However, we continue to evaluate our executive compensation program and make changes to further align with our strategic priorities and to reward both short- and long-term business success. We designed a program that aligns with shareholder interests, incentivizes growth and operational excellence, and demonstrates a clear linkage between compensation and performance. The program continues to seek to ensure pay for performance and minimize incentives for management to take excessive risks. The Committee worked with management and its independent compensation consultant, as described later in this document, to review current compensation programs, including the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6995160" cy="318897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95160" cy="31889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right="140"/>
        <w:spacing w:after="0" w:line="250" w:lineRule="auto"/>
        <w:rPr>
          <w:sz w:val="20"/>
          <w:szCs w:val="20"/>
          <w:color w:val="auto"/>
        </w:rPr>
      </w:pPr>
      <w:r>
        <w:rPr>
          <w:rFonts w:ascii="Arial" w:cs="Arial" w:eastAsia="Arial" w:hAnsi="Arial"/>
          <w:sz w:val="16"/>
          <w:szCs w:val="16"/>
          <w:color w:val="auto"/>
        </w:rPr>
        <w:t>Reflecting the Company’s commitment to driving a high-performance culture, our executive compensation program emphasizes at-risk incentive awards that can be earned over one and multi-year periods. As our business evolves and we strive for improved performance, the design of our incentive plans may change to ensure continued alignment to our business strategy for driving long-term shareholder value. The executive compensation program, particularly the annual and long-term incentive plans, are designed to directly support the Company’s strategic intent to become a more efficient, profitable, growth-focused, and performance- driven organization. Incentive payouts earned for performance cycles are commensurate with the earnings, gross profit, and expense management results achieved. In 2022, an annual incentive award was earned and paid to our named executive officers and a portion of the second year of the 2021-2023 performance shares and the first year of the 2022–2024 performance shares were earned. Participants in the KEEP award earned shares based on achievement of the Gross Profit milestone in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2022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AF41"/>
        </w:rPr>
        <w:t>84.6% of Target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Annual Incentive Awards Paid for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Corporate Results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2021-2023 – Year 2 and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2022-2024 - Year 1</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AF41"/>
        </w:rPr>
        <w:t>71.85% of Target</w:t>
      </w:r>
    </w:p>
    <w:p>
      <w:pPr>
        <w:spacing w:after="0" w:line="5" w:lineRule="exact"/>
        <w:rPr>
          <w:sz w:val="20"/>
          <w:szCs w:val="20"/>
          <w:color w:val="auto"/>
        </w:rPr>
      </w:pPr>
    </w:p>
    <w:p>
      <w:pPr>
        <w:jc w:val="center"/>
        <w:spacing w:after="0" w:line="256" w:lineRule="auto"/>
        <w:rPr>
          <w:sz w:val="20"/>
          <w:szCs w:val="20"/>
          <w:color w:val="auto"/>
        </w:rPr>
      </w:pPr>
      <w:r>
        <w:rPr>
          <w:rFonts w:ascii="Arial" w:cs="Arial" w:eastAsia="Arial" w:hAnsi="Arial"/>
          <w:sz w:val="16"/>
          <w:szCs w:val="16"/>
          <w:color w:val="auto"/>
        </w:rPr>
        <w:t>Long-Term Incentive Performance Share Awards Were Earned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2021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AF41"/>
        </w:rPr>
        <w:t>KEEP - Gross Profit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Performance Contingent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Restricted Awards Were Earned</w:t>
      </w:r>
    </w:p>
    <w:p>
      <w:pPr>
        <w:spacing w:after="0" w:line="200" w:lineRule="exact"/>
        <w:rPr>
          <w:sz w:val="20"/>
          <w:szCs w:val="20"/>
          <w:color w:val="auto"/>
        </w:rPr>
      </w:pPr>
    </w:p>
    <w:p>
      <w:pPr>
        <w:sectPr>
          <w:pgSz w:w="11900" w:h="16838" w:orient="portrait"/>
          <w:cols w:equalWidth="0" w:num="2">
            <w:col w:w="8000" w:space="720"/>
            <w:col w:w="2420"/>
          </w:cols>
          <w:pgMar w:left="320" w:top="482" w:right="439" w:bottom="1440" w:gutter="0" w:footer="0" w:header="0"/>
          <w:type w:val="continuous"/>
        </w:sectPr>
      </w:pPr>
    </w:p>
    <w:p>
      <w:pPr>
        <w:spacing w:after="0" w:line="235"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The Company has two plans that provide the framework for incentive compensation opportunities for our senior officers, a group that includes our named executive officers.</w:t>
      </w:r>
    </w:p>
    <w:p>
      <w:pPr>
        <w:spacing w:after="0" w:line="61" w:lineRule="exact"/>
        <w:rPr>
          <w:sz w:val="20"/>
          <w:szCs w:val="20"/>
          <w:color w:val="auto"/>
        </w:rPr>
      </w:pPr>
    </w:p>
    <w:p>
      <w:pPr>
        <w:ind w:left="660" w:right="480" w:hanging="328"/>
        <w:spacing w:after="0" w:line="286"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Short-Term Incentive Plan (“STIP”) provides for annual cash-based incentive opportunities based upon the achievement of one or more performance measures, as established by the Committee.</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1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-143510</wp:posOffset>
            </wp:positionV>
            <wp:extent cx="411480" cy="1968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43" w:lineRule="exact"/>
        <w:rPr>
          <w:sz w:val="20"/>
          <w:szCs w:val="20"/>
          <w:color w:val="auto"/>
        </w:rPr>
      </w:pPr>
    </w:p>
    <w:p>
      <w:pPr>
        <w:ind w:left="660" w:right="120" w:hanging="328"/>
        <w:spacing w:after="0" w:line="286"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Equity Incentive Plan (“EIP”) provides the Committee the ability to grant long-term incentive (“LTI”) opportunities, in various award types, that focus on the long-term performance of the Company and align the interests of senior officers with those of shareholders.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2022 STIP Design &amp; Results</w:t>
      </w:r>
    </w:p>
    <w:p>
      <w:pPr>
        <w:spacing w:after="0" w:line="125" w:lineRule="exact"/>
        <w:rPr>
          <w:sz w:val="20"/>
          <w:szCs w:val="20"/>
          <w:color w:val="auto"/>
        </w:rPr>
      </w:pPr>
    </w:p>
    <w:p>
      <w:pPr>
        <w:ind w:left="660" w:right="100" w:hanging="328"/>
        <w:spacing w:after="0" w:line="286"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Approved the performance measure for the corporate component of the 2022 STIP. 2022 target goals were set at budgeted numbers, which were considerably higher than 2021 results.</w:t>
      </w:r>
    </w:p>
    <w:p>
      <w:pPr>
        <w:spacing w:after="0" w:line="20" w:lineRule="exact"/>
        <w:rPr>
          <w:rFonts w:ascii="Arial" w:cs="Arial" w:eastAsia="Arial" w:hAnsi="Arial"/>
          <w:sz w:val="16"/>
          <w:szCs w:val="16"/>
          <w:color w:val="auto"/>
        </w:rPr>
      </w:pPr>
    </w:p>
    <w:p>
      <w:pPr>
        <w:ind w:left="980" w:hanging="324"/>
        <w:spacing w:after="0"/>
        <w:tabs>
          <w:tab w:leader="none" w:pos="9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2022 corporate measure was funded 100% from “Earnings from Operations”.</w:t>
      </w:r>
    </w:p>
    <w:p>
      <w:pPr>
        <w:spacing w:after="0" w:line="86" w:lineRule="exact"/>
        <w:rPr>
          <w:rFonts w:ascii="Arial" w:cs="Arial" w:eastAsia="Arial" w:hAnsi="Arial"/>
          <w:sz w:val="16"/>
          <w:szCs w:val="16"/>
          <w:color w:val="auto"/>
        </w:rPr>
      </w:pPr>
    </w:p>
    <w:p>
      <w:pPr>
        <w:ind w:left="980" w:right="320" w:hanging="324"/>
        <w:spacing w:after="0" w:line="286" w:lineRule="auto"/>
        <w:tabs>
          <w:tab w:leader="none" w:pos="9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Executive officers who are responsible for providing direct leadership to a business unit have at least 60% of their STIP award opportunity based on the achievement of specific business unit measures and the remainder of their award based on the corporate component.</w:t>
      </w:r>
    </w:p>
    <w:p>
      <w:pPr>
        <w:spacing w:after="0" w:line="20" w:lineRule="exact"/>
        <w:rPr>
          <w:rFonts w:ascii="Arial" w:cs="Arial" w:eastAsia="Arial" w:hAnsi="Arial"/>
          <w:sz w:val="16"/>
          <w:szCs w:val="16"/>
          <w:color w:val="auto"/>
        </w:rPr>
      </w:pPr>
    </w:p>
    <w:p>
      <w:pPr>
        <w:ind w:left="980" w:right="220" w:hanging="324"/>
        <w:spacing w:after="0" w:line="266" w:lineRule="auto"/>
        <w:tabs>
          <w:tab w:leader="none" w:pos="98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Executive officers had an individual component, 30% of the Corporate EFO funding result. The individual component can be adjusted up or down based on performance against established goals and other factors. Generally, the named executive officers met their individual objectives.</w:t>
      </w:r>
    </w:p>
    <w:p>
      <w:pPr>
        <w:spacing w:after="0" w:line="36" w:lineRule="exact"/>
        <w:rPr>
          <w:rFonts w:ascii="Arial" w:cs="Arial" w:eastAsia="Arial" w:hAnsi="Arial"/>
          <w:sz w:val="16"/>
          <w:szCs w:val="16"/>
          <w:color w:val="auto"/>
        </w:rPr>
      </w:pPr>
    </w:p>
    <w:p>
      <w:pPr>
        <w:ind w:left="660" w:right="360" w:hanging="328"/>
        <w:spacing w:after="0" w:line="286"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2022 results for performance measure of the corporate component of the STIP, the Committee approved payouts on the 2022 STIP corporate component equal to 84.6% of target.</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2022 LTI Design</w:t>
      </w:r>
    </w:p>
    <w:p>
      <w:pPr>
        <w:spacing w:after="0" w:line="1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LTI design was influenced by the continuing challenges related to the pandemic.</w:t>
      </w:r>
    </w:p>
    <w:p>
      <w:pPr>
        <w:spacing w:after="0" w:line="86" w:lineRule="exact"/>
        <w:rPr>
          <w:rFonts w:ascii="Arial" w:cs="Arial" w:eastAsia="Arial" w:hAnsi="Arial"/>
          <w:sz w:val="16"/>
          <w:szCs w:val="16"/>
          <w:color w:val="auto"/>
        </w:rPr>
      </w:pPr>
    </w:p>
    <w:p>
      <w:pPr>
        <w:ind w:left="660" w:right="100" w:hanging="328"/>
        <w:spacing w:after="0" w:line="286"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Maintained LTI grant mix for senior officers, including our executive officers, that heavily emphasizes at-risk performance-based pay opportunities through the following equity vehicles:</w:t>
      </w:r>
    </w:p>
    <w:p>
      <w:pPr>
        <w:spacing w:after="0" w:line="20" w:lineRule="exact"/>
        <w:rPr>
          <w:rFonts w:ascii="Arial" w:cs="Arial" w:eastAsia="Arial" w:hAnsi="Arial"/>
          <w:sz w:val="16"/>
          <w:szCs w:val="16"/>
          <w:color w:val="auto"/>
        </w:rPr>
      </w:pPr>
    </w:p>
    <w:p>
      <w:pPr>
        <w:ind w:left="980" w:hanging="324"/>
        <w:spacing w:after="0"/>
        <w:tabs>
          <w:tab w:leader="none" w:pos="9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Performance Share Units (“PSUs”) = 75% of LTI mix; and</w:t>
      </w:r>
    </w:p>
    <w:p>
      <w:pPr>
        <w:spacing w:after="0" w:line="86" w:lineRule="exact"/>
        <w:rPr>
          <w:rFonts w:ascii="Arial" w:cs="Arial" w:eastAsia="Arial" w:hAnsi="Arial"/>
          <w:sz w:val="16"/>
          <w:szCs w:val="16"/>
          <w:color w:val="auto"/>
        </w:rPr>
      </w:pPr>
    </w:p>
    <w:p>
      <w:pPr>
        <w:ind w:left="980" w:hanging="324"/>
        <w:spacing w:after="0"/>
        <w:tabs>
          <w:tab w:leader="none" w:pos="9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Restricted Stock Awards/Units (“RSAs”/”RSUs”) = 25% of LTI mix.</w:t>
      </w:r>
    </w:p>
    <w:p>
      <w:pPr>
        <w:spacing w:after="0" w:line="86" w:lineRule="exact"/>
        <w:rPr>
          <w:rFonts w:ascii="Arial" w:cs="Arial" w:eastAsia="Arial" w:hAnsi="Arial"/>
          <w:sz w:val="16"/>
          <w:szCs w:val="16"/>
          <w:color w:val="auto"/>
        </w:rPr>
      </w:pPr>
    </w:p>
    <w:p>
      <w:pPr>
        <w:ind w:left="660" w:right="280" w:hanging="328"/>
        <w:spacing w:after="0" w:line="286"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Approved LTI performance measures for the 2022-2024 Performance Share Awards that management and the Committee believe to be strong drivers of Kelly’s long-term value and indicative of delivering profitable growth.</w:t>
      </w:r>
    </w:p>
    <w:p>
      <w:pPr>
        <w:spacing w:after="0" w:line="20" w:lineRule="exact"/>
        <w:rPr>
          <w:rFonts w:ascii="Arial" w:cs="Arial" w:eastAsia="Arial" w:hAnsi="Arial"/>
          <w:sz w:val="16"/>
          <w:szCs w:val="16"/>
          <w:color w:val="auto"/>
        </w:rPr>
      </w:pPr>
    </w:p>
    <w:p>
      <w:pPr>
        <w:ind w:left="980" w:hanging="324"/>
        <w:spacing w:after="0"/>
        <w:tabs>
          <w:tab w:leader="none" w:pos="9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Revenue Growth (weighted 50%)</w:t>
      </w:r>
    </w:p>
    <w:p>
      <w:pPr>
        <w:spacing w:after="0" w:line="86" w:lineRule="exact"/>
        <w:rPr>
          <w:rFonts w:ascii="Arial" w:cs="Arial" w:eastAsia="Arial" w:hAnsi="Arial"/>
          <w:sz w:val="16"/>
          <w:szCs w:val="16"/>
          <w:color w:val="auto"/>
        </w:rPr>
      </w:pPr>
    </w:p>
    <w:p>
      <w:pPr>
        <w:ind w:left="980" w:hanging="324"/>
        <w:spacing w:after="0"/>
        <w:tabs>
          <w:tab w:leader="none" w:pos="9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EBITDA Margin (weighted 50%)</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Performance Share goals will be set at the beginning of 2022, 2023, and 2024 with each year separately assessed.</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Performance shares earned after each performance year will cliff-vest at the end of the three-year period.</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2021 Special (“KEEP”) Award Design and 2022 Results – Gross Profit Measure</w:t>
      </w:r>
    </w:p>
    <w:p>
      <w:pPr>
        <w:spacing w:after="0" w:line="125" w:lineRule="exact"/>
        <w:rPr>
          <w:sz w:val="20"/>
          <w:szCs w:val="20"/>
          <w:color w:val="auto"/>
        </w:rPr>
      </w:pPr>
    </w:p>
    <w:p>
      <w:pPr>
        <w:ind w:left="660" w:right="120" w:hanging="328"/>
        <w:spacing w:after="0" w:line="256"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December 2021 a special performance-based equity grant was awarded to senior officers, including the named executive officers, and certain other senior leaders. This Key Employee Equity Plan “KEEP” is a future focused, performance-contingent retention award that unites and aligns Kelly’s leadership team in collective achievement of each of the three critical transformation milestones (conversion rate weighted 1/3, specialty GP mix weighted 1/3, and gross profit weighted 1/3) over a three-year period, 2022-2024. The KEEP award provides strong pay-for-performance alignment as performance metrics support the specialty growth strategy.</w:t>
      </w:r>
    </w:p>
    <w:p>
      <w:pPr>
        <w:spacing w:after="0" w:line="44" w:lineRule="exact"/>
        <w:rPr>
          <w:rFonts w:ascii="Arial" w:cs="Arial" w:eastAsia="Arial" w:hAnsi="Arial"/>
          <w:sz w:val="16"/>
          <w:szCs w:val="16"/>
          <w:color w:val="auto"/>
        </w:rPr>
      </w:pPr>
    </w:p>
    <w:p>
      <w:pPr>
        <w:ind w:left="660" w:right="420" w:hanging="328"/>
        <w:spacing w:after="0" w:line="210"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gross profit portion of the award was at or above target for the 3</w:t>
      </w:r>
      <w:r>
        <w:rPr>
          <w:rFonts w:ascii="Arial" w:cs="Arial" w:eastAsia="Arial" w:hAnsi="Arial"/>
          <w:sz w:val="24"/>
          <w:szCs w:val="24"/>
          <w:color w:val="auto"/>
          <w:vertAlign w:val="superscript"/>
        </w:rPr>
        <w:t>rd</w:t>
      </w:r>
      <w:r>
        <w:rPr>
          <w:rFonts w:ascii="Arial" w:cs="Arial" w:eastAsia="Arial" w:hAnsi="Arial"/>
          <w:sz w:val="16"/>
          <w:szCs w:val="16"/>
          <w:color w:val="auto"/>
        </w:rPr>
        <w:t xml:space="preserve"> and 4</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quarters of 2022, therefore shares based on that portion of the award were earned.</w:t>
      </w:r>
    </w:p>
    <w:p>
      <w:pPr>
        <w:spacing w:after="0" w:line="56"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earned shares vest 50% upon Committee certification and 50% six months after certification.</w:t>
      </w:r>
    </w:p>
    <w:p>
      <w:pPr>
        <w:spacing w:after="0" w:line="86" w:lineRule="exact"/>
        <w:rPr>
          <w:rFonts w:ascii="Arial" w:cs="Arial" w:eastAsia="Arial" w:hAnsi="Arial"/>
          <w:sz w:val="16"/>
          <w:szCs w:val="16"/>
          <w:color w:val="auto"/>
        </w:rPr>
      </w:pPr>
    </w:p>
    <w:p>
      <w:pPr>
        <w:ind w:left="660" w:right="300" w:hanging="328"/>
        <w:spacing w:after="0" w:line="286"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Participants have the ability to earn shares based on the other two milestones during the remaining two years of the performance period, 2023 and 2024.</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Performance Shares 2021-2023 – Year 2 LTI Results and 2022-2024 – Year 1 LTI Results</w:t>
      </w:r>
    </w:p>
    <w:p>
      <w:pPr>
        <w:spacing w:after="0" w:line="1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Performance shares are allocated among three separate one-year performance periods with the amount earned calculated after each year.</w:t>
      </w:r>
    </w:p>
    <w:p>
      <w:pPr>
        <w:spacing w:after="0" w:line="126" w:lineRule="exact"/>
        <w:rPr>
          <w:rFonts w:ascii="Arial" w:cs="Arial" w:eastAsia="Arial" w:hAnsi="Arial"/>
          <w:sz w:val="16"/>
          <w:szCs w:val="16"/>
          <w:color w:val="auto"/>
        </w:rPr>
      </w:pPr>
    </w:p>
    <w:p>
      <w:pPr>
        <w:ind w:left="660" w:right="100" w:hanging="328"/>
        <w:spacing w:after="0" w:line="286"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upon 2022 results for the two performance measures previously approved by the Committee, “Revenue Growth” and “EBITDA Margin”, an achievement, in aggregate, of 71.85% of target shares were earned for the 2022 portion of the award opportunity.</w:t>
      </w:r>
    </w:p>
    <w:p>
      <w:pPr>
        <w:spacing w:after="0" w:line="76" w:lineRule="exact"/>
        <w:rPr>
          <w:sz w:val="20"/>
          <w:szCs w:val="20"/>
          <w:color w:val="auto"/>
        </w:rPr>
      </w:pPr>
    </w:p>
    <w:p>
      <w:pPr>
        <w:ind w:left="10820"/>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1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-143510</wp:posOffset>
            </wp:positionV>
            <wp:extent cx="411480" cy="1974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11480" cy="1974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43" w:lineRule="exact"/>
        <w:rPr>
          <w:sz w:val="20"/>
          <w:szCs w:val="20"/>
          <w:color w:val="auto"/>
        </w:rPr>
      </w:pPr>
    </w:p>
    <w:p>
      <w:pPr>
        <w:jc w:val="both"/>
        <w:ind w:left="660" w:right="240" w:hanging="328"/>
        <w:spacing w:after="0" w:line="266"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Earned performance shares for the 2021-2023 award vested 50% upon achievement of performance goals and approval by the Committee on February 14, 2023 and 50% will vest at the end of the three-year performance period, while the 2022-2024 award vests 100% at the end of the three-year performance period.</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2022 Individual Compensation Decisions</w:t>
      </w:r>
    </w:p>
    <w:p>
      <w:pPr>
        <w:spacing w:after="0" w:line="125"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Returned to a standard compensation review schedule with all named executive officers receiving a base salary increase during 2022.</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Further explanation can be found under Compensation Programs: Decisions and Actions in 2022.</w:t>
      </w:r>
    </w:p>
    <w:p>
      <w:pPr>
        <w:spacing w:after="0" w:line="221" w:lineRule="exact"/>
        <w:rPr>
          <w:sz w:val="20"/>
          <w:szCs w:val="20"/>
          <w:color w:val="auto"/>
        </w:rPr>
      </w:pPr>
    </w:p>
    <w:p>
      <w:pPr>
        <w:ind w:left="120" w:right="420"/>
        <w:spacing w:after="0" w:line="286" w:lineRule="auto"/>
        <w:rPr>
          <w:sz w:val="20"/>
          <w:szCs w:val="20"/>
          <w:color w:val="auto"/>
        </w:rPr>
      </w:pPr>
      <w:r>
        <w:rPr>
          <w:rFonts w:ascii="Arial" w:cs="Arial" w:eastAsia="Arial" w:hAnsi="Arial"/>
          <w:sz w:val="16"/>
          <w:szCs w:val="16"/>
          <w:color w:val="auto"/>
        </w:rPr>
        <w:t>The Committee believes these actions supported the strategic direction of the Company and helped position it for long-term success in achieving its goals. These compensation decisions and actions are discussed in more detail below.</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Executive Compensation Philosophy, Objectives, and Design</w:t>
      </w:r>
    </w:p>
    <w:p>
      <w:pPr>
        <w:spacing w:after="0" w:line="112"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Our executive compensation philosophy is to provide market-based pay opportunities with incentive payouts aligned with the achievement of the Company’s overall short- and long-term business strategy, performance goals, and results. The design of our executive compensation programs allocates total compensation to fixed and variable pay elements resulting in a mix of short-term and long-term pay elements. The Committee continually evaluates our executive compensation programs to ensure that the Company provides market-competitive opportunities that enable us to attract and retain highly qualified individuals to lead the organization and drive business success. Our executive compensation programs are designed to achieve the following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139700</wp:posOffset>
            </wp:positionV>
            <wp:extent cx="6998970" cy="1041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98970" cy="1041400"/>
                    </a:xfrm>
                    <a:prstGeom prst="rect">
                      <a:avLst/>
                    </a:prstGeom>
                    <a:noFill/>
                  </pic:spPr>
                </pic:pic>
              </a:graphicData>
            </a:graphic>
          </wp:anchor>
        </w:drawing>
      </w:r>
    </w:p>
    <w:p>
      <w:pPr>
        <w:spacing w:after="0" w:line="243" w:lineRule="exact"/>
        <w:rPr>
          <w:sz w:val="20"/>
          <w:szCs w:val="20"/>
          <w:color w:val="auto"/>
        </w:rPr>
      </w:pPr>
    </w:p>
    <w:p>
      <w:pPr>
        <w:ind w:left="660" w:right="300" w:hanging="315"/>
        <w:spacing w:after="0" w:line="256"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Align a significant portion of compensation with the achievement of multiple performance goals that motivate and reward executives based on Company, business unit, and individual performance results</w:t>
      </w:r>
    </w:p>
    <w:p>
      <w:pPr>
        <w:spacing w:after="0" w:line="1" w:lineRule="exact"/>
        <w:rPr>
          <w:rFonts w:ascii="Arial" w:cs="Arial" w:eastAsia="Arial" w:hAnsi="Arial"/>
          <w:sz w:val="16"/>
          <w:szCs w:val="16"/>
          <w:color w:val="auto"/>
        </w:rPr>
      </w:pPr>
    </w:p>
    <w:p>
      <w:pPr>
        <w:ind w:left="660" w:right="180" w:hanging="315"/>
        <w:spacing w:after="0" w:line="246"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Attract and retain exceptional talent with the leadership abilities and experience necessary to develop and execute business strategies, achieve outstanding results, and build long-term stockholder value</w:t>
      </w:r>
    </w:p>
    <w:p>
      <w:pPr>
        <w:ind w:left="660" w:hanging="315"/>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Support achievement of the Company’s vision and strategy</w:t>
      </w:r>
    </w:p>
    <w:p>
      <w:pPr>
        <w:spacing w:after="0" w:line="5" w:lineRule="exact"/>
        <w:rPr>
          <w:rFonts w:ascii="Arial" w:cs="Arial" w:eastAsia="Arial" w:hAnsi="Arial"/>
          <w:sz w:val="16"/>
          <w:szCs w:val="16"/>
          <w:color w:val="auto"/>
        </w:rPr>
      </w:pPr>
    </w:p>
    <w:p>
      <w:pPr>
        <w:ind w:left="660" w:hanging="315"/>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Create an ownership mindset that closely aligns the interests of management with those of stockholders</w:t>
      </w:r>
    </w:p>
    <w:p>
      <w:pPr>
        <w:spacing w:after="0" w:line="5" w:lineRule="exact"/>
        <w:rPr>
          <w:rFonts w:ascii="Arial" w:cs="Arial" w:eastAsia="Arial" w:hAnsi="Arial"/>
          <w:sz w:val="16"/>
          <w:szCs w:val="16"/>
          <w:color w:val="auto"/>
        </w:rPr>
      </w:pPr>
    </w:p>
    <w:p>
      <w:pPr>
        <w:ind w:left="660" w:right="100" w:hanging="315"/>
        <w:spacing w:after="0" w:line="265"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Provide appropriate balance between the achievement of both short- and long-term performance objectives, with clear emphasis on affordability, managing the sustainability of the business, and mitigation of risk</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Pay-for-Performance Framework</w:t>
      </w:r>
    </w:p>
    <w:p>
      <w:pPr>
        <w:spacing w:after="0" w:line="219"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The Committee believes that a majority of a senior officer’s compensation should be “at risk” and based upon the achievement of corporate and business unit results, the Company’s share price performance, as well as an individual’s performance. As a result, senior officers participate in incentive programs that provide them with the opportunity to earn awards that are directly tied to the Company’s performance and that drive sustainable long-term shareholder value. The Company’s compensation programs provide an incentive for senior officers to meet and exceed performance goals.</w:t>
      </w:r>
    </w:p>
    <w:p>
      <w:pPr>
        <w:spacing w:after="0" w:line="178"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Executives are held accountable for results and rewarded with above target payout amounts for performance that exceeds target goals. When target goals are not met, award payouts are designed to deliver below target payouts or no payouts. We believe the combination of our annual incentive awards and long-term equity incentive awards align the interests of our senior officers with the interests of our shareholders.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CEO and Other Named Executive Officers Pay Mix</w:t>
      </w:r>
    </w:p>
    <w:p>
      <w:pPr>
        <w:spacing w:after="0" w:line="111"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color w:val="auto"/>
        </w:rPr>
        <w:t>While we believe that a majority of an executive officer’s target compensation opportunity should be performance- based, we do not have a specified formula that defines the overall weighting of each element. We believe that the higher a role is positioned within the organizational structure, the greater the emphasis on performance-based compensation should be. As such, the Chief Executive Officer (“CEO”) has a greater percentage of his compensation opportunity that is performance-based through higher target opportunities for STIP and LTI, as compared to the compensation opportunities of the other named executive officers (“NEOs”). At-risk compensation consists of annual cash incentive</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7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-143510</wp:posOffset>
            </wp:positionV>
            <wp:extent cx="411480" cy="1968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00"/>
          </w:cols>
          <w:pgMar w:left="320" w:top="482"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8220"/>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43"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awards and performance shares that are contingent upon the achievement of pre-established performance goals. Restricted shares, which are not classified as at-risk compensation, have value at vesting reflecting the Company’s stock price performance since date of grant, which aligns to shareholders’ experience. The following charts illustrate the typical Target Total Direct Compensation mix for our President and CEO and the other named executive officers combined (as of January 1, 2022) and includes the pay elements of base salary, STIP (at target), restricted shares, and performance shares (at target). Pay mixes shown below are based on target amounts under typical plan designs and do not reflect the special KEEP Awards for our named executive officers in fiscal year 2022.</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Typical Target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165735</wp:posOffset>
            </wp:positionV>
            <wp:extent cx="5263515" cy="200596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26351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Elements of Compensation for Named Executive Officers</w:t>
      </w:r>
    </w:p>
    <w:p>
      <w:pPr>
        <w:spacing w:after="0" w:line="111" w:lineRule="exact"/>
        <w:rPr>
          <w:sz w:val="20"/>
          <w:szCs w:val="20"/>
          <w:color w:val="auto"/>
        </w:rPr>
      </w:pPr>
    </w:p>
    <w:p>
      <w:pPr>
        <w:ind w:left="120" w:right="280"/>
        <w:spacing w:after="0" w:line="286" w:lineRule="auto"/>
        <w:rPr>
          <w:sz w:val="20"/>
          <w:szCs w:val="20"/>
          <w:color w:val="auto"/>
        </w:rPr>
      </w:pPr>
      <w:r>
        <w:rPr>
          <w:rFonts w:ascii="Arial" w:cs="Arial" w:eastAsia="Arial" w:hAnsi="Arial"/>
          <w:sz w:val="16"/>
          <w:szCs w:val="16"/>
          <w:color w:val="auto"/>
        </w:rPr>
        <w:t>The Committee determines the elements of total direct compensation that we provide to our senior officers, a group that includes the named executive officers. The elements of our executive compensation program of our named executive officers and the objectives for each are as follows:</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200" w:type="dxa"/>
            <w:vAlign w:val="bottom"/>
          </w:tcPr>
          <w:p>
            <w:pPr>
              <w:ind w:left="80"/>
              <w:spacing w:after="0"/>
              <w:rPr>
                <w:sz w:val="20"/>
                <w:szCs w:val="20"/>
                <w:color w:val="auto"/>
              </w:rPr>
            </w:pPr>
            <w:r>
              <w:rPr>
                <w:rFonts w:ascii="Arial" w:cs="Arial" w:eastAsia="Arial" w:hAnsi="Arial"/>
                <w:sz w:val="14"/>
                <w:szCs w:val="14"/>
                <w:b w:val="1"/>
                <w:bCs w:val="1"/>
                <w:color w:val="00AF41"/>
              </w:rPr>
              <w:t>Compensation</w:t>
            </w:r>
          </w:p>
        </w:tc>
        <w:tc>
          <w:tcPr>
            <w:tcW w:w="128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160" w:type="dxa"/>
            <w:vAlign w:val="bottom"/>
            <w:gridSpan w:val="3"/>
          </w:tcPr>
          <w:p>
            <w:pPr>
              <w:ind w:left="160"/>
              <w:spacing w:after="0"/>
              <w:rPr>
                <w:sz w:val="20"/>
                <w:szCs w:val="20"/>
                <w:color w:val="auto"/>
              </w:rPr>
            </w:pPr>
            <w:r>
              <w:rPr>
                <w:rFonts w:ascii="Arial" w:cs="Arial" w:eastAsia="Arial" w:hAnsi="Arial"/>
                <w:sz w:val="14"/>
                <w:szCs w:val="14"/>
                <w:b w:val="1"/>
                <w:bCs w:val="1"/>
                <w:color w:val="00AF41"/>
              </w:rPr>
              <w:t>For More</w:t>
            </w:r>
          </w:p>
        </w:tc>
        <w:tc>
          <w:tcPr>
            <w:tcW w:w="0" w:type="dxa"/>
            <w:vAlign w:val="bottom"/>
          </w:tcPr>
          <w:p>
            <w:pPr>
              <w:spacing w:after="0"/>
              <w:rPr>
                <w:sz w:val="1"/>
                <w:szCs w:val="1"/>
                <w:color w:val="auto"/>
              </w:rPr>
            </w:pPr>
          </w:p>
        </w:tc>
      </w:tr>
      <w:tr>
        <w:trPr>
          <w:trHeight w:val="185"/>
        </w:trPr>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AF41"/>
              </w:rPr>
              <w:t>Element</w:t>
            </w:r>
          </w:p>
        </w:tc>
        <w:tc>
          <w:tcPr>
            <w:tcW w:w="12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00AF41"/>
              </w:rPr>
              <w:t>Type</w:t>
            </w:r>
          </w:p>
        </w:tc>
        <w:tc>
          <w:tcPr>
            <w:tcW w:w="43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00AF41"/>
              </w:rPr>
              <w:t>Considerations</w:t>
            </w:r>
          </w:p>
        </w:tc>
        <w:tc>
          <w:tcPr>
            <w:tcW w:w="3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AF41"/>
              </w:rPr>
              <w:t>Objectives</w:t>
            </w:r>
          </w:p>
        </w:tc>
        <w:tc>
          <w:tcPr>
            <w:tcW w:w="11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00AF41"/>
              </w:rPr>
              <w:t>Information</w:t>
            </w:r>
          </w:p>
        </w:tc>
        <w:tc>
          <w:tcPr>
            <w:tcW w:w="0" w:type="dxa"/>
            <w:vAlign w:val="bottom"/>
          </w:tcPr>
          <w:p>
            <w:pPr>
              <w:spacing w:after="0"/>
              <w:rPr>
                <w:sz w:val="1"/>
                <w:szCs w:val="1"/>
                <w:color w:val="auto"/>
              </w:rPr>
            </w:pPr>
          </w:p>
        </w:tc>
      </w:tr>
      <w:tr>
        <w:trPr>
          <w:trHeight w:val="146"/>
        </w:trPr>
        <w:tc>
          <w:tcPr>
            <w:tcW w:w="1200" w:type="dxa"/>
            <w:vAlign w:val="bottom"/>
            <w:shd w:val="clear" w:color="auto" w:fill="EDEDED"/>
          </w:tcPr>
          <w:p>
            <w:pPr>
              <w:ind w:left="80"/>
              <w:spacing w:after="0" w:line="147" w:lineRule="exact"/>
              <w:rPr>
                <w:sz w:val="20"/>
                <w:szCs w:val="20"/>
                <w:color w:val="auto"/>
              </w:rPr>
            </w:pPr>
            <w:r>
              <w:rPr>
                <w:rFonts w:ascii="Arial" w:cs="Arial" w:eastAsia="Arial" w:hAnsi="Arial"/>
                <w:sz w:val="14"/>
                <w:szCs w:val="14"/>
                <w:b w:val="1"/>
                <w:bCs w:val="1"/>
                <w:color w:val="auto"/>
              </w:rPr>
              <w:t>Base</w:t>
            </w:r>
          </w:p>
        </w:tc>
        <w:tc>
          <w:tcPr>
            <w:tcW w:w="1280" w:type="dxa"/>
            <w:vAlign w:val="bottom"/>
          </w:tcPr>
          <w:p>
            <w:pPr>
              <w:ind w:left="100"/>
              <w:spacing w:after="0" w:line="147" w:lineRule="exact"/>
              <w:rPr>
                <w:sz w:val="20"/>
                <w:szCs w:val="20"/>
                <w:color w:val="auto"/>
              </w:rPr>
            </w:pPr>
            <w:r>
              <w:rPr>
                <w:rFonts w:ascii="Arial" w:cs="Arial" w:eastAsia="Arial" w:hAnsi="Arial"/>
                <w:sz w:val="14"/>
                <w:szCs w:val="14"/>
                <w:color w:val="auto"/>
              </w:rPr>
              <w:t>Fixed</w:t>
            </w:r>
          </w:p>
        </w:tc>
        <w:tc>
          <w:tcPr>
            <w:tcW w:w="4380" w:type="dxa"/>
            <w:vAlign w:val="bottom"/>
          </w:tcPr>
          <w:p>
            <w:pPr>
              <w:ind w:left="140"/>
              <w:spacing w:after="0" w:line="147" w:lineRule="exact"/>
              <w:rPr>
                <w:sz w:val="20"/>
                <w:szCs w:val="20"/>
                <w:color w:val="auto"/>
              </w:rPr>
            </w:pPr>
            <w:r>
              <w:rPr>
                <w:rFonts w:ascii="Arial" w:cs="Arial" w:eastAsia="Arial" w:hAnsi="Arial"/>
                <w:sz w:val="14"/>
                <w:szCs w:val="14"/>
                <w:color w:val="auto"/>
              </w:rPr>
              <w:t>•   Reviewed annually</w:t>
            </w:r>
          </w:p>
        </w:tc>
        <w:tc>
          <w:tcPr>
            <w:tcW w:w="3000" w:type="dxa"/>
            <w:vAlign w:val="bottom"/>
          </w:tcPr>
          <w:p>
            <w:pPr>
              <w:ind w:left="80"/>
              <w:spacing w:after="0" w:line="147" w:lineRule="exact"/>
              <w:rPr>
                <w:sz w:val="20"/>
                <w:szCs w:val="20"/>
                <w:color w:val="auto"/>
              </w:rPr>
            </w:pPr>
            <w:r>
              <w:rPr>
                <w:rFonts w:ascii="Arial" w:cs="Arial" w:eastAsia="Arial" w:hAnsi="Arial"/>
                <w:sz w:val="14"/>
                <w:szCs w:val="14"/>
                <w:color w:val="auto"/>
              </w:rPr>
              <w:t>•   Provide competitive compensation for</w:t>
            </w:r>
          </w:p>
        </w:tc>
        <w:tc>
          <w:tcPr>
            <w:tcW w:w="1160" w:type="dxa"/>
            <w:vAlign w:val="bottom"/>
            <w:gridSpan w:val="3"/>
          </w:tcPr>
          <w:p>
            <w:pPr>
              <w:ind w:left="160"/>
              <w:spacing w:after="0" w:line="147" w:lineRule="exact"/>
              <w:rPr>
                <w:sz w:val="20"/>
                <w:szCs w:val="20"/>
                <w:color w:val="auto"/>
              </w:rPr>
            </w:pPr>
            <w:r>
              <w:rPr>
                <w:rFonts w:ascii="Arial" w:cs="Arial" w:eastAsia="Arial" w:hAnsi="Arial"/>
                <w:sz w:val="14"/>
                <w:szCs w:val="14"/>
                <w:b w:val="1"/>
                <w:bCs w:val="1"/>
                <w:color w:val="00AF41"/>
              </w:rPr>
              <w:t>Page61</w:t>
            </w:r>
          </w:p>
        </w:tc>
        <w:tc>
          <w:tcPr>
            <w:tcW w:w="0" w:type="dxa"/>
            <w:vAlign w:val="bottom"/>
          </w:tcPr>
          <w:p>
            <w:pPr>
              <w:spacing w:after="0"/>
              <w:rPr>
                <w:sz w:val="1"/>
                <w:szCs w:val="1"/>
                <w:color w:val="auto"/>
              </w:rPr>
            </w:pPr>
          </w:p>
        </w:tc>
      </w:tr>
      <w:tr>
        <w:trPr>
          <w:trHeight w:val="162"/>
        </w:trPr>
        <w:tc>
          <w:tcPr>
            <w:tcW w:w="1200" w:type="dxa"/>
            <w:vAlign w:val="bottom"/>
            <w:shd w:val="clear" w:color="auto" w:fill="EDEDED"/>
          </w:tcPr>
          <w:p>
            <w:pPr>
              <w:ind w:left="80"/>
              <w:spacing w:after="0"/>
              <w:rPr>
                <w:sz w:val="20"/>
                <w:szCs w:val="20"/>
                <w:color w:val="auto"/>
              </w:rPr>
            </w:pPr>
            <w:r>
              <w:rPr>
                <w:rFonts w:ascii="Arial" w:cs="Arial" w:eastAsia="Arial" w:hAnsi="Arial"/>
                <w:sz w:val="14"/>
                <w:szCs w:val="14"/>
                <w:b w:val="1"/>
                <w:bCs w:val="1"/>
                <w:color w:val="auto"/>
              </w:rPr>
              <w:t>Salary</w:t>
            </w:r>
          </w:p>
        </w:tc>
        <w:tc>
          <w:tcPr>
            <w:tcW w:w="1280" w:type="dxa"/>
            <w:vAlign w:val="bottom"/>
          </w:tcPr>
          <w:p>
            <w:pPr>
              <w:ind w:left="100"/>
              <w:spacing w:after="0"/>
              <w:rPr>
                <w:sz w:val="20"/>
                <w:szCs w:val="20"/>
                <w:color w:val="auto"/>
              </w:rPr>
            </w:pPr>
            <w:r>
              <w:rPr>
                <w:rFonts w:ascii="Arial" w:cs="Arial" w:eastAsia="Arial" w:hAnsi="Arial"/>
                <w:sz w:val="14"/>
                <w:szCs w:val="14"/>
                <w:color w:val="auto"/>
              </w:rPr>
              <w:t>Compensation</w:t>
            </w:r>
          </w:p>
        </w:tc>
        <w:tc>
          <w:tcPr>
            <w:tcW w:w="4380" w:type="dxa"/>
            <w:vAlign w:val="bottom"/>
          </w:tcPr>
          <w:p>
            <w:pPr>
              <w:ind w:left="140"/>
              <w:spacing w:after="0"/>
              <w:rPr>
                <w:sz w:val="20"/>
                <w:szCs w:val="20"/>
                <w:color w:val="auto"/>
              </w:rPr>
            </w:pPr>
            <w:r>
              <w:rPr>
                <w:rFonts w:ascii="Arial" w:cs="Arial" w:eastAsia="Arial" w:hAnsi="Arial"/>
                <w:sz w:val="14"/>
                <w:szCs w:val="14"/>
                <w:color w:val="auto"/>
              </w:rPr>
              <w:t>•   Adjusted, when appropriate based on role and scope of</w:t>
            </w:r>
          </w:p>
        </w:tc>
        <w:tc>
          <w:tcPr>
            <w:tcW w:w="3000" w:type="dxa"/>
            <w:vAlign w:val="bottom"/>
          </w:tcPr>
          <w:p>
            <w:pPr>
              <w:ind w:left="220"/>
              <w:spacing w:after="0"/>
              <w:rPr>
                <w:sz w:val="20"/>
                <w:szCs w:val="20"/>
                <w:color w:val="auto"/>
              </w:rPr>
            </w:pPr>
            <w:r>
              <w:rPr>
                <w:rFonts w:ascii="Arial" w:cs="Arial" w:eastAsia="Arial" w:hAnsi="Arial"/>
                <w:sz w:val="14"/>
                <w:szCs w:val="14"/>
                <w:color w:val="auto"/>
              </w:rPr>
              <w:t>day-to-day responsibilities</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EDEDED"/>
          </w:tcPr>
          <w:p>
            <w:pPr>
              <w:spacing w:after="0"/>
              <w:rPr>
                <w:sz w:val="14"/>
                <w:szCs w:val="14"/>
                <w:color w:val="auto"/>
              </w:rPr>
            </w:pPr>
          </w:p>
        </w:tc>
        <w:tc>
          <w:tcPr>
            <w:tcW w:w="1280" w:type="dxa"/>
            <w:vAlign w:val="bottom"/>
          </w:tcPr>
          <w:p>
            <w:pPr>
              <w:spacing w:after="0"/>
              <w:rPr>
                <w:sz w:val="14"/>
                <w:szCs w:val="14"/>
                <w:color w:val="auto"/>
              </w:rPr>
            </w:pPr>
          </w:p>
        </w:tc>
        <w:tc>
          <w:tcPr>
            <w:tcW w:w="4380" w:type="dxa"/>
            <w:vAlign w:val="bottom"/>
          </w:tcPr>
          <w:p>
            <w:pPr>
              <w:ind w:left="300"/>
              <w:spacing w:after="0"/>
              <w:rPr>
                <w:sz w:val="20"/>
                <w:szCs w:val="20"/>
                <w:color w:val="auto"/>
              </w:rPr>
            </w:pPr>
            <w:r>
              <w:rPr>
                <w:rFonts w:ascii="Arial" w:cs="Arial" w:eastAsia="Arial" w:hAnsi="Arial"/>
                <w:sz w:val="14"/>
                <w:szCs w:val="14"/>
                <w:color w:val="auto"/>
              </w:rPr>
              <w:t>responsibilities, skills, experience, sustained individual</w:t>
            </w:r>
          </w:p>
        </w:tc>
        <w:tc>
          <w:tcPr>
            <w:tcW w:w="3000" w:type="dxa"/>
            <w:vAlign w:val="bottom"/>
          </w:tcPr>
          <w:p>
            <w:pPr>
              <w:ind w:left="80"/>
              <w:spacing w:after="0"/>
              <w:rPr>
                <w:sz w:val="20"/>
                <w:szCs w:val="20"/>
                <w:color w:val="auto"/>
              </w:rPr>
            </w:pPr>
            <w:r>
              <w:rPr>
                <w:rFonts w:ascii="Arial" w:cs="Arial" w:eastAsia="Arial" w:hAnsi="Arial"/>
                <w:sz w:val="14"/>
                <w:szCs w:val="14"/>
                <w:color w:val="auto"/>
              </w:rPr>
              <w:t>•   Attract and retain qualified senior officers</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0" w:type="dxa"/>
            <w:vAlign w:val="bottom"/>
            <w:shd w:val="clear" w:color="auto" w:fill="EDEDED"/>
          </w:tcPr>
          <w:p>
            <w:pPr>
              <w:spacing w:after="0"/>
              <w:rPr>
                <w:sz w:val="16"/>
                <w:szCs w:val="16"/>
                <w:color w:val="auto"/>
              </w:rPr>
            </w:pPr>
          </w:p>
        </w:tc>
        <w:tc>
          <w:tcPr>
            <w:tcW w:w="1280" w:type="dxa"/>
            <w:vAlign w:val="bottom"/>
          </w:tcPr>
          <w:p>
            <w:pPr>
              <w:spacing w:after="0"/>
              <w:rPr>
                <w:sz w:val="16"/>
                <w:szCs w:val="16"/>
                <w:color w:val="auto"/>
              </w:rPr>
            </w:pPr>
          </w:p>
        </w:tc>
        <w:tc>
          <w:tcPr>
            <w:tcW w:w="4380" w:type="dxa"/>
            <w:vAlign w:val="bottom"/>
          </w:tcPr>
          <w:p>
            <w:pPr>
              <w:ind w:left="300"/>
              <w:spacing w:after="0"/>
              <w:rPr>
                <w:sz w:val="20"/>
                <w:szCs w:val="20"/>
                <w:color w:val="auto"/>
              </w:rPr>
            </w:pPr>
            <w:r>
              <w:rPr>
                <w:rFonts w:ascii="Arial" w:cs="Arial" w:eastAsia="Arial" w:hAnsi="Arial"/>
                <w:sz w:val="14"/>
                <w:szCs w:val="14"/>
                <w:color w:val="auto"/>
              </w:rPr>
              <w:t>contribution, and comparison to market-comparable jobs</w:t>
            </w:r>
          </w:p>
        </w:tc>
        <w:tc>
          <w:tcPr>
            <w:tcW w:w="3000" w:type="dxa"/>
            <w:vAlign w:val="bottom"/>
          </w:tcPr>
          <w:p>
            <w:pPr>
              <w:ind w:left="80"/>
              <w:spacing w:after="0"/>
              <w:rPr>
                <w:sz w:val="20"/>
                <w:szCs w:val="20"/>
                <w:color w:val="auto"/>
              </w:rPr>
            </w:pPr>
            <w:r>
              <w:rPr>
                <w:rFonts w:ascii="Arial" w:cs="Arial" w:eastAsia="Arial" w:hAnsi="Arial"/>
                <w:sz w:val="14"/>
                <w:szCs w:val="14"/>
                <w:color w:val="auto"/>
              </w:rPr>
              <w:t>•   Balance risk-taking</w:t>
            </w: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00" w:type="dxa"/>
            <w:vAlign w:val="bottom"/>
            <w:tcBorders>
              <w:bottom w:val="single" w:sz="8" w:color="auto"/>
            </w:tcBorders>
            <w:shd w:val="clear" w:color="auto" w:fill="EDEDED"/>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4380" w:type="dxa"/>
            <w:vAlign w:val="bottom"/>
            <w:tcBorders>
              <w:bottom w:val="single" w:sz="8" w:color="auto"/>
            </w:tcBorders>
          </w:tcPr>
          <w:p>
            <w:pPr>
              <w:spacing w:after="0"/>
              <w:rPr>
                <w:sz w:val="5"/>
                <w:szCs w:val="5"/>
                <w:color w:val="auto"/>
              </w:rPr>
            </w:pPr>
          </w:p>
        </w:tc>
        <w:tc>
          <w:tcPr>
            <w:tcW w:w="30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200" w:type="dxa"/>
            <w:vAlign w:val="bottom"/>
            <w:shd w:val="clear" w:color="auto" w:fill="EDEDED"/>
          </w:tcPr>
          <w:p>
            <w:pPr>
              <w:ind w:left="80"/>
              <w:spacing w:after="0" w:line="147" w:lineRule="exact"/>
              <w:rPr>
                <w:sz w:val="20"/>
                <w:szCs w:val="20"/>
                <w:color w:val="auto"/>
              </w:rPr>
            </w:pPr>
            <w:r>
              <w:rPr>
                <w:rFonts w:ascii="Arial" w:cs="Arial" w:eastAsia="Arial" w:hAnsi="Arial"/>
                <w:sz w:val="14"/>
                <w:szCs w:val="14"/>
                <w:b w:val="1"/>
                <w:bCs w:val="1"/>
                <w:color w:val="auto"/>
              </w:rPr>
              <w:t>Short-Term</w:t>
            </w:r>
          </w:p>
        </w:tc>
        <w:tc>
          <w:tcPr>
            <w:tcW w:w="1280" w:type="dxa"/>
            <w:vAlign w:val="bottom"/>
          </w:tcPr>
          <w:p>
            <w:pPr>
              <w:ind w:left="100"/>
              <w:spacing w:after="0" w:line="147" w:lineRule="exact"/>
              <w:rPr>
                <w:sz w:val="20"/>
                <w:szCs w:val="20"/>
                <w:color w:val="auto"/>
              </w:rPr>
            </w:pPr>
            <w:r>
              <w:rPr>
                <w:rFonts w:ascii="Arial" w:cs="Arial" w:eastAsia="Arial" w:hAnsi="Arial"/>
                <w:sz w:val="14"/>
                <w:szCs w:val="14"/>
                <w:color w:val="auto"/>
              </w:rPr>
              <w:t>Variable At-Risk</w:t>
            </w:r>
          </w:p>
        </w:tc>
        <w:tc>
          <w:tcPr>
            <w:tcW w:w="4380" w:type="dxa"/>
            <w:vAlign w:val="bottom"/>
          </w:tcPr>
          <w:p>
            <w:pPr>
              <w:ind w:left="140"/>
              <w:spacing w:after="0" w:line="147" w:lineRule="exact"/>
              <w:rPr>
                <w:sz w:val="20"/>
                <w:szCs w:val="20"/>
                <w:color w:val="auto"/>
              </w:rPr>
            </w:pPr>
            <w:r>
              <w:rPr>
                <w:rFonts w:ascii="Arial" w:cs="Arial" w:eastAsia="Arial" w:hAnsi="Arial"/>
                <w:sz w:val="14"/>
                <w:szCs w:val="14"/>
                <w:color w:val="auto"/>
              </w:rPr>
              <w:t>•   Annual performance period</w:t>
            </w:r>
          </w:p>
        </w:tc>
        <w:tc>
          <w:tcPr>
            <w:tcW w:w="3000" w:type="dxa"/>
            <w:vAlign w:val="bottom"/>
          </w:tcPr>
          <w:p>
            <w:pPr>
              <w:ind w:left="80"/>
              <w:spacing w:after="0" w:line="147" w:lineRule="exact"/>
              <w:rPr>
                <w:sz w:val="20"/>
                <w:szCs w:val="20"/>
                <w:color w:val="auto"/>
              </w:rPr>
            </w:pPr>
            <w:r>
              <w:rPr>
                <w:rFonts w:ascii="Arial" w:cs="Arial" w:eastAsia="Arial" w:hAnsi="Arial"/>
                <w:sz w:val="14"/>
                <w:szCs w:val="14"/>
                <w:color w:val="auto"/>
              </w:rPr>
              <w:t>•   Motivate and reward senior officers for</w:t>
            </w:r>
          </w:p>
        </w:tc>
        <w:tc>
          <w:tcPr>
            <w:tcW w:w="1160" w:type="dxa"/>
            <w:vAlign w:val="bottom"/>
            <w:gridSpan w:val="3"/>
          </w:tcPr>
          <w:p>
            <w:pPr>
              <w:ind w:left="160"/>
              <w:spacing w:after="0" w:line="147" w:lineRule="exact"/>
              <w:rPr>
                <w:sz w:val="20"/>
                <w:szCs w:val="20"/>
                <w:color w:val="auto"/>
              </w:rPr>
            </w:pPr>
            <w:r>
              <w:rPr>
                <w:rFonts w:ascii="Arial" w:cs="Arial" w:eastAsia="Arial" w:hAnsi="Arial"/>
                <w:sz w:val="14"/>
                <w:szCs w:val="14"/>
                <w:b w:val="1"/>
                <w:bCs w:val="1"/>
                <w:color w:val="00AF41"/>
              </w:rPr>
              <w:t>Page62</w:t>
            </w:r>
          </w:p>
        </w:tc>
        <w:tc>
          <w:tcPr>
            <w:tcW w:w="0" w:type="dxa"/>
            <w:vAlign w:val="bottom"/>
          </w:tcPr>
          <w:p>
            <w:pPr>
              <w:spacing w:after="0"/>
              <w:rPr>
                <w:sz w:val="1"/>
                <w:szCs w:val="1"/>
                <w:color w:val="auto"/>
              </w:rPr>
            </w:pPr>
          </w:p>
        </w:tc>
      </w:tr>
      <w:tr>
        <w:trPr>
          <w:trHeight w:val="162"/>
        </w:trPr>
        <w:tc>
          <w:tcPr>
            <w:tcW w:w="1200" w:type="dxa"/>
            <w:vAlign w:val="bottom"/>
            <w:shd w:val="clear" w:color="auto" w:fill="EDEDED"/>
          </w:tcPr>
          <w:p>
            <w:pPr>
              <w:ind w:left="80"/>
              <w:spacing w:after="0"/>
              <w:rPr>
                <w:sz w:val="20"/>
                <w:szCs w:val="20"/>
                <w:color w:val="auto"/>
              </w:rPr>
            </w:pPr>
            <w:r>
              <w:rPr>
                <w:rFonts w:ascii="Arial" w:cs="Arial" w:eastAsia="Arial" w:hAnsi="Arial"/>
                <w:sz w:val="14"/>
                <w:szCs w:val="14"/>
                <w:b w:val="1"/>
                <w:bCs w:val="1"/>
                <w:color w:val="auto"/>
              </w:rPr>
              <w:t>Incentive Plan</w:t>
            </w:r>
          </w:p>
        </w:tc>
        <w:tc>
          <w:tcPr>
            <w:tcW w:w="1280" w:type="dxa"/>
            <w:vAlign w:val="bottom"/>
          </w:tcPr>
          <w:p>
            <w:pPr>
              <w:ind w:left="100"/>
              <w:spacing w:after="0"/>
              <w:rPr>
                <w:sz w:val="20"/>
                <w:szCs w:val="20"/>
                <w:color w:val="auto"/>
              </w:rPr>
            </w:pPr>
            <w:r>
              <w:rPr>
                <w:rFonts w:ascii="Arial" w:cs="Arial" w:eastAsia="Arial" w:hAnsi="Arial"/>
                <w:sz w:val="14"/>
                <w:szCs w:val="14"/>
                <w:color w:val="auto"/>
              </w:rPr>
              <w:t>Performance-</w:t>
            </w:r>
          </w:p>
        </w:tc>
        <w:tc>
          <w:tcPr>
            <w:tcW w:w="4380" w:type="dxa"/>
            <w:vAlign w:val="bottom"/>
          </w:tcPr>
          <w:p>
            <w:pPr>
              <w:ind w:left="140"/>
              <w:spacing w:after="0"/>
              <w:rPr>
                <w:sz w:val="20"/>
                <w:szCs w:val="20"/>
                <w:color w:val="auto"/>
              </w:rPr>
            </w:pPr>
            <w:r>
              <w:rPr>
                <w:rFonts w:ascii="Arial" w:cs="Arial" w:eastAsia="Arial" w:hAnsi="Arial"/>
                <w:sz w:val="14"/>
                <w:szCs w:val="14"/>
                <w:color w:val="auto"/>
              </w:rPr>
              <w:t>•   Target payout opportunity established as percentage of</w:t>
            </w:r>
          </w:p>
        </w:tc>
        <w:tc>
          <w:tcPr>
            <w:tcW w:w="3000" w:type="dxa"/>
            <w:vAlign w:val="bottom"/>
          </w:tcPr>
          <w:p>
            <w:pPr>
              <w:ind w:left="220"/>
              <w:spacing w:after="0"/>
              <w:rPr>
                <w:sz w:val="20"/>
                <w:szCs w:val="20"/>
                <w:color w:val="auto"/>
              </w:rPr>
            </w:pPr>
            <w:r>
              <w:rPr>
                <w:rFonts w:ascii="Arial" w:cs="Arial" w:eastAsia="Arial" w:hAnsi="Arial"/>
                <w:sz w:val="14"/>
                <w:szCs w:val="14"/>
                <w:color w:val="auto"/>
              </w:rPr>
              <w:t>achievement of critical near-term</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EDEDED"/>
          </w:tcPr>
          <w:p>
            <w:pPr>
              <w:ind w:left="80"/>
              <w:spacing w:after="0"/>
              <w:rPr>
                <w:sz w:val="20"/>
                <w:szCs w:val="20"/>
                <w:color w:val="auto"/>
              </w:rPr>
            </w:pPr>
            <w:r>
              <w:rPr>
                <w:rFonts w:ascii="Arial" w:cs="Arial" w:eastAsia="Arial" w:hAnsi="Arial"/>
                <w:sz w:val="14"/>
                <w:szCs w:val="14"/>
                <w:b w:val="1"/>
                <w:bCs w:val="1"/>
                <w:color w:val="auto"/>
              </w:rPr>
              <w:t>(STIP)</w:t>
            </w:r>
          </w:p>
        </w:tc>
        <w:tc>
          <w:tcPr>
            <w:tcW w:w="1280" w:type="dxa"/>
            <w:vAlign w:val="bottom"/>
          </w:tcPr>
          <w:p>
            <w:pPr>
              <w:ind w:left="100"/>
              <w:spacing w:after="0"/>
              <w:rPr>
                <w:sz w:val="20"/>
                <w:szCs w:val="20"/>
                <w:color w:val="auto"/>
              </w:rPr>
            </w:pPr>
            <w:r>
              <w:rPr>
                <w:rFonts w:ascii="Arial" w:cs="Arial" w:eastAsia="Arial" w:hAnsi="Arial"/>
                <w:sz w:val="14"/>
                <w:szCs w:val="14"/>
                <w:color w:val="auto"/>
              </w:rPr>
              <w:t>Based</w:t>
            </w:r>
          </w:p>
        </w:tc>
        <w:tc>
          <w:tcPr>
            <w:tcW w:w="4380" w:type="dxa"/>
            <w:vAlign w:val="bottom"/>
          </w:tcPr>
          <w:p>
            <w:pPr>
              <w:ind w:left="300"/>
              <w:spacing w:after="0"/>
              <w:rPr>
                <w:sz w:val="20"/>
                <w:szCs w:val="20"/>
                <w:color w:val="auto"/>
              </w:rPr>
            </w:pPr>
            <w:r>
              <w:rPr>
                <w:rFonts w:ascii="Arial" w:cs="Arial" w:eastAsia="Arial" w:hAnsi="Arial"/>
                <w:sz w:val="14"/>
                <w:szCs w:val="14"/>
                <w:color w:val="auto"/>
              </w:rPr>
              <w:t>earnings for each senior officer based on role</w:t>
            </w:r>
          </w:p>
        </w:tc>
        <w:tc>
          <w:tcPr>
            <w:tcW w:w="3000" w:type="dxa"/>
            <w:vAlign w:val="bottom"/>
          </w:tcPr>
          <w:p>
            <w:pPr>
              <w:ind w:left="220"/>
              <w:spacing w:after="0"/>
              <w:rPr>
                <w:sz w:val="20"/>
                <w:szCs w:val="20"/>
                <w:color w:val="auto"/>
              </w:rPr>
            </w:pPr>
            <w:r>
              <w:rPr>
                <w:rFonts w:ascii="Arial" w:cs="Arial" w:eastAsia="Arial" w:hAnsi="Arial"/>
                <w:sz w:val="14"/>
                <w:szCs w:val="14"/>
                <w:color w:val="auto"/>
              </w:rPr>
              <w:t>performance goals that support the</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EDEDED"/>
          </w:tcPr>
          <w:p>
            <w:pPr>
              <w:spacing w:after="0"/>
              <w:rPr>
                <w:sz w:val="14"/>
                <w:szCs w:val="14"/>
                <w:color w:val="auto"/>
              </w:rPr>
            </w:pPr>
          </w:p>
        </w:tc>
        <w:tc>
          <w:tcPr>
            <w:tcW w:w="1280" w:type="dxa"/>
            <w:vAlign w:val="bottom"/>
          </w:tcPr>
          <w:p>
            <w:pPr>
              <w:ind w:left="100"/>
              <w:spacing w:after="0"/>
              <w:rPr>
                <w:sz w:val="20"/>
                <w:szCs w:val="20"/>
                <w:color w:val="auto"/>
              </w:rPr>
            </w:pPr>
            <w:r>
              <w:rPr>
                <w:rFonts w:ascii="Arial" w:cs="Arial" w:eastAsia="Arial" w:hAnsi="Arial"/>
                <w:sz w:val="14"/>
                <w:szCs w:val="14"/>
                <w:color w:val="auto"/>
              </w:rPr>
              <w:t>Compensation</w:t>
            </w:r>
          </w:p>
        </w:tc>
        <w:tc>
          <w:tcPr>
            <w:tcW w:w="4380" w:type="dxa"/>
            <w:vAlign w:val="bottom"/>
          </w:tcPr>
          <w:p>
            <w:pPr>
              <w:ind w:left="140"/>
              <w:spacing w:after="0"/>
              <w:rPr>
                <w:sz w:val="20"/>
                <w:szCs w:val="20"/>
                <w:color w:val="auto"/>
              </w:rPr>
            </w:pPr>
            <w:r>
              <w:rPr>
                <w:rFonts w:ascii="Arial" w:cs="Arial" w:eastAsia="Arial" w:hAnsi="Arial"/>
                <w:sz w:val="14"/>
                <w:szCs w:val="14"/>
                <w:color w:val="auto"/>
              </w:rPr>
              <w:t>•   Performance measures selected to align with our business</w:t>
            </w:r>
          </w:p>
        </w:tc>
        <w:tc>
          <w:tcPr>
            <w:tcW w:w="3000" w:type="dxa"/>
            <w:vAlign w:val="bottom"/>
          </w:tcPr>
          <w:p>
            <w:pPr>
              <w:ind w:left="220"/>
              <w:spacing w:after="0"/>
              <w:rPr>
                <w:sz w:val="20"/>
                <w:szCs w:val="20"/>
                <w:color w:val="auto"/>
              </w:rPr>
            </w:pPr>
            <w:r>
              <w:rPr>
                <w:rFonts w:ascii="Arial" w:cs="Arial" w:eastAsia="Arial" w:hAnsi="Arial"/>
                <w:sz w:val="14"/>
                <w:szCs w:val="14"/>
                <w:color w:val="auto"/>
              </w:rPr>
              <w:t>Company’s strategic business objectives</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EDEDED"/>
          </w:tcPr>
          <w:p>
            <w:pPr>
              <w:spacing w:after="0"/>
              <w:rPr>
                <w:sz w:val="14"/>
                <w:szCs w:val="14"/>
                <w:color w:val="auto"/>
              </w:rPr>
            </w:pPr>
          </w:p>
        </w:tc>
        <w:tc>
          <w:tcPr>
            <w:tcW w:w="1280" w:type="dxa"/>
            <w:vAlign w:val="bottom"/>
          </w:tcPr>
          <w:p>
            <w:pPr>
              <w:spacing w:after="0"/>
              <w:rPr>
                <w:sz w:val="14"/>
                <w:szCs w:val="14"/>
                <w:color w:val="auto"/>
              </w:rPr>
            </w:pPr>
          </w:p>
        </w:tc>
        <w:tc>
          <w:tcPr>
            <w:tcW w:w="4380" w:type="dxa"/>
            <w:vAlign w:val="bottom"/>
          </w:tcPr>
          <w:p>
            <w:pPr>
              <w:ind w:left="300"/>
              <w:spacing w:after="0"/>
              <w:rPr>
                <w:sz w:val="20"/>
                <w:szCs w:val="20"/>
                <w:color w:val="auto"/>
              </w:rPr>
            </w:pPr>
            <w:r>
              <w:rPr>
                <w:rFonts w:ascii="Arial" w:cs="Arial" w:eastAsia="Arial" w:hAnsi="Arial"/>
                <w:sz w:val="14"/>
                <w:szCs w:val="14"/>
                <w:color w:val="auto"/>
              </w:rPr>
              <w:t>strategy</w:t>
            </w:r>
          </w:p>
        </w:tc>
        <w:tc>
          <w:tcPr>
            <w:tcW w:w="3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EDEDED"/>
          </w:tcPr>
          <w:p>
            <w:pPr>
              <w:spacing w:after="0"/>
              <w:rPr>
                <w:sz w:val="14"/>
                <w:szCs w:val="14"/>
                <w:color w:val="auto"/>
              </w:rPr>
            </w:pPr>
          </w:p>
        </w:tc>
        <w:tc>
          <w:tcPr>
            <w:tcW w:w="1280" w:type="dxa"/>
            <w:vAlign w:val="bottom"/>
          </w:tcPr>
          <w:p>
            <w:pPr>
              <w:spacing w:after="0"/>
              <w:rPr>
                <w:sz w:val="14"/>
                <w:szCs w:val="14"/>
                <w:color w:val="auto"/>
              </w:rPr>
            </w:pPr>
          </w:p>
        </w:tc>
        <w:tc>
          <w:tcPr>
            <w:tcW w:w="4380" w:type="dxa"/>
            <w:vAlign w:val="bottom"/>
          </w:tcPr>
          <w:p>
            <w:pPr>
              <w:ind w:left="140"/>
              <w:spacing w:after="0"/>
              <w:rPr>
                <w:sz w:val="20"/>
                <w:szCs w:val="20"/>
                <w:color w:val="auto"/>
              </w:rPr>
            </w:pPr>
            <w:r>
              <w:rPr>
                <w:rFonts w:ascii="Arial" w:cs="Arial" w:eastAsia="Arial" w:hAnsi="Arial"/>
                <w:sz w:val="14"/>
                <w:szCs w:val="14"/>
                <w:color w:val="auto"/>
              </w:rPr>
              <w:t>•   Multiple performance measures that reflect key operational and</w:t>
            </w:r>
          </w:p>
        </w:tc>
        <w:tc>
          <w:tcPr>
            <w:tcW w:w="3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EDEDED"/>
          </w:tcPr>
          <w:p>
            <w:pPr>
              <w:spacing w:after="0"/>
              <w:rPr>
                <w:sz w:val="14"/>
                <w:szCs w:val="14"/>
                <w:color w:val="auto"/>
              </w:rPr>
            </w:pPr>
          </w:p>
        </w:tc>
        <w:tc>
          <w:tcPr>
            <w:tcW w:w="1280" w:type="dxa"/>
            <w:vAlign w:val="bottom"/>
          </w:tcPr>
          <w:p>
            <w:pPr>
              <w:spacing w:after="0"/>
              <w:rPr>
                <w:sz w:val="14"/>
                <w:szCs w:val="14"/>
                <w:color w:val="auto"/>
              </w:rPr>
            </w:pPr>
          </w:p>
        </w:tc>
        <w:tc>
          <w:tcPr>
            <w:tcW w:w="4380" w:type="dxa"/>
            <w:vAlign w:val="bottom"/>
          </w:tcPr>
          <w:p>
            <w:pPr>
              <w:ind w:left="300"/>
              <w:spacing w:after="0"/>
              <w:rPr>
                <w:sz w:val="20"/>
                <w:szCs w:val="20"/>
                <w:color w:val="auto"/>
              </w:rPr>
            </w:pPr>
            <w:r>
              <w:rPr>
                <w:rFonts w:ascii="Arial" w:cs="Arial" w:eastAsia="Arial" w:hAnsi="Arial"/>
                <w:sz w:val="14"/>
                <w:szCs w:val="14"/>
                <w:color w:val="auto"/>
              </w:rPr>
              <w:t>financial measures of success</w:t>
            </w:r>
          </w:p>
        </w:tc>
        <w:tc>
          <w:tcPr>
            <w:tcW w:w="3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0" w:type="dxa"/>
            <w:vAlign w:val="bottom"/>
            <w:shd w:val="clear" w:color="auto" w:fill="EDEDED"/>
          </w:tcPr>
          <w:p>
            <w:pPr>
              <w:spacing w:after="0"/>
              <w:rPr>
                <w:sz w:val="16"/>
                <w:szCs w:val="16"/>
                <w:color w:val="auto"/>
              </w:rPr>
            </w:pPr>
          </w:p>
        </w:tc>
        <w:tc>
          <w:tcPr>
            <w:tcW w:w="1280" w:type="dxa"/>
            <w:vAlign w:val="bottom"/>
          </w:tcPr>
          <w:p>
            <w:pPr>
              <w:spacing w:after="0"/>
              <w:rPr>
                <w:sz w:val="16"/>
                <w:szCs w:val="16"/>
                <w:color w:val="auto"/>
              </w:rPr>
            </w:pPr>
          </w:p>
        </w:tc>
        <w:tc>
          <w:tcPr>
            <w:tcW w:w="4380" w:type="dxa"/>
            <w:vAlign w:val="bottom"/>
          </w:tcPr>
          <w:p>
            <w:pPr>
              <w:ind w:left="140"/>
              <w:spacing w:after="0"/>
              <w:rPr>
                <w:sz w:val="20"/>
                <w:szCs w:val="20"/>
                <w:color w:val="auto"/>
              </w:rPr>
            </w:pPr>
            <w:r>
              <w:rPr>
                <w:rFonts w:ascii="Arial" w:cs="Arial" w:eastAsia="Arial" w:hAnsi="Arial"/>
                <w:sz w:val="14"/>
                <w:szCs w:val="14"/>
                <w:color w:val="auto"/>
              </w:rPr>
              <w:t>•   Payout based on achievement of predetermined goals</w:t>
            </w:r>
          </w:p>
        </w:tc>
        <w:tc>
          <w:tcPr>
            <w:tcW w:w="3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00" w:type="dxa"/>
            <w:vAlign w:val="bottom"/>
            <w:tcBorders>
              <w:bottom w:val="single" w:sz="8" w:color="auto"/>
            </w:tcBorders>
            <w:shd w:val="clear" w:color="auto" w:fill="EDEDED"/>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4380" w:type="dxa"/>
            <w:vAlign w:val="bottom"/>
            <w:tcBorders>
              <w:bottom w:val="single" w:sz="8" w:color="auto"/>
            </w:tcBorders>
          </w:tcPr>
          <w:p>
            <w:pPr>
              <w:spacing w:after="0"/>
              <w:rPr>
                <w:sz w:val="5"/>
                <w:szCs w:val="5"/>
                <w:color w:val="auto"/>
              </w:rPr>
            </w:pPr>
          </w:p>
        </w:tc>
        <w:tc>
          <w:tcPr>
            <w:tcW w:w="300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4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22"/>
                <w:szCs w:val="22"/>
                <w:color w:val="auto"/>
              </w:rPr>
              <w:t>57</w:t>
            </w:r>
          </w:p>
        </w:tc>
        <w:tc>
          <w:tcPr>
            <w:tcW w:w="0" w:type="dxa"/>
            <w:vAlign w:val="bottom"/>
          </w:tcPr>
          <w:p>
            <w:pPr>
              <w:spacing w:after="0"/>
              <w:rPr>
                <w:sz w:val="1"/>
                <w:szCs w:val="1"/>
                <w:color w:val="auto"/>
              </w:rPr>
            </w:pPr>
          </w:p>
        </w:tc>
      </w:tr>
      <w:tr>
        <w:trPr>
          <w:trHeight w:val="257"/>
        </w:trPr>
        <w:tc>
          <w:tcPr>
            <w:tcW w:w="1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42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43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-231140</wp:posOffset>
            </wp:positionV>
            <wp:extent cx="411480" cy="1968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200" w:type="dxa"/>
            <w:vAlign w:val="bottom"/>
          </w:tcPr>
          <w:p>
            <w:pPr>
              <w:ind w:left="80"/>
              <w:spacing w:after="0"/>
              <w:rPr>
                <w:sz w:val="20"/>
                <w:szCs w:val="20"/>
                <w:color w:val="auto"/>
              </w:rPr>
            </w:pPr>
            <w:r>
              <w:rPr>
                <w:rFonts w:ascii="Arial" w:cs="Arial" w:eastAsia="Arial" w:hAnsi="Arial"/>
                <w:sz w:val="14"/>
                <w:szCs w:val="14"/>
                <w:b w:val="1"/>
                <w:bCs w:val="1"/>
                <w:color w:val="00AF41"/>
              </w:rPr>
              <w:t>Compensation</w:t>
            </w:r>
          </w:p>
        </w:tc>
        <w:tc>
          <w:tcPr>
            <w:tcW w:w="14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100" w:type="dxa"/>
            <w:vAlign w:val="bottom"/>
          </w:tcPr>
          <w:p>
            <w:pPr>
              <w:ind w:left="100"/>
              <w:spacing w:after="0"/>
              <w:rPr>
                <w:sz w:val="20"/>
                <w:szCs w:val="20"/>
                <w:color w:val="auto"/>
              </w:rPr>
            </w:pPr>
            <w:r>
              <w:rPr>
                <w:rFonts w:ascii="Arial" w:cs="Arial" w:eastAsia="Arial" w:hAnsi="Arial"/>
                <w:sz w:val="14"/>
                <w:szCs w:val="14"/>
                <w:b w:val="1"/>
                <w:bCs w:val="1"/>
                <w:color w:val="00AF41"/>
              </w:rPr>
              <w:t>For More</w:t>
            </w:r>
          </w:p>
        </w:tc>
        <w:tc>
          <w:tcPr>
            <w:tcW w:w="0" w:type="dxa"/>
            <w:vAlign w:val="bottom"/>
          </w:tcPr>
          <w:p>
            <w:pPr>
              <w:spacing w:after="0"/>
              <w:rPr>
                <w:sz w:val="1"/>
                <w:szCs w:val="1"/>
                <w:color w:val="auto"/>
              </w:rPr>
            </w:pPr>
          </w:p>
        </w:tc>
      </w:tr>
      <w:tr>
        <w:trPr>
          <w:trHeight w:val="185"/>
        </w:trPr>
        <w:tc>
          <w:tcPr>
            <w:tcW w:w="12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AF41"/>
              </w:rPr>
              <w:t>Element</w:t>
            </w:r>
          </w:p>
        </w:tc>
        <w:tc>
          <w:tcPr>
            <w:tcW w:w="14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00AF41"/>
              </w:rPr>
              <w:t>Type</w:t>
            </w:r>
          </w:p>
        </w:tc>
        <w:tc>
          <w:tcPr>
            <w:tcW w:w="42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00AF41"/>
              </w:rPr>
              <w:t>Considerations</w:t>
            </w:r>
          </w:p>
        </w:tc>
        <w:tc>
          <w:tcPr>
            <w:tcW w:w="3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00AF41"/>
              </w:rPr>
              <w:t>Objectives</w:t>
            </w: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00AF41"/>
              </w:rPr>
              <w:t>Information</w:t>
            </w:r>
          </w:p>
        </w:tc>
        <w:tc>
          <w:tcPr>
            <w:tcW w:w="0" w:type="dxa"/>
            <w:vAlign w:val="bottom"/>
          </w:tcPr>
          <w:p>
            <w:pPr>
              <w:spacing w:after="0"/>
              <w:rPr>
                <w:sz w:val="1"/>
                <w:szCs w:val="1"/>
                <w:color w:val="auto"/>
              </w:rPr>
            </w:pPr>
          </w:p>
        </w:tc>
      </w:tr>
      <w:tr>
        <w:trPr>
          <w:trHeight w:val="160"/>
        </w:trPr>
        <w:tc>
          <w:tcPr>
            <w:tcW w:w="1200" w:type="dxa"/>
            <w:vAlign w:val="bottom"/>
            <w:shd w:val="clear" w:color="auto" w:fill="EDEDED"/>
          </w:tcPr>
          <w:p>
            <w:pPr>
              <w:ind w:left="80"/>
              <w:spacing w:after="0" w:line="160" w:lineRule="exact"/>
              <w:rPr>
                <w:sz w:val="20"/>
                <w:szCs w:val="20"/>
                <w:color w:val="auto"/>
              </w:rPr>
            </w:pPr>
            <w:r>
              <w:rPr>
                <w:rFonts w:ascii="Arial" w:cs="Arial" w:eastAsia="Arial" w:hAnsi="Arial"/>
                <w:sz w:val="14"/>
                <w:szCs w:val="14"/>
                <w:b w:val="1"/>
                <w:bCs w:val="1"/>
                <w:color w:val="auto"/>
              </w:rPr>
              <w:t>Long Term</w:t>
            </w:r>
          </w:p>
        </w:tc>
        <w:tc>
          <w:tcPr>
            <w:tcW w:w="1420" w:type="dxa"/>
            <w:vAlign w:val="bottom"/>
          </w:tcPr>
          <w:p>
            <w:pPr>
              <w:ind w:left="100"/>
              <w:spacing w:after="0" w:line="160" w:lineRule="exact"/>
              <w:rPr>
                <w:sz w:val="20"/>
                <w:szCs w:val="20"/>
                <w:color w:val="auto"/>
              </w:rPr>
            </w:pPr>
            <w:r>
              <w:rPr>
                <w:rFonts w:ascii="Arial" w:cs="Arial" w:eastAsia="Arial" w:hAnsi="Arial"/>
                <w:sz w:val="14"/>
                <w:szCs w:val="14"/>
                <w:color w:val="auto"/>
              </w:rPr>
              <w:t>Time-Based Fixed</w:t>
            </w:r>
          </w:p>
        </w:tc>
        <w:tc>
          <w:tcPr>
            <w:tcW w:w="4240" w:type="dxa"/>
            <w:vAlign w:val="bottom"/>
            <w:shd w:val="clear" w:color="auto" w:fill="EDEDED"/>
          </w:tcPr>
          <w:p>
            <w:pPr>
              <w:spacing w:after="0"/>
              <w:rPr>
                <w:sz w:val="13"/>
                <w:szCs w:val="13"/>
                <w:color w:val="auto"/>
              </w:rPr>
            </w:pPr>
          </w:p>
        </w:tc>
        <w:tc>
          <w:tcPr>
            <w:tcW w:w="3060" w:type="dxa"/>
            <w:vAlign w:val="bottom"/>
            <w:shd w:val="clear" w:color="auto" w:fill="EDEDED"/>
          </w:tcPr>
          <w:p>
            <w:pPr>
              <w:spacing w:after="0"/>
              <w:rPr>
                <w:sz w:val="13"/>
                <w:szCs w:val="13"/>
                <w:color w:val="auto"/>
              </w:rPr>
            </w:pPr>
          </w:p>
        </w:tc>
        <w:tc>
          <w:tcPr>
            <w:tcW w:w="1100" w:type="dxa"/>
            <w:vAlign w:val="bottom"/>
            <w:vMerge w:val="restart"/>
            <w:shd w:val="clear" w:color="auto" w:fill="EDEDED"/>
          </w:tcPr>
          <w:p>
            <w:pPr>
              <w:ind w:left="100"/>
              <w:spacing w:after="0"/>
              <w:rPr>
                <w:sz w:val="20"/>
                <w:szCs w:val="20"/>
                <w:color w:val="auto"/>
              </w:rPr>
            </w:pPr>
            <w:r>
              <w:rPr>
                <w:rFonts w:ascii="Arial" w:cs="Arial" w:eastAsia="Arial" w:hAnsi="Arial"/>
                <w:sz w:val="14"/>
                <w:szCs w:val="14"/>
                <w:b w:val="1"/>
                <w:bCs w:val="1"/>
                <w:color w:val="00AF41"/>
              </w:rPr>
              <w:t>Page67</w:t>
            </w:r>
          </w:p>
        </w:tc>
        <w:tc>
          <w:tcPr>
            <w:tcW w:w="0" w:type="dxa"/>
            <w:vAlign w:val="bottom"/>
          </w:tcPr>
          <w:p>
            <w:pPr>
              <w:spacing w:after="0"/>
              <w:rPr>
                <w:sz w:val="1"/>
                <w:szCs w:val="1"/>
                <w:color w:val="auto"/>
              </w:rPr>
            </w:pPr>
          </w:p>
        </w:tc>
      </w:tr>
      <w:tr>
        <w:trPr>
          <w:trHeight w:val="185"/>
        </w:trPr>
        <w:tc>
          <w:tcPr>
            <w:tcW w:w="1200" w:type="dxa"/>
            <w:vAlign w:val="bottom"/>
            <w:shd w:val="clear" w:color="auto" w:fill="EDEDED"/>
          </w:tcPr>
          <w:p>
            <w:pPr>
              <w:ind w:left="80"/>
              <w:spacing w:after="0"/>
              <w:rPr>
                <w:sz w:val="20"/>
                <w:szCs w:val="20"/>
                <w:color w:val="auto"/>
              </w:rPr>
            </w:pPr>
            <w:r>
              <w:rPr>
                <w:rFonts w:ascii="Arial" w:cs="Arial" w:eastAsia="Arial" w:hAnsi="Arial"/>
                <w:sz w:val="14"/>
                <w:szCs w:val="14"/>
                <w:b w:val="1"/>
                <w:bCs w:val="1"/>
                <w:color w:val="auto"/>
              </w:rPr>
              <w:t>Incentives</w:t>
            </w:r>
          </w:p>
        </w:tc>
        <w:tc>
          <w:tcPr>
            <w:tcW w:w="1420" w:type="dxa"/>
            <w:vAlign w:val="bottom"/>
          </w:tcPr>
          <w:p>
            <w:pPr>
              <w:ind w:left="100"/>
              <w:spacing w:after="0"/>
              <w:rPr>
                <w:sz w:val="20"/>
                <w:szCs w:val="20"/>
                <w:color w:val="auto"/>
              </w:rPr>
            </w:pPr>
            <w:r>
              <w:rPr>
                <w:rFonts w:ascii="Arial" w:cs="Arial" w:eastAsia="Arial" w:hAnsi="Arial"/>
                <w:sz w:val="14"/>
                <w:szCs w:val="14"/>
                <w:color w:val="auto"/>
              </w:rPr>
              <w:t>Compensation</w:t>
            </w:r>
          </w:p>
        </w:tc>
        <w:tc>
          <w:tcPr>
            <w:tcW w:w="4240" w:type="dxa"/>
            <w:vAlign w:val="bottom"/>
            <w:shd w:val="clear" w:color="auto" w:fill="EDEDED"/>
          </w:tcPr>
          <w:p>
            <w:pPr>
              <w:ind w:left="140"/>
              <w:spacing w:after="0"/>
              <w:rPr>
                <w:sz w:val="20"/>
                <w:szCs w:val="20"/>
                <w:color w:val="auto"/>
              </w:rPr>
            </w:pPr>
            <w:r>
              <w:rPr>
                <w:rFonts w:ascii="Arial" w:cs="Arial" w:eastAsia="Arial" w:hAnsi="Arial"/>
                <w:sz w:val="16"/>
                <w:szCs w:val="16"/>
                <w:b w:val="1"/>
                <w:bCs w:val="1"/>
                <w:color w:val="auto"/>
              </w:rPr>
              <w:t>Restricted Stock</w:t>
            </w:r>
          </w:p>
        </w:tc>
        <w:tc>
          <w:tcPr>
            <w:tcW w:w="3060" w:type="dxa"/>
            <w:vAlign w:val="bottom"/>
            <w:shd w:val="clear" w:color="auto" w:fill="EDEDED"/>
          </w:tcPr>
          <w:p>
            <w:pPr>
              <w:spacing w:after="0"/>
              <w:rPr>
                <w:sz w:val="16"/>
                <w:szCs w:val="16"/>
                <w:color w:val="auto"/>
              </w:rPr>
            </w:pPr>
          </w:p>
        </w:tc>
        <w:tc>
          <w:tcPr>
            <w:tcW w:w="1100" w:type="dxa"/>
            <w:vAlign w:val="bottom"/>
            <w:vMerge w:val="continue"/>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200" w:type="dxa"/>
            <w:vAlign w:val="bottom"/>
            <w:shd w:val="clear" w:color="auto" w:fill="EDEDED"/>
          </w:tcPr>
          <w:p>
            <w:pPr>
              <w:ind w:left="80"/>
              <w:spacing w:after="0" w:line="102" w:lineRule="exact"/>
              <w:rPr>
                <w:sz w:val="20"/>
                <w:szCs w:val="20"/>
                <w:color w:val="auto"/>
              </w:rPr>
            </w:pPr>
            <w:r>
              <w:rPr>
                <w:rFonts w:ascii="Arial" w:cs="Arial" w:eastAsia="Arial" w:hAnsi="Arial"/>
                <w:sz w:val="11"/>
                <w:szCs w:val="11"/>
                <w:b w:val="1"/>
                <w:bCs w:val="1"/>
                <w:color w:val="auto"/>
              </w:rPr>
              <w:t>(LTI)</w:t>
            </w:r>
          </w:p>
        </w:tc>
        <w:tc>
          <w:tcPr>
            <w:tcW w:w="1420" w:type="dxa"/>
            <w:vAlign w:val="bottom"/>
          </w:tcPr>
          <w:p>
            <w:pPr>
              <w:spacing w:after="0"/>
              <w:rPr>
                <w:sz w:val="10"/>
                <w:szCs w:val="10"/>
                <w:color w:val="auto"/>
              </w:rPr>
            </w:pPr>
          </w:p>
        </w:tc>
        <w:tc>
          <w:tcPr>
            <w:tcW w:w="4240" w:type="dxa"/>
            <w:vAlign w:val="bottom"/>
            <w:shd w:val="clear" w:color="auto" w:fill="EDEDED"/>
          </w:tcPr>
          <w:p>
            <w:pPr>
              <w:spacing w:after="0"/>
              <w:rPr>
                <w:sz w:val="10"/>
                <w:szCs w:val="10"/>
                <w:color w:val="auto"/>
              </w:rPr>
            </w:pPr>
          </w:p>
        </w:tc>
        <w:tc>
          <w:tcPr>
            <w:tcW w:w="3060" w:type="dxa"/>
            <w:vAlign w:val="bottom"/>
            <w:shd w:val="clear" w:color="auto" w:fill="EDEDED"/>
          </w:tcPr>
          <w:p>
            <w:pPr>
              <w:spacing w:after="0"/>
              <w:rPr>
                <w:sz w:val="10"/>
                <w:szCs w:val="10"/>
                <w:color w:val="auto"/>
              </w:rPr>
            </w:pPr>
          </w:p>
        </w:tc>
        <w:tc>
          <w:tcPr>
            <w:tcW w:w="110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200" w:type="dxa"/>
            <w:vAlign w:val="bottom"/>
            <w:shd w:val="clear" w:color="auto" w:fill="EDEDED"/>
          </w:tcPr>
          <w:p>
            <w:pPr>
              <w:spacing w:after="0"/>
              <w:rPr>
                <w:sz w:val="13"/>
                <w:szCs w:val="13"/>
                <w:color w:val="auto"/>
              </w:rPr>
            </w:pPr>
          </w:p>
        </w:tc>
        <w:tc>
          <w:tcPr>
            <w:tcW w:w="1420" w:type="dxa"/>
            <w:vAlign w:val="bottom"/>
          </w:tcPr>
          <w:p>
            <w:pPr>
              <w:spacing w:after="0"/>
              <w:rPr>
                <w:sz w:val="13"/>
                <w:szCs w:val="13"/>
                <w:color w:val="auto"/>
              </w:rPr>
            </w:pPr>
          </w:p>
        </w:tc>
        <w:tc>
          <w:tcPr>
            <w:tcW w:w="4240" w:type="dxa"/>
            <w:vAlign w:val="bottom"/>
          </w:tcPr>
          <w:p>
            <w:pPr>
              <w:ind w:left="140"/>
              <w:spacing w:after="0" w:line="153" w:lineRule="exact"/>
              <w:rPr>
                <w:sz w:val="20"/>
                <w:szCs w:val="20"/>
                <w:color w:val="auto"/>
              </w:rPr>
            </w:pPr>
            <w:r>
              <w:rPr>
                <w:rFonts w:ascii="Arial" w:cs="Arial" w:eastAsia="Arial" w:hAnsi="Arial"/>
                <w:sz w:val="14"/>
                <w:szCs w:val="14"/>
                <w:color w:val="auto"/>
              </w:rPr>
              <w:t>•   Accounts for 25% of total LTI award opportunity</w:t>
            </w:r>
          </w:p>
        </w:tc>
        <w:tc>
          <w:tcPr>
            <w:tcW w:w="3060" w:type="dxa"/>
            <w:vAlign w:val="bottom"/>
          </w:tcPr>
          <w:p>
            <w:pPr>
              <w:ind w:left="40"/>
              <w:spacing w:after="0" w:line="153" w:lineRule="exact"/>
              <w:rPr>
                <w:sz w:val="20"/>
                <w:szCs w:val="20"/>
                <w:color w:val="auto"/>
              </w:rPr>
            </w:pPr>
            <w:r>
              <w:rPr>
                <w:rFonts w:ascii="Arial" w:cs="Arial" w:eastAsia="Arial" w:hAnsi="Arial"/>
                <w:sz w:val="14"/>
                <w:szCs w:val="14"/>
                <w:color w:val="auto"/>
              </w:rPr>
              <w:t>•   Align interests of senior officers and</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EDEDED"/>
          </w:tcPr>
          <w:p>
            <w:pPr>
              <w:spacing w:after="0"/>
              <w:rPr>
                <w:sz w:val="14"/>
                <w:szCs w:val="14"/>
                <w:color w:val="auto"/>
              </w:rPr>
            </w:pPr>
          </w:p>
        </w:tc>
        <w:tc>
          <w:tcPr>
            <w:tcW w:w="142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4"/>
                <w:szCs w:val="14"/>
                <w:color w:val="auto"/>
              </w:rPr>
              <w:t>•   Shares vest ratably over four years</w:t>
            </w:r>
          </w:p>
        </w:tc>
        <w:tc>
          <w:tcPr>
            <w:tcW w:w="3060" w:type="dxa"/>
            <w:vAlign w:val="bottom"/>
          </w:tcPr>
          <w:p>
            <w:pPr>
              <w:ind w:left="200"/>
              <w:spacing w:after="0"/>
              <w:rPr>
                <w:sz w:val="20"/>
                <w:szCs w:val="20"/>
                <w:color w:val="auto"/>
              </w:rPr>
            </w:pPr>
            <w:r>
              <w:rPr>
                <w:rFonts w:ascii="Arial" w:cs="Arial" w:eastAsia="Arial" w:hAnsi="Arial"/>
                <w:sz w:val="14"/>
                <w:szCs w:val="14"/>
                <w:color w:val="auto"/>
              </w:rPr>
              <w:t>shareholders</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EDEDED"/>
          </w:tcPr>
          <w:p>
            <w:pPr>
              <w:spacing w:after="0"/>
              <w:rPr>
                <w:sz w:val="14"/>
                <w:szCs w:val="14"/>
                <w:color w:val="auto"/>
              </w:rPr>
            </w:pPr>
          </w:p>
        </w:tc>
        <w:tc>
          <w:tcPr>
            <w:tcW w:w="14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060" w:type="dxa"/>
            <w:vAlign w:val="bottom"/>
          </w:tcPr>
          <w:p>
            <w:pPr>
              <w:ind w:left="40"/>
              <w:spacing w:after="0"/>
              <w:rPr>
                <w:sz w:val="20"/>
                <w:szCs w:val="20"/>
                <w:color w:val="auto"/>
              </w:rPr>
            </w:pPr>
            <w:r>
              <w:rPr>
                <w:rFonts w:ascii="Arial" w:cs="Arial" w:eastAsia="Arial" w:hAnsi="Arial"/>
                <w:sz w:val="14"/>
                <w:szCs w:val="14"/>
                <w:color w:val="auto"/>
              </w:rPr>
              <w:t>•   Support retention</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0" w:type="dxa"/>
            <w:vAlign w:val="bottom"/>
            <w:shd w:val="clear" w:color="auto" w:fill="EDEDED"/>
          </w:tcPr>
          <w:p>
            <w:pPr>
              <w:spacing w:after="0"/>
              <w:rPr>
                <w:sz w:val="16"/>
                <w:szCs w:val="16"/>
                <w:color w:val="auto"/>
              </w:rPr>
            </w:pPr>
          </w:p>
        </w:tc>
        <w:tc>
          <w:tcPr>
            <w:tcW w:w="14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3060" w:type="dxa"/>
            <w:vAlign w:val="bottom"/>
          </w:tcPr>
          <w:p>
            <w:pPr>
              <w:ind w:left="40"/>
              <w:spacing w:after="0"/>
              <w:rPr>
                <w:sz w:val="20"/>
                <w:szCs w:val="20"/>
                <w:color w:val="auto"/>
              </w:rPr>
            </w:pPr>
            <w:r>
              <w:rPr>
                <w:rFonts w:ascii="Arial" w:cs="Arial" w:eastAsia="Arial" w:hAnsi="Arial"/>
                <w:sz w:val="14"/>
                <w:szCs w:val="14"/>
                <w:color w:val="auto"/>
              </w:rPr>
              <w:t>•   Support meaningful stock ownership</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00" w:type="dxa"/>
            <w:vAlign w:val="bottom"/>
            <w:tcBorders>
              <w:bottom w:val="single" w:sz="8" w:color="EDEDED"/>
            </w:tcBorders>
            <w:shd w:val="clear" w:color="auto" w:fill="EDEDED"/>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4240" w:type="dxa"/>
            <w:vAlign w:val="bottom"/>
            <w:tcBorders>
              <w:bottom w:val="single" w:sz="8" w:color="auto"/>
            </w:tcBorders>
          </w:tcPr>
          <w:p>
            <w:pPr>
              <w:spacing w:after="0"/>
              <w:rPr>
                <w:sz w:val="5"/>
                <w:szCs w:val="5"/>
                <w:color w:val="auto"/>
              </w:rPr>
            </w:pPr>
          </w:p>
        </w:tc>
        <w:tc>
          <w:tcPr>
            <w:tcW w:w="30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200" w:type="dxa"/>
            <w:vAlign w:val="bottom"/>
            <w:shd w:val="clear" w:color="auto" w:fill="EDEDED"/>
          </w:tcPr>
          <w:p>
            <w:pPr>
              <w:spacing w:after="0"/>
              <w:rPr>
                <w:sz w:val="12"/>
                <w:szCs w:val="12"/>
                <w:color w:val="auto"/>
              </w:rPr>
            </w:pPr>
          </w:p>
        </w:tc>
        <w:tc>
          <w:tcPr>
            <w:tcW w:w="1420" w:type="dxa"/>
            <w:vAlign w:val="bottom"/>
          </w:tcPr>
          <w:p>
            <w:pPr>
              <w:ind w:left="100"/>
              <w:spacing w:after="0" w:line="147" w:lineRule="exact"/>
              <w:rPr>
                <w:sz w:val="20"/>
                <w:szCs w:val="20"/>
                <w:color w:val="auto"/>
              </w:rPr>
            </w:pPr>
            <w:r>
              <w:rPr>
                <w:rFonts w:ascii="Arial" w:cs="Arial" w:eastAsia="Arial" w:hAnsi="Arial"/>
                <w:sz w:val="14"/>
                <w:szCs w:val="14"/>
                <w:color w:val="auto"/>
              </w:rPr>
              <w:t>Variable At-Risk</w:t>
            </w:r>
          </w:p>
        </w:tc>
        <w:tc>
          <w:tcPr>
            <w:tcW w:w="4240" w:type="dxa"/>
            <w:vAlign w:val="bottom"/>
            <w:shd w:val="clear" w:color="auto" w:fill="EDEDED"/>
          </w:tcPr>
          <w:p>
            <w:pPr>
              <w:spacing w:after="0"/>
              <w:rPr>
                <w:sz w:val="12"/>
                <w:szCs w:val="12"/>
                <w:color w:val="auto"/>
              </w:rPr>
            </w:pPr>
          </w:p>
        </w:tc>
        <w:tc>
          <w:tcPr>
            <w:tcW w:w="3060" w:type="dxa"/>
            <w:vAlign w:val="bottom"/>
            <w:shd w:val="clear" w:color="auto" w:fill="EDEDED"/>
          </w:tcPr>
          <w:p>
            <w:pPr>
              <w:spacing w:after="0"/>
              <w:rPr>
                <w:sz w:val="12"/>
                <w:szCs w:val="12"/>
                <w:color w:val="auto"/>
              </w:rPr>
            </w:pPr>
          </w:p>
        </w:tc>
        <w:tc>
          <w:tcPr>
            <w:tcW w:w="1100" w:type="dxa"/>
            <w:vAlign w:val="bottom"/>
            <w:vMerge w:val="restart"/>
            <w:shd w:val="clear" w:color="auto" w:fill="EDEDED"/>
          </w:tcPr>
          <w:p>
            <w:pPr>
              <w:ind w:left="100"/>
              <w:spacing w:after="0"/>
              <w:rPr>
                <w:sz w:val="20"/>
                <w:szCs w:val="20"/>
                <w:color w:val="auto"/>
              </w:rPr>
            </w:pPr>
            <w:r>
              <w:rPr>
                <w:rFonts w:ascii="Arial" w:cs="Arial" w:eastAsia="Arial" w:hAnsi="Arial"/>
                <w:sz w:val="14"/>
                <w:szCs w:val="14"/>
                <w:b w:val="1"/>
                <w:bCs w:val="1"/>
                <w:color w:val="00AF41"/>
              </w:rPr>
              <w:t>Page65</w:t>
            </w:r>
          </w:p>
        </w:tc>
        <w:tc>
          <w:tcPr>
            <w:tcW w:w="0" w:type="dxa"/>
            <w:vAlign w:val="bottom"/>
          </w:tcPr>
          <w:p>
            <w:pPr>
              <w:spacing w:after="0"/>
              <w:rPr>
                <w:sz w:val="1"/>
                <w:szCs w:val="1"/>
                <w:color w:val="auto"/>
              </w:rPr>
            </w:pPr>
          </w:p>
        </w:tc>
      </w:tr>
      <w:tr>
        <w:trPr>
          <w:trHeight w:val="185"/>
        </w:trPr>
        <w:tc>
          <w:tcPr>
            <w:tcW w:w="1200" w:type="dxa"/>
            <w:vAlign w:val="bottom"/>
            <w:shd w:val="clear" w:color="auto" w:fill="EDEDED"/>
          </w:tcPr>
          <w:p>
            <w:pPr>
              <w:spacing w:after="0"/>
              <w:rPr>
                <w:sz w:val="16"/>
                <w:szCs w:val="16"/>
                <w:color w:val="auto"/>
              </w:rPr>
            </w:pPr>
          </w:p>
        </w:tc>
        <w:tc>
          <w:tcPr>
            <w:tcW w:w="1420" w:type="dxa"/>
            <w:vAlign w:val="bottom"/>
          </w:tcPr>
          <w:p>
            <w:pPr>
              <w:ind w:left="100"/>
              <w:spacing w:after="0"/>
              <w:rPr>
                <w:sz w:val="20"/>
                <w:szCs w:val="20"/>
                <w:color w:val="auto"/>
              </w:rPr>
            </w:pPr>
            <w:r>
              <w:rPr>
                <w:rFonts w:ascii="Arial" w:cs="Arial" w:eastAsia="Arial" w:hAnsi="Arial"/>
                <w:sz w:val="14"/>
                <w:szCs w:val="14"/>
                <w:color w:val="auto"/>
              </w:rPr>
              <w:t>Performance-</w:t>
            </w:r>
          </w:p>
        </w:tc>
        <w:tc>
          <w:tcPr>
            <w:tcW w:w="4240" w:type="dxa"/>
            <w:vAlign w:val="bottom"/>
            <w:shd w:val="clear" w:color="auto" w:fill="EDEDED"/>
          </w:tcPr>
          <w:p>
            <w:pPr>
              <w:ind w:left="140"/>
              <w:spacing w:after="0"/>
              <w:rPr>
                <w:sz w:val="20"/>
                <w:szCs w:val="20"/>
                <w:color w:val="auto"/>
              </w:rPr>
            </w:pPr>
            <w:r>
              <w:rPr>
                <w:rFonts w:ascii="Arial" w:cs="Arial" w:eastAsia="Arial" w:hAnsi="Arial"/>
                <w:sz w:val="16"/>
                <w:szCs w:val="16"/>
                <w:b w:val="1"/>
                <w:bCs w:val="1"/>
                <w:color w:val="auto"/>
              </w:rPr>
              <w:t>Performance Shares</w:t>
            </w:r>
          </w:p>
        </w:tc>
        <w:tc>
          <w:tcPr>
            <w:tcW w:w="3060" w:type="dxa"/>
            <w:vAlign w:val="bottom"/>
            <w:shd w:val="clear" w:color="auto" w:fill="EDEDED"/>
          </w:tcPr>
          <w:p>
            <w:pPr>
              <w:spacing w:after="0"/>
              <w:rPr>
                <w:sz w:val="16"/>
                <w:szCs w:val="16"/>
                <w:color w:val="auto"/>
              </w:rPr>
            </w:pPr>
          </w:p>
        </w:tc>
        <w:tc>
          <w:tcPr>
            <w:tcW w:w="1100" w:type="dxa"/>
            <w:vAlign w:val="bottom"/>
            <w:vMerge w:val="continue"/>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00" w:type="dxa"/>
            <w:vAlign w:val="bottom"/>
            <w:shd w:val="clear" w:color="auto" w:fill="EDEDED"/>
          </w:tcPr>
          <w:p>
            <w:pPr>
              <w:spacing w:after="0"/>
              <w:rPr>
                <w:sz w:val="10"/>
                <w:szCs w:val="10"/>
                <w:color w:val="auto"/>
              </w:rPr>
            </w:pPr>
          </w:p>
        </w:tc>
        <w:tc>
          <w:tcPr>
            <w:tcW w:w="1420" w:type="dxa"/>
            <w:vAlign w:val="bottom"/>
          </w:tcPr>
          <w:p>
            <w:pPr>
              <w:ind w:left="100"/>
              <w:spacing w:after="0" w:line="102" w:lineRule="exact"/>
              <w:rPr>
                <w:sz w:val="20"/>
                <w:szCs w:val="20"/>
                <w:color w:val="auto"/>
              </w:rPr>
            </w:pPr>
            <w:r>
              <w:rPr>
                <w:rFonts w:ascii="Arial" w:cs="Arial" w:eastAsia="Arial" w:hAnsi="Arial"/>
                <w:sz w:val="11"/>
                <w:szCs w:val="11"/>
                <w:color w:val="auto"/>
              </w:rPr>
              <w:t>Based</w:t>
            </w:r>
          </w:p>
        </w:tc>
        <w:tc>
          <w:tcPr>
            <w:tcW w:w="4240" w:type="dxa"/>
            <w:vAlign w:val="bottom"/>
            <w:shd w:val="clear" w:color="auto" w:fill="EDEDED"/>
          </w:tcPr>
          <w:p>
            <w:pPr>
              <w:spacing w:after="0"/>
              <w:rPr>
                <w:sz w:val="10"/>
                <w:szCs w:val="10"/>
                <w:color w:val="auto"/>
              </w:rPr>
            </w:pPr>
          </w:p>
        </w:tc>
        <w:tc>
          <w:tcPr>
            <w:tcW w:w="3060" w:type="dxa"/>
            <w:vAlign w:val="bottom"/>
            <w:shd w:val="clear" w:color="auto" w:fill="EDEDED"/>
          </w:tcPr>
          <w:p>
            <w:pPr>
              <w:spacing w:after="0"/>
              <w:rPr>
                <w:sz w:val="10"/>
                <w:szCs w:val="10"/>
                <w:color w:val="auto"/>
              </w:rPr>
            </w:pPr>
          </w:p>
        </w:tc>
        <w:tc>
          <w:tcPr>
            <w:tcW w:w="1100" w:type="dxa"/>
            <w:vAlign w:val="bottom"/>
            <w:shd w:val="clear" w:color="auto" w:fill="EDEDED"/>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EDEDED"/>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4"/>
                <w:szCs w:val="14"/>
                <w:color w:val="auto"/>
              </w:rPr>
              <w:t>Compensation</w:t>
            </w:r>
          </w:p>
        </w:tc>
        <w:tc>
          <w:tcPr>
            <w:tcW w:w="4240" w:type="dxa"/>
            <w:vAlign w:val="bottom"/>
          </w:tcPr>
          <w:p>
            <w:pPr>
              <w:ind w:left="140"/>
              <w:spacing w:after="0"/>
              <w:rPr>
                <w:sz w:val="20"/>
                <w:szCs w:val="20"/>
                <w:color w:val="auto"/>
              </w:rPr>
            </w:pPr>
            <w:r>
              <w:rPr>
                <w:rFonts w:ascii="Arial" w:cs="Arial" w:eastAsia="Arial" w:hAnsi="Arial"/>
                <w:sz w:val="14"/>
                <w:szCs w:val="14"/>
                <w:color w:val="auto"/>
              </w:rPr>
              <w:t>•   Accounts for 75% of total LTI award opportunity</w:t>
            </w:r>
          </w:p>
        </w:tc>
        <w:tc>
          <w:tcPr>
            <w:tcW w:w="3060" w:type="dxa"/>
            <w:vAlign w:val="bottom"/>
          </w:tcPr>
          <w:p>
            <w:pPr>
              <w:ind w:left="40"/>
              <w:spacing w:after="0"/>
              <w:rPr>
                <w:sz w:val="20"/>
                <w:szCs w:val="20"/>
                <w:color w:val="auto"/>
              </w:rPr>
            </w:pPr>
            <w:r>
              <w:rPr>
                <w:rFonts w:ascii="Arial" w:cs="Arial" w:eastAsia="Arial" w:hAnsi="Arial"/>
                <w:sz w:val="14"/>
                <w:szCs w:val="14"/>
                <w:color w:val="auto"/>
              </w:rPr>
              <w:t>•   Drive long-term value creation for</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200" w:type="dxa"/>
            <w:vAlign w:val="bottom"/>
            <w:shd w:val="clear" w:color="auto" w:fill="EDEDED"/>
          </w:tcPr>
          <w:p>
            <w:pPr>
              <w:spacing w:after="0"/>
              <w:rPr>
                <w:sz w:val="13"/>
                <w:szCs w:val="13"/>
                <w:color w:val="auto"/>
              </w:rPr>
            </w:pPr>
          </w:p>
        </w:tc>
        <w:tc>
          <w:tcPr>
            <w:tcW w:w="1420" w:type="dxa"/>
            <w:vAlign w:val="bottom"/>
          </w:tcPr>
          <w:p>
            <w:pPr>
              <w:spacing w:after="0"/>
              <w:rPr>
                <w:sz w:val="13"/>
                <w:szCs w:val="13"/>
                <w:color w:val="auto"/>
              </w:rPr>
            </w:pPr>
          </w:p>
        </w:tc>
        <w:tc>
          <w:tcPr>
            <w:tcW w:w="4240" w:type="dxa"/>
            <w:vAlign w:val="bottom"/>
          </w:tcPr>
          <w:p>
            <w:pPr>
              <w:ind w:left="140"/>
              <w:spacing w:after="0" w:line="153" w:lineRule="exact"/>
              <w:rPr>
                <w:sz w:val="20"/>
                <w:szCs w:val="20"/>
                <w:color w:val="auto"/>
              </w:rPr>
            </w:pPr>
            <w:r>
              <w:rPr>
                <w:rFonts w:ascii="Arial" w:cs="Arial" w:eastAsia="Arial" w:hAnsi="Arial"/>
                <w:sz w:val="14"/>
                <w:szCs w:val="14"/>
                <w:color w:val="auto"/>
              </w:rPr>
              <w:t>•   Provides opportunity to earn shares based on achievement</w:t>
            </w:r>
          </w:p>
        </w:tc>
        <w:tc>
          <w:tcPr>
            <w:tcW w:w="3060" w:type="dxa"/>
            <w:vAlign w:val="bottom"/>
          </w:tcPr>
          <w:p>
            <w:pPr>
              <w:ind w:left="200"/>
              <w:spacing w:after="0" w:line="153" w:lineRule="exact"/>
              <w:rPr>
                <w:sz w:val="20"/>
                <w:szCs w:val="20"/>
                <w:color w:val="auto"/>
              </w:rPr>
            </w:pPr>
            <w:r>
              <w:rPr>
                <w:rFonts w:ascii="Arial" w:cs="Arial" w:eastAsia="Arial" w:hAnsi="Arial"/>
                <w:sz w:val="14"/>
                <w:szCs w:val="14"/>
                <w:color w:val="auto"/>
              </w:rPr>
              <w:t>shareholders</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EDEDED"/>
          </w:tcPr>
          <w:p>
            <w:pPr>
              <w:spacing w:after="0"/>
              <w:rPr>
                <w:sz w:val="14"/>
                <w:szCs w:val="14"/>
                <w:color w:val="auto"/>
              </w:rPr>
            </w:pPr>
          </w:p>
        </w:tc>
        <w:tc>
          <w:tcPr>
            <w:tcW w:w="1420" w:type="dxa"/>
            <w:vAlign w:val="bottom"/>
          </w:tcPr>
          <w:p>
            <w:pPr>
              <w:spacing w:after="0"/>
              <w:rPr>
                <w:sz w:val="14"/>
                <w:szCs w:val="14"/>
                <w:color w:val="auto"/>
              </w:rPr>
            </w:pPr>
          </w:p>
        </w:tc>
        <w:tc>
          <w:tcPr>
            <w:tcW w:w="4240" w:type="dxa"/>
            <w:vAlign w:val="bottom"/>
          </w:tcPr>
          <w:p>
            <w:pPr>
              <w:ind w:left="280"/>
              <w:spacing w:after="0"/>
              <w:rPr>
                <w:sz w:val="20"/>
                <w:szCs w:val="20"/>
                <w:color w:val="auto"/>
              </w:rPr>
            </w:pPr>
            <w:r>
              <w:rPr>
                <w:rFonts w:ascii="Arial" w:cs="Arial" w:eastAsia="Arial" w:hAnsi="Arial"/>
                <w:sz w:val="14"/>
                <w:szCs w:val="14"/>
                <w:color w:val="auto"/>
              </w:rPr>
              <w:t>of multiple specific performance goals</w:t>
            </w:r>
          </w:p>
        </w:tc>
        <w:tc>
          <w:tcPr>
            <w:tcW w:w="3060" w:type="dxa"/>
            <w:vAlign w:val="bottom"/>
          </w:tcPr>
          <w:p>
            <w:pPr>
              <w:ind w:left="40"/>
              <w:spacing w:after="0"/>
              <w:rPr>
                <w:sz w:val="20"/>
                <w:szCs w:val="20"/>
                <w:color w:val="auto"/>
              </w:rPr>
            </w:pPr>
            <w:r>
              <w:rPr>
                <w:rFonts w:ascii="Arial" w:cs="Arial" w:eastAsia="Arial" w:hAnsi="Arial"/>
                <w:sz w:val="14"/>
                <w:szCs w:val="14"/>
                <w:color w:val="auto"/>
              </w:rPr>
              <w:t>•   Motivate and reward senior officers for</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EDEDED"/>
          </w:tcPr>
          <w:p>
            <w:pPr>
              <w:spacing w:after="0"/>
              <w:rPr>
                <w:sz w:val="14"/>
                <w:szCs w:val="14"/>
                <w:color w:val="auto"/>
              </w:rPr>
            </w:pPr>
          </w:p>
        </w:tc>
        <w:tc>
          <w:tcPr>
            <w:tcW w:w="1420" w:type="dxa"/>
            <w:vAlign w:val="bottom"/>
          </w:tcPr>
          <w:p>
            <w:pPr>
              <w:spacing w:after="0"/>
              <w:rPr>
                <w:sz w:val="14"/>
                <w:szCs w:val="14"/>
                <w:color w:val="auto"/>
              </w:rPr>
            </w:pPr>
          </w:p>
        </w:tc>
        <w:tc>
          <w:tcPr>
            <w:tcW w:w="4240" w:type="dxa"/>
            <w:vAlign w:val="bottom"/>
          </w:tcPr>
          <w:p>
            <w:pPr>
              <w:ind w:left="140"/>
              <w:spacing w:after="0"/>
              <w:rPr>
                <w:sz w:val="20"/>
                <w:szCs w:val="20"/>
                <w:color w:val="auto"/>
              </w:rPr>
            </w:pPr>
            <w:r>
              <w:rPr>
                <w:rFonts w:ascii="Arial" w:cs="Arial" w:eastAsia="Arial" w:hAnsi="Arial"/>
                <w:sz w:val="14"/>
                <w:szCs w:val="14"/>
                <w:color w:val="auto"/>
              </w:rPr>
              <w:t>•   Given the continued complexity of goal setting in the current</w:t>
            </w:r>
          </w:p>
        </w:tc>
        <w:tc>
          <w:tcPr>
            <w:tcW w:w="3060" w:type="dxa"/>
            <w:vAlign w:val="bottom"/>
          </w:tcPr>
          <w:p>
            <w:pPr>
              <w:ind w:left="200"/>
              <w:spacing w:after="0"/>
              <w:rPr>
                <w:sz w:val="20"/>
                <w:szCs w:val="20"/>
                <w:color w:val="auto"/>
              </w:rPr>
            </w:pPr>
            <w:r>
              <w:rPr>
                <w:rFonts w:ascii="Arial" w:cs="Arial" w:eastAsia="Arial" w:hAnsi="Arial"/>
                <w:sz w:val="14"/>
                <w:szCs w:val="14"/>
                <w:color w:val="auto"/>
              </w:rPr>
              <w:t>achievement of strategic business</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EDEDED"/>
          </w:tcPr>
          <w:p>
            <w:pPr>
              <w:spacing w:after="0"/>
              <w:rPr>
                <w:sz w:val="14"/>
                <w:szCs w:val="14"/>
                <w:color w:val="auto"/>
              </w:rPr>
            </w:pPr>
          </w:p>
        </w:tc>
        <w:tc>
          <w:tcPr>
            <w:tcW w:w="1420" w:type="dxa"/>
            <w:vAlign w:val="bottom"/>
          </w:tcPr>
          <w:p>
            <w:pPr>
              <w:spacing w:after="0"/>
              <w:rPr>
                <w:sz w:val="14"/>
                <w:szCs w:val="14"/>
                <w:color w:val="auto"/>
              </w:rPr>
            </w:pPr>
          </w:p>
        </w:tc>
        <w:tc>
          <w:tcPr>
            <w:tcW w:w="4240" w:type="dxa"/>
            <w:vAlign w:val="bottom"/>
          </w:tcPr>
          <w:p>
            <w:pPr>
              <w:ind w:left="280"/>
              <w:spacing w:after="0"/>
              <w:rPr>
                <w:sz w:val="20"/>
                <w:szCs w:val="20"/>
                <w:color w:val="auto"/>
              </w:rPr>
            </w:pPr>
            <w:r>
              <w:rPr>
                <w:rFonts w:ascii="Arial" w:cs="Arial" w:eastAsia="Arial" w:hAnsi="Arial"/>
                <w:sz w:val="14"/>
                <w:szCs w:val="14"/>
                <w:color w:val="auto"/>
              </w:rPr>
              <w:t>business environment, financial measures for 2022-2024 LTI</w:t>
            </w:r>
          </w:p>
        </w:tc>
        <w:tc>
          <w:tcPr>
            <w:tcW w:w="3060" w:type="dxa"/>
            <w:vAlign w:val="bottom"/>
          </w:tcPr>
          <w:p>
            <w:pPr>
              <w:ind w:left="200"/>
              <w:spacing w:after="0"/>
              <w:rPr>
                <w:sz w:val="20"/>
                <w:szCs w:val="20"/>
                <w:color w:val="auto"/>
              </w:rPr>
            </w:pPr>
            <w:r>
              <w:rPr>
                <w:rFonts w:ascii="Arial" w:cs="Arial" w:eastAsia="Arial" w:hAnsi="Arial"/>
                <w:sz w:val="14"/>
                <w:szCs w:val="14"/>
                <w:color w:val="auto"/>
              </w:rPr>
              <w:t>objectives over a three-year period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EDEDED"/>
          </w:tcPr>
          <w:p>
            <w:pPr>
              <w:spacing w:after="0"/>
              <w:rPr>
                <w:sz w:val="14"/>
                <w:szCs w:val="14"/>
                <w:color w:val="auto"/>
              </w:rPr>
            </w:pPr>
          </w:p>
        </w:tc>
        <w:tc>
          <w:tcPr>
            <w:tcW w:w="1420" w:type="dxa"/>
            <w:vAlign w:val="bottom"/>
          </w:tcPr>
          <w:p>
            <w:pPr>
              <w:spacing w:after="0"/>
              <w:rPr>
                <w:sz w:val="14"/>
                <w:szCs w:val="14"/>
                <w:color w:val="auto"/>
              </w:rPr>
            </w:pPr>
          </w:p>
        </w:tc>
        <w:tc>
          <w:tcPr>
            <w:tcW w:w="4240" w:type="dxa"/>
            <w:vAlign w:val="bottom"/>
          </w:tcPr>
          <w:p>
            <w:pPr>
              <w:ind w:left="280"/>
              <w:spacing w:after="0"/>
              <w:rPr>
                <w:sz w:val="20"/>
                <w:szCs w:val="20"/>
                <w:color w:val="auto"/>
              </w:rPr>
            </w:pPr>
            <w:r>
              <w:rPr>
                <w:rFonts w:ascii="Arial" w:cs="Arial" w:eastAsia="Arial" w:hAnsi="Arial"/>
                <w:sz w:val="14"/>
                <w:szCs w:val="14"/>
                <w:color w:val="auto"/>
              </w:rPr>
              <w:t>awards are established and assessed independently for each</w:t>
            </w:r>
          </w:p>
        </w:tc>
        <w:tc>
          <w:tcPr>
            <w:tcW w:w="3060" w:type="dxa"/>
            <w:vAlign w:val="bottom"/>
          </w:tcPr>
          <w:p>
            <w:pPr>
              <w:ind w:left="40"/>
              <w:spacing w:after="0"/>
              <w:rPr>
                <w:sz w:val="20"/>
                <w:szCs w:val="20"/>
                <w:color w:val="auto"/>
              </w:rPr>
            </w:pPr>
            <w:r>
              <w:rPr>
                <w:rFonts w:ascii="Arial" w:cs="Arial" w:eastAsia="Arial" w:hAnsi="Arial"/>
                <w:sz w:val="14"/>
                <w:szCs w:val="14"/>
                <w:color w:val="auto"/>
              </w:rPr>
              <w:t>•   Align the interests of senior officers with the</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EDEDED"/>
          </w:tcPr>
          <w:p>
            <w:pPr>
              <w:spacing w:after="0"/>
              <w:rPr>
                <w:sz w:val="14"/>
                <w:szCs w:val="14"/>
                <w:color w:val="auto"/>
              </w:rPr>
            </w:pPr>
          </w:p>
        </w:tc>
        <w:tc>
          <w:tcPr>
            <w:tcW w:w="1420" w:type="dxa"/>
            <w:vAlign w:val="bottom"/>
          </w:tcPr>
          <w:p>
            <w:pPr>
              <w:spacing w:after="0"/>
              <w:rPr>
                <w:sz w:val="14"/>
                <w:szCs w:val="14"/>
                <w:color w:val="auto"/>
              </w:rPr>
            </w:pPr>
          </w:p>
        </w:tc>
        <w:tc>
          <w:tcPr>
            <w:tcW w:w="4240" w:type="dxa"/>
            <w:vAlign w:val="bottom"/>
          </w:tcPr>
          <w:p>
            <w:pPr>
              <w:ind w:left="280"/>
              <w:spacing w:after="0"/>
              <w:rPr>
                <w:sz w:val="20"/>
                <w:szCs w:val="20"/>
                <w:color w:val="auto"/>
              </w:rPr>
            </w:pPr>
            <w:r>
              <w:rPr>
                <w:rFonts w:ascii="Arial" w:cs="Arial" w:eastAsia="Arial" w:hAnsi="Arial"/>
                <w:sz w:val="14"/>
                <w:szCs w:val="14"/>
                <w:color w:val="auto"/>
              </w:rPr>
              <w:t>of three one-year performance periods (2022, 2023, and</w:t>
            </w:r>
          </w:p>
        </w:tc>
        <w:tc>
          <w:tcPr>
            <w:tcW w:w="3060" w:type="dxa"/>
            <w:vAlign w:val="bottom"/>
          </w:tcPr>
          <w:p>
            <w:pPr>
              <w:ind w:left="200"/>
              <w:spacing w:after="0"/>
              <w:rPr>
                <w:sz w:val="20"/>
                <w:szCs w:val="20"/>
                <w:color w:val="auto"/>
              </w:rPr>
            </w:pPr>
            <w:r>
              <w:rPr>
                <w:rFonts w:ascii="Arial" w:cs="Arial" w:eastAsia="Arial" w:hAnsi="Arial"/>
                <w:sz w:val="14"/>
                <w:szCs w:val="14"/>
                <w:color w:val="auto"/>
              </w:rPr>
              <w:t>long-term interests of the Company and</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200" w:type="dxa"/>
            <w:vAlign w:val="bottom"/>
            <w:shd w:val="clear" w:color="auto" w:fill="EDEDED"/>
          </w:tcPr>
          <w:p>
            <w:pPr>
              <w:spacing w:after="0"/>
              <w:rPr>
                <w:sz w:val="16"/>
                <w:szCs w:val="16"/>
                <w:color w:val="auto"/>
              </w:rPr>
            </w:pPr>
          </w:p>
        </w:tc>
        <w:tc>
          <w:tcPr>
            <w:tcW w:w="1420" w:type="dxa"/>
            <w:vAlign w:val="bottom"/>
          </w:tcPr>
          <w:p>
            <w:pPr>
              <w:spacing w:after="0"/>
              <w:rPr>
                <w:sz w:val="16"/>
                <w:szCs w:val="16"/>
                <w:color w:val="auto"/>
              </w:rPr>
            </w:pPr>
          </w:p>
        </w:tc>
        <w:tc>
          <w:tcPr>
            <w:tcW w:w="4240" w:type="dxa"/>
            <w:vAlign w:val="bottom"/>
          </w:tcPr>
          <w:p>
            <w:pPr>
              <w:ind w:left="280"/>
              <w:spacing w:after="0"/>
              <w:rPr>
                <w:sz w:val="20"/>
                <w:szCs w:val="20"/>
                <w:color w:val="auto"/>
              </w:rPr>
            </w:pPr>
            <w:r>
              <w:rPr>
                <w:rFonts w:ascii="Arial" w:cs="Arial" w:eastAsia="Arial" w:hAnsi="Arial"/>
                <w:sz w:val="14"/>
                <w:szCs w:val="14"/>
                <w:color w:val="auto"/>
              </w:rPr>
              <w:t>2024) with goals set early in each performance period</w:t>
            </w:r>
          </w:p>
        </w:tc>
        <w:tc>
          <w:tcPr>
            <w:tcW w:w="3060" w:type="dxa"/>
            <w:vAlign w:val="bottom"/>
          </w:tcPr>
          <w:p>
            <w:pPr>
              <w:ind w:left="200"/>
              <w:spacing w:after="0"/>
              <w:rPr>
                <w:sz w:val="20"/>
                <w:szCs w:val="20"/>
                <w:color w:val="auto"/>
              </w:rPr>
            </w:pPr>
            <w:r>
              <w:rPr>
                <w:rFonts w:ascii="Arial" w:cs="Arial" w:eastAsia="Arial" w:hAnsi="Arial"/>
                <w:sz w:val="14"/>
                <w:szCs w:val="14"/>
                <w:color w:val="auto"/>
              </w:rPr>
              <w:t>shareholders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1200" w:type="dxa"/>
            <w:vAlign w:val="bottom"/>
            <w:tcBorders>
              <w:bottom w:val="single" w:sz="8" w:color="auto"/>
            </w:tcBorders>
            <w:shd w:val="clear" w:color="auto" w:fill="EDEDED"/>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4240" w:type="dxa"/>
            <w:vAlign w:val="bottom"/>
            <w:tcBorders>
              <w:bottom w:val="single" w:sz="8" w:color="auto"/>
            </w:tcBorders>
          </w:tcPr>
          <w:p>
            <w:pPr>
              <w:spacing w:after="0"/>
              <w:rPr>
                <w:sz w:val="5"/>
                <w:szCs w:val="5"/>
                <w:color w:val="auto"/>
              </w:rPr>
            </w:pPr>
          </w:p>
        </w:tc>
        <w:tc>
          <w:tcPr>
            <w:tcW w:w="30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2023 Executive Incentive Plans</w:t>
      </w:r>
    </w:p>
    <w:p>
      <w:pPr>
        <w:spacing w:after="0" w:line="111" w:lineRule="exact"/>
        <w:rPr>
          <w:sz w:val="20"/>
          <w:szCs w:val="20"/>
          <w:color w:val="auto"/>
        </w:rPr>
      </w:pPr>
    </w:p>
    <w:p>
      <w:pPr>
        <w:jc w:val="both"/>
        <w:ind w:left="120" w:right="60"/>
        <w:spacing w:after="0" w:line="266" w:lineRule="auto"/>
        <w:rPr>
          <w:sz w:val="20"/>
          <w:szCs w:val="20"/>
          <w:color w:val="auto"/>
        </w:rPr>
      </w:pPr>
      <w:r>
        <w:rPr>
          <w:rFonts w:ascii="Arial" w:cs="Arial" w:eastAsia="Arial" w:hAnsi="Arial"/>
          <w:sz w:val="16"/>
          <w:szCs w:val="16"/>
          <w:color w:val="auto"/>
        </w:rPr>
        <w:t>For the 2023 incentive plan designs, the Company continues to focus on pay-for-performance alignment by using multiple financial measures to strongly drive our key business objectives and shareholder value. Additional details regarding the 2023 incentive plan designs will be presented in our 2024 Proxy Statement.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Process for Determining Executive Compensation</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Role of the Compensation and Talent Management Committee</w:t>
      </w:r>
    </w:p>
    <w:p>
      <w:pPr>
        <w:spacing w:after="0" w:line="111" w:lineRule="exact"/>
        <w:rPr>
          <w:sz w:val="20"/>
          <w:szCs w:val="20"/>
          <w:color w:val="auto"/>
        </w:rPr>
      </w:pPr>
    </w:p>
    <w:p>
      <w:pPr>
        <w:ind w:left="120" w:right="60"/>
        <w:spacing w:after="0" w:line="251" w:lineRule="auto"/>
        <w:rPr>
          <w:sz w:val="20"/>
          <w:szCs w:val="20"/>
          <w:color w:val="auto"/>
        </w:rPr>
      </w:pPr>
      <w:r>
        <w:rPr>
          <w:rFonts w:ascii="Arial" w:cs="Arial" w:eastAsia="Arial" w:hAnsi="Arial"/>
          <w:sz w:val="16"/>
          <w:szCs w:val="16"/>
          <w:color w:val="auto"/>
        </w:rPr>
        <w:t>The Committee designs and administers the Company’s executive compensation programs and policies, including regularly reviewing the program and policy objectives, applicable new legal and regulatory practices, evolving best practices, and corporate governance trends. The Committee and members of the Board of Directors determine the compensation of the CEO. The CEO’s total compensation is the same design as the other named executive officers consisting of base salary, STIP, and LTI award opportunities. The CEO does not participate in recommendations or discussions related to his own compensation. As part of its responsibility for executive compensation, the Committee annually reviews and determines the compensation of each of our senior officers, including the named executive officers listed in the Summary Compensation Table of this Proxy Statement, based on each individual’s performance including consideration of ethical behavior, achievement of planned goals, relevant market comparisons, the recommendations of the CEO, and other factors. The Committee reviews the costs and short- and long-term benefits of the compensation arrangements it considers and approves for senior officers.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The responsibilities of the Committee are defined in its charter, which can be found on the Company’s website at </w:t>
      </w:r>
      <w:r>
        <w:rPr>
          <w:rFonts w:ascii="Arial" w:cs="Arial" w:eastAsia="Arial" w:hAnsi="Arial"/>
          <w:sz w:val="16"/>
          <w:szCs w:val="16"/>
          <w:i w:val="1"/>
          <w:iCs w:val="1"/>
          <w:color w:val="auto"/>
        </w:rPr>
        <w:t>kellyservices.com</w:t>
      </w:r>
      <w:r>
        <w:rPr>
          <w:rFonts w:ascii="Arial" w:cs="Arial" w:eastAsia="Arial" w:hAnsi="Arial"/>
          <w:sz w:val="16"/>
          <w:szCs w:val="16"/>
          <w:color w:val="auto"/>
        </w:rPr>
        <w:t>.</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Role of the Independent Compensation Consultant</w:t>
      </w:r>
    </w:p>
    <w:p>
      <w:pPr>
        <w:spacing w:after="0" w:line="111"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Pay Governance LLC is the Committee’s independent compensation consultant (the “Consultant”). The Committee considers analysis and guidance from the Consultant when making compensation decisions on plan design; the merits of various incentive plan performance measures; senior officer pay levels, including that of the CEO and our other executive officers, relative to peer group and other market data; composition of peer group companies; stock ownership requirements; and other pay practices. In addition, the Consultant updates the Committee on market trends and best practices in executive compensation and as requested, provides data and guidance on other items such as director compensation. The Committee uses its own independent judgment to make all decisions related to the compensation of the Company’s senior officers.</w:t>
      </w:r>
    </w:p>
    <w:p>
      <w:pPr>
        <w:spacing w:after="0" w:line="182"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During 2022, the Consultant regularly attended Committee meetings and communicated with the Chairman of the Board and the Committee Chairman outside of Committee meetings. The Committee regularly meets with the Consultant in private session (without members of management). As directed by the Compensation and Talent</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1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-143510</wp:posOffset>
            </wp:positionV>
            <wp:extent cx="411480" cy="1968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8220"/>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43"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auto"/>
        </w:rPr>
        <w:t>Management Committee, the Consultant also met with the Senior Vice President and Chief People Officer (“Chief People Officer”), Vice President and Corporate Secretary (“Corporate Secretary”), and members of the Executive Compensation, Finance, and Corporate Governance teams of the Company. The Consultant maintains a direct reporting relationship to the Committee on all compensation matters.</w:t>
      </w:r>
    </w:p>
    <w:p>
      <w:pPr>
        <w:spacing w:after="0" w:line="171"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auto"/>
        </w:rPr>
        <w:t>The Committee conducts an annual assessment of the Consultant’s independence, using factors established by Nasdaq. The Consultant provided no services to the Company in 2022 other than services to the Committee. The Committee reviewed and affirmed the independence of the Consultant as the Compensation Consultant to the Committee and concluded the work performed by the Consultant did not raise a conflict of interest.</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Role of Management</w:t>
      </w:r>
    </w:p>
    <w:p>
      <w:pPr>
        <w:spacing w:after="0" w:line="111" w:lineRule="exact"/>
        <w:rPr>
          <w:sz w:val="20"/>
          <w:szCs w:val="20"/>
          <w:color w:val="auto"/>
        </w:rPr>
      </w:pPr>
    </w:p>
    <w:p>
      <w:pPr>
        <w:ind w:left="120" w:right="960"/>
        <w:spacing w:after="0" w:line="286" w:lineRule="auto"/>
        <w:rPr>
          <w:sz w:val="20"/>
          <w:szCs w:val="20"/>
          <w:color w:val="auto"/>
        </w:rPr>
      </w:pPr>
      <w:r>
        <w:rPr>
          <w:rFonts w:ascii="Arial" w:cs="Arial" w:eastAsia="Arial" w:hAnsi="Arial"/>
          <w:sz w:val="16"/>
          <w:szCs w:val="16"/>
          <w:color w:val="auto"/>
        </w:rPr>
        <w:t>The Committee consults with the CEO and the Chief People Officer to obtain feedback with respect to the strategic direction of our executive compensation programs.</w:t>
      </w:r>
    </w:p>
    <w:p>
      <w:pPr>
        <w:spacing w:after="0" w:line="156"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color w:val="auto"/>
        </w:rPr>
        <w:t>The CEO makes recommendations for each of the executive officers about elements of their total compensation. His recommendations are based on the assessment of each executive officer’s performance, as well as the performance of their respective business or function and other factors. The Committee takes into consideration the recommendations of the CEO when determining the compensation of the other executive officers.</w:t>
      </w:r>
    </w:p>
    <w:p>
      <w:pPr>
        <w:spacing w:after="0" w:line="171" w:lineRule="exact"/>
        <w:rPr>
          <w:sz w:val="20"/>
          <w:szCs w:val="20"/>
          <w:color w:val="auto"/>
        </w:rPr>
      </w:pPr>
    </w:p>
    <w:p>
      <w:pPr>
        <w:ind w:left="120" w:right="420"/>
        <w:spacing w:after="0" w:line="286" w:lineRule="auto"/>
        <w:rPr>
          <w:sz w:val="20"/>
          <w:szCs w:val="20"/>
          <w:color w:val="auto"/>
        </w:rPr>
      </w:pPr>
      <w:r>
        <w:rPr>
          <w:rFonts w:ascii="Arial" w:cs="Arial" w:eastAsia="Arial" w:hAnsi="Arial"/>
          <w:sz w:val="16"/>
          <w:szCs w:val="16"/>
          <w:color w:val="auto"/>
        </w:rPr>
        <w:t>In addition, the CFO provides periodic financial updates and information to the Committee to aid in establishing incentive plan goals and determining payout amounts.</w:t>
      </w:r>
    </w:p>
    <w:p>
      <w:pPr>
        <w:spacing w:after="0" w:line="156"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The Committee consults with the Corporate Secretary and the Consultant on matters related to executive and director stock ownership requirements and director compensation.</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Comparator Data</w:t>
      </w:r>
    </w:p>
    <w:p>
      <w:pPr>
        <w:spacing w:after="0" w:line="111" w:lineRule="exact"/>
        <w:rPr>
          <w:sz w:val="20"/>
          <w:szCs w:val="20"/>
          <w:color w:val="auto"/>
        </w:rPr>
      </w:pPr>
    </w:p>
    <w:p>
      <w:pPr>
        <w:ind w:left="120" w:right="140"/>
        <w:spacing w:after="0" w:line="266" w:lineRule="auto"/>
        <w:rPr>
          <w:sz w:val="20"/>
          <w:szCs w:val="20"/>
          <w:color w:val="auto"/>
        </w:rPr>
      </w:pPr>
      <w:r>
        <w:rPr>
          <w:rFonts w:ascii="Arial" w:cs="Arial" w:eastAsia="Arial" w:hAnsi="Arial"/>
          <w:sz w:val="16"/>
          <w:szCs w:val="16"/>
          <w:color w:val="auto"/>
        </w:rPr>
        <w:t>The Committee uses third-party survey data for comparably sized general industry companies and available data from a select group of peer companies in determining the competitive positioning of our compensation programs. Comparator data is also used as one of several inputs to establish the individual compensation opportunities of each of our senior officers, including the named executive officers.</w:t>
      </w:r>
    </w:p>
    <w:p>
      <w:pPr>
        <w:spacing w:after="0" w:line="171" w:lineRule="exact"/>
        <w:rPr>
          <w:sz w:val="20"/>
          <w:szCs w:val="20"/>
          <w:color w:val="auto"/>
        </w:rPr>
      </w:pPr>
    </w:p>
    <w:p>
      <w:pPr>
        <w:ind w:left="120" w:right="80"/>
        <w:spacing w:after="0" w:line="250" w:lineRule="auto"/>
        <w:rPr>
          <w:sz w:val="20"/>
          <w:szCs w:val="20"/>
          <w:color w:val="auto"/>
        </w:rPr>
      </w:pPr>
      <w:r>
        <w:rPr>
          <w:rFonts w:ascii="Arial" w:cs="Arial" w:eastAsia="Arial" w:hAnsi="Arial"/>
          <w:sz w:val="16"/>
          <w:szCs w:val="16"/>
          <w:color w:val="auto"/>
        </w:rPr>
        <w:t>Each senior officer’s performance is reviewed (see Senior Officer Performance Reviews and Succession Planning below) and compensation decisions are made on an annual basis (or as a senior officer’s duties and responsibilities change). Base salaries, target STIP, and target long-term incentive opportunities are benchmarked against a group of comparable executive positions in general industry companies of similar revenue size as reflected in multiple third-party surveys. We seek to establish target total direct compensation opportunities (defined as base salary, target STIP, and target long-term incentive) for our named executive officers that are near a competitive range of the median of the market data.</w:t>
      </w:r>
    </w:p>
    <w:p>
      <w:pPr>
        <w:spacing w:after="0" w:line="3"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Compensation ultimately earned from these opportunities can vary from the targeted levels based on Company, business unit, and individual performance. Various other factors are taken into consideration and in certain circumstances, we may target pay above or below the competitive median. Individual target total direct compensation may be above or below the median depending on Company performance, cost considerations, the role’s scope of responsibilities, individual experience and performance, and any succession, retention, or internal equity considerations. The Company has taken a conservative approach to target long-term incentive opportunities generally below market median for senior officers. This approach is in support of the Company’s efforts to reduce costs in connection with its investment strategy and its goal to become more profitable.</w:t>
      </w:r>
    </w:p>
    <w:p>
      <w:pPr>
        <w:spacing w:after="0" w:line="184"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color w:val="auto"/>
        </w:rPr>
        <w:t>In setting 2022 target compensation, a competitive executive compensation analysis was performed which included both an analysis of third-party survey data prepared internally by the Company’s executive compensation group, and a peer group review of CEO pay prepared by the Consultant. Third-party general industry survey data from Aon, Mercer, and WTW were used to prepare the survey analysis. Specific companies that participated in the third-party surveys were unknown and not a factor in the Committee’s deliberations. The Consultant reviewed the survey analysis for the Committee.</w:t>
      </w:r>
    </w:p>
    <w:p>
      <w:pPr>
        <w:spacing w:after="0" w:line="98" w:lineRule="exact"/>
        <w:rPr>
          <w:sz w:val="20"/>
          <w:szCs w:val="20"/>
          <w:color w:val="auto"/>
        </w:rPr>
      </w:pPr>
    </w:p>
    <w:p>
      <w:pPr>
        <w:ind w:left="10820"/>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7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-143510</wp:posOffset>
            </wp:positionV>
            <wp:extent cx="411480" cy="1968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43"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auto"/>
        </w:rPr>
        <w:t>The Consultant worked with the Committee and management to develop a group of peer companies to be used for market comparison purposes in terms of CEO pay levels and executive pay practices. We do not believe many companies compete directly with us in all areas of our business or are of similar size. However, in order to have a reference group of publicly traded comparators, the Consultant identified a group of relevant companies that compare to Kelly in at least some areas of our business. The resulting group of twelve comparator companies consists solely of staffing and HR-focused companies with generally similar annual revenues and recent market cap. The majority are multi-national/ global companies headquartered in U.S. The following group of companies includes direct peers and a balanced mix of some significantly smaller and larger companies in similar industries and was unchanged from last year. The peer group was used by the Committee and management as another reference point when assessing 2022 executive pay practices and CEO pay levels:</w:t>
      </w: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00AF41"/>
        </w:rPr>
        <w:t>2022 Peer Group</w:t>
      </w:r>
    </w:p>
    <w:p>
      <w:pPr>
        <w:spacing w:after="0" w:line="35"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320" w:type="dxa"/>
            <w:vAlign w:val="bottom"/>
            <w:tcBorders>
              <w:top w:val="single" w:sz="8" w:color="auto"/>
            </w:tcBorders>
          </w:tcPr>
          <w:p>
            <w:pPr>
              <w:ind w:left="160"/>
              <w:spacing w:after="0"/>
              <w:rPr>
                <w:sz w:val="20"/>
                <w:szCs w:val="20"/>
                <w:color w:val="auto"/>
              </w:rPr>
            </w:pPr>
            <w:r>
              <w:rPr>
                <w:rFonts w:ascii="Arial" w:cs="Arial" w:eastAsia="Arial" w:hAnsi="Arial"/>
                <w:sz w:val="14"/>
                <w:szCs w:val="14"/>
                <w:color w:val="auto"/>
                <w:w w:val="73"/>
              </w:rPr>
              <w:t>• </w:t>
            </w:r>
          </w:p>
        </w:tc>
        <w:tc>
          <w:tcPr>
            <w:tcW w:w="288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 ABM Industries Incorporated</w:t>
            </w:r>
          </w:p>
        </w:tc>
        <w:tc>
          <w:tcPr>
            <w:tcW w:w="760" w:type="dxa"/>
            <w:vAlign w:val="bottom"/>
            <w:tcBorders>
              <w:top w:val="single" w:sz="8" w:color="auto"/>
            </w:tcBorders>
          </w:tcPr>
          <w:p>
            <w:pPr>
              <w:ind w:left="600"/>
              <w:spacing w:after="0"/>
              <w:rPr>
                <w:sz w:val="20"/>
                <w:szCs w:val="20"/>
                <w:color w:val="auto"/>
              </w:rPr>
            </w:pPr>
            <w:r>
              <w:rPr>
                <w:rFonts w:ascii="Arial" w:cs="Arial" w:eastAsia="Arial" w:hAnsi="Arial"/>
                <w:sz w:val="14"/>
                <w:szCs w:val="14"/>
                <w:color w:val="auto"/>
                <w:w w:val="73"/>
              </w:rPr>
              <w:t>• </w:t>
            </w:r>
          </w:p>
        </w:tc>
        <w:tc>
          <w:tcPr>
            <w:tcW w:w="316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 Barrett Business Services, Inc.</w:t>
            </w:r>
          </w:p>
        </w:tc>
        <w:tc>
          <w:tcPr>
            <w:tcW w:w="480" w:type="dxa"/>
            <w:vAlign w:val="bottom"/>
            <w:tcBorders>
              <w:top w:val="single" w:sz="8" w:color="auto"/>
            </w:tcBorders>
          </w:tcPr>
          <w:p>
            <w:pPr>
              <w:ind w:left="320"/>
              <w:spacing w:after="0"/>
              <w:rPr>
                <w:sz w:val="20"/>
                <w:szCs w:val="20"/>
                <w:color w:val="auto"/>
              </w:rPr>
            </w:pPr>
            <w:r>
              <w:rPr>
                <w:rFonts w:ascii="Arial" w:cs="Arial" w:eastAsia="Arial" w:hAnsi="Arial"/>
                <w:sz w:val="14"/>
                <w:szCs w:val="14"/>
                <w:color w:val="auto"/>
                <w:w w:val="73"/>
              </w:rPr>
              <w:t>• </w:t>
            </w:r>
          </w:p>
        </w:tc>
        <w:tc>
          <w:tcPr>
            <w:tcW w:w="342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 ManpowerGroup Inc.</w:t>
            </w:r>
          </w:p>
        </w:tc>
      </w:tr>
      <w:tr>
        <w:trPr>
          <w:trHeight w:val="224"/>
        </w:trPr>
        <w:tc>
          <w:tcPr>
            <w:tcW w:w="320" w:type="dxa"/>
            <w:vAlign w:val="bottom"/>
          </w:tcPr>
          <w:p>
            <w:pPr>
              <w:ind w:left="160"/>
              <w:spacing w:after="0"/>
              <w:rPr>
                <w:sz w:val="20"/>
                <w:szCs w:val="20"/>
                <w:color w:val="auto"/>
              </w:rPr>
            </w:pPr>
            <w:r>
              <w:rPr>
                <w:rFonts w:ascii="Arial" w:cs="Arial" w:eastAsia="Arial" w:hAnsi="Arial"/>
                <w:sz w:val="14"/>
                <w:szCs w:val="14"/>
                <w:color w:val="auto"/>
                <w:w w:val="73"/>
              </w:rPr>
              <w:t>• </w:t>
            </w:r>
          </w:p>
        </w:tc>
        <w:tc>
          <w:tcPr>
            <w:tcW w:w="2880" w:type="dxa"/>
            <w:vAlign w:val="bottom"/>
          </w:tcPr>
          <w:p>
            <w:pPr>
              <w:ind w:left="60"/>
              <w:spacing w:after="0"/>
              <w:rPr>
                <w:sz w:val="20"/>
                <w:szCs w:val="20"/>
                <w:color w:val="auto"/>
              </w:rPr>
            </w:pPr>
            <w:r>
              <w:rPr>
                <w:rFonts w:ascii="Arial" w:cs="Arial" w:eastAsia="Arial" w:hAnsi="Arial"/>
                <w:sz w:val="16"/>
                <w:szCs w:val="16"/>
                <w:color w:val="auto"/>
              </w:rPr>
              <w:t> Adecco Group AG</w:t>
            </w:r>
          </w:p>
        </w:tc>
        <w:tc>
          <w:tcPr>
            <w:tcW w:w="760" w:type="dxa"/>
            <w:vAlign w:val="bottom"/>
          </w:tcPr>
          <w:p>
            <w:pPr>
              <w:ind w:left="600"/>
              <w:spacing w:after="0"/>
              <w:rPr>
                <w:sz w:val="20"/>
                <w:szCs w:val="20"/>
                <w:color w:val="auto"/>
              </w:rPr>
            </w:pPr>
            <w:r>
              <w:rPr>
                <w:rFonts w:ascii="Arial" w:cs="Arial" w:eastAsia="Arial" w:hAnsi="Arial"/>
                <w:sz w:val="14"/>
                <w:szCs w:val="14"/>
                <w:color w:val="auto"/>
                <w:w w:val="73"/>
              </w:rPr>
              <w:t>• </w:t>
            </w:r>
          </w:p>
        </w:tc>
        <w:tc>
          <w:tcPr>
            <w:tcW w:w="3160" w:type="dxa"/>
            <w:vAlign w:val="bottom"/>
          </w:tcPr>
          <w:p>
            <w:pPr>
              <w:ind w:left="60"/>
              <w:spacing w:after="0"/>
              <w:rPr>
                <w:sz w:val="20"/>
                <w:szCs w:val="20"/>
                <w:color w:val="auto"/>
              </w:rPr>
            </w:pPr>
            <w:r>
              <w:rPr>
                <w:rFonts w:ascii="Arial" w:cs="Arial" w:eastAsia="Arial" w:hAnsi="Arial"/>
                <w:sz w:val="16"/>
                <w:szCs w:val="16"/>
                <w:color w:val="auto"/>
              </w:rPr>
              <w:t> Heidrick &amp; Struggles International, Inc.</w:t>
            </w:r>
          </w:p>
        </w:tc>
        <w:tc>
          <w:tcPr>
            <w:tcW w:w="480" w:type="dxa"/>
            <w:vAlign w:val="bottom"/>
          </w:tcPr>
          <w:p>
            <w:pPr>
              <w:ind w:left="320"/>
              <w:spacing w:after="0"/>
              <w:rPr>
                <w:sz w:val="20"/>
                <w:szCs w:val="20"/>
                <w:color w:val="auto"/>
              </w:rPr>
            </w:pPr>
            <w:r>
              <w:rPr>
                <w:rFonts w:ascii="Arial" w:cs="Arial" w:eastAsia="Arial" w:hAnsi="Arial"/>
                <w:sz w:val="14"/>
                <w:szCs w:val="14"/>
                <w:color w:val="auto"/>
                <w:w w:val="73"/>
              </w:rPr>
              <w:t>• </w:t>
            </w:r>
          </w:p>
        </w:tc>
        <w:tc>
          <w:tcPr>
            <w:tcW w:w="3420" w:type="dxa"/>
            <w:vAlign w:val="bottom"/>
          </w:tcPr>
          <w:p>
            <w:pPr>
              <w:ind w:left="60"/>
              <w:spacing w:after="0"/>
              <w:rPr>
                <w:sz w:val="20"/>
                <w:szCs w:val="20"/>
                <w:color w:val="auto"/>
              </w:rPr>
            </w:pPr>
            <w:r>
              <w:rPr>
                <w:rFonts w:ascii="Arial" w:cs="Arial" w:eastAsia="Arial" w:hAnsi="Arial"/>
                <w:sz w:val="16"/>
                <w:szCs w:val="16"/>
                <w:color w:val="auto"/>
              </w:rPr>
              <w:t> Randstad NV</w:t>
            </w:r>
          </w:p>
        </w:tc>
      </w:tr>
      <w:tr>
        <w:trPr>
          <w:trHeight w:val="243"/>
        </w:trPr>
        <w:tc>
          <w:tcPr>
            <w:tcW w:w="320" w:type="dxa"/>
            <w:vAlign w:val="bottom"/>
          </w:tcPr>
          <w:p>
            <w:pPr>
              <w:ind w:left="160"/>
              <w:spacing w:after="0"/>
              <w:rPr>
                <w:sz w:val="20"/>
                <w:szCs w:val="20"/>
                <w:color w:val="auto"/>
              </w:rPr>
            </w:pPr>
            <w:r>
              <w:rPr>
                <w:rFonts w:ascii="Arial" w:cs="Arial" w:eastAsia="Arial" w:hAnsi="Arial"/>
                <w:sz w:val="14"/>
                <w:szCs w:val="14"/>
                <w:color w:val="auto"/>
                <w:w w:val="73"/>
              </w:rPr>
              <w:t>• </w:t>
            </w:r>
          </w:p>
        </w:tc>
        <w:tc>
          <w:tcPr>
            <w:tcW w:w="2880" w:type="dxa"/>
            <w:vAlign w:val="bottom"/>
          </w:tcPr>
          <w:p>
            <w:pPr>
              <w:ind w:left="60"/>
              <w:spacing w:after="0"/>
              <w:rPr>
                <w:sz w:val="20"/>
                <w:szCs w:val="20"/>
                <w:color w:val="auto"/>
              </w:rPr>
            </w:pPr>
            <w:r>
              <w:rPr>
                <w:rFonts w:ascii="Arial" w:cs="Arial" w:eastAsia="Arial" w:hAnsi="Arial"/>
                <w:sz w:val="16"/>
                <w:szCs w:val="16"/>
                <w:color w:val="auto"/>
              </w:rPr>
              <w:t> AMN Healthcare Services, Inc.</w:t>
            </w:r>
          </w:p>
        </w:tc>
        <w:tc>
          <w:tcPr>
            <w:tcW w:w="760" w:type="dxa"/>
            <w:vAlign w:val="bottom"/>
          </w:tcPr>
          <w:p>
            <w:pPr>
              <w:ind w:left="600"/>
              <w:spacing w:after="0"/>
              <w:rPr>
                <w:sz w:val="20"/>
                <w:szCs w:val="20"/>
                <w:color w:val="auto"/>
              </w:rPr>
            </w:pPr>
            <w:r>
              <w:rPr>
                <w:rFonts w:ascii="Arial" w:cs="Arial" w:eastAsia="Arial" w:hAnsi="Arial"/>
                <w:sz w:val="14"/>
                <w:szCs w:val="14"/>
                <w:color w:val="auto"/>
                <w:w w:val="73"/>
              </w:rPr>
              <w:t>• </w:t>
            </w:r>
          </w:p>
        </w:tc>
        <w:tc>
          <w:tcPr>
            <w:tcW w:w="3160" w:type="dxa"/>
            <w:vAlign w:val="bottom"/>
          </w:tcPr>
          <w:p>
            <w:pPr>
              <w:ind w:left="60"/>
              <w:spacing w:after="0"/>
              <w:rPr>
                <w:sz w:val="20"/>
                <w:szCs w:val="20"/>
                <w:color w:val="auto"/>
              </w:rPr>
            </w:pPr>
            <w:r>
              <w:rPr>
                <w:rFonts w:ascii="Arial" w:cs="Arial" w:eastAsia="Arial" w:hAnsi="Arial"/>
                <w:sz w:val="16"/>
                <w:szCs w:val="16"/>
                <w:color w:val="auto"/>
              </w:rPr>
              <w:t> Insperity, Inc.</w:t>
            </w:r>
          </w:p>
        </w:tc>
        <w:tc>
          <w:tcPr>
            <w:tcW w:w="480" w:type="dxa"/>
            <w:vAlign w:val="bottom"/>
          </w:tcPr>
          <w:p>
            <w:pPr>
              <w:ind w:left="320"/>
              <w:spacing w:after="0"/>
              <w:rPr>
                <w:sz w:val="20"/>
                <w:szCs w:val="20"/>
                <w:color w:val="auto"/>
              </w:rPr>
            </w:pPr>
            <w:r>
              <w:rPr>
                <w:rFonts w:ascii="Arial" w:cs="Arial" w:eastAsia="Arial" w:hAnsi="Arial"/>
                <w:sz w:val="14"/>
                <w:szCs w:val="14"/>
                <w:color w:val="auto"/>
                <w:w w:val="73"/>
              </w:rPr>
              <w:t>• </w:t>
            </w:r>
          </w:p>
        </w:tc>
        <w:tc>
          <w:tcPr>
            <w:tcW w:w="3420" w:type="dxa"/>
            <w:vAlign w:val="bottom"/>
          </w:tcPr>
          <w:p>
            <w:pPr>
              <w:ind w:left="60"/>
              <w:spacing w:after="0"/>
              <w:rPr>
                <w:sz w:val="20"/>
                <w:szCs w:val="20"/>
                <w:color w:val="auto"/>
              </w:rPr>
            </w:pPr>
            <w:r>
              <w:rPr>
                <w:rFonts w:ascii="Arial" w:cs="Arial" w:eastAsia="Arial" w:hAnsi="Arial"/>
                <w:sz w:val="16"/>
                <w:szCs w:val="16"/>
                <w:color w:val="auto"/>
              </w:rPr>
              <w:t> Robert Half International Inc.</w:t>
            </w:r>
          </w:p>
        </w:tc>
      </w:tr>
      <w:tr>
        <w:trPr>
          <w:trHeight w:val="232"/>
        </w:trPr>
        <w:tc>
          <w:tcPr>
            <w:tcW w:w="3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w w:val="73"/>
              </w:rPr>
              <w:t>• </w:t>
            </w:r>
          </w:p>
        </w:tc>
        <w:tc>
          <w:tcPr>
            <w:tcW w:w="28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 ASGN Inc.</w:t>
            </w:r>
          </w:p>
        </w:tc>
        <w:tc>
          <w:tcPr>
            <w:tcW w:w="76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w w:val="73"/>
              </w:rPr>
              <w:t>• </w:t>
            </w:r>
          </w:p>
        </w:tc>
        <w:tc>
          <w:tcPr>
            <w:tcW w:w="31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 Kforce Inc.</w:t>
            </w:r>
          </w:p>
        </w:tc>
        <w:tc>
          <w:tcPr>
            <w:tcW w:w="48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w w:val="73"/>
              </w:rPr>
              <w:t>• </w:t>
            </w:r>
          </w:p>
        </w:tc>
        <w:tc>
          <w:tcPr>
            <w:tcW w:w="34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 TrueBlue, Inc.</w:t>
            </w:r>
          </w:p>
        </w:tc>
      </w:tr>
    </w:tbl>
    <w:p>
      <w:pPr>
        <w:spacing w:after="0" w:line="202"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auto"/>
        </w:rPr>
        <w:t>The Committee considers peer group and general industry survey data as a point of reference, not the sole factor in determining senior officers’ compensation. The third-party survey data and peer group analysis represent “Market Data” when referenced throughout this Compensation Discussion and Analysis. The Committee considers all of the resources provided as part of a holistic process that also includes officer performance and the recommendations of the Company’s CEO regarding total compensation for senior officers.</w:t>
      </w:r>
    </w:p>
    <w:p>
      <w:pPr>
        <w:spacing w:after="0" w:line="178" w:lineRule="exact"/>
        <w:rPr>
          <w:sz w:val="20"/>
          <w:szCs w:val="20"/>
          <w:color w:val="auto"/>
        </w:rPr>
      </w:pPr>
    </w:p>
    <w:p>
      <w:pPr>
        <w:ind w:left="120" w:right="80"/>
        <w:spacing w:after="0" w:line="266" w:lineRule="auto"/>
        <w:rPr>
          <w:sz w:val="20"/>
          <w:szCs w:val="20"/>
          <w:color w:val="auto"/>
        </w:rPr>
      </w:pPr>
      <w:r>
        <w:rPr>
          <w:rFonts w:ascii="Arial" w:cs="Arial" w:eastAsia="Arial" w:hAnsi="Arial"/>
          <w:sz w:val="16"/>
          <w:szCs w:val="16"/>
          <w:color w:val="auto"/>
        </w:rPr>
        <w:t>In addition to Market Data and for use as background information, the Executive Compensation group provides the Committee with comprehensive detail illustrating historical target and actual total compensation data and long-term incentive grant detail that includes grant date fair value as well as the intrinsic value of outstanding award opportunities.</w:t>
      </w:r>
    </w:p>
    <w:p>
      <w:pPr>
        <w:spacing w:after="0" w:line="171"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The Committee reviews this detail for the executive officers and believes it’s useful multi-year reference information, along with other perspectives, when considering whether compensation decisions reflect the Company’s executive compensation philosophy and performance.</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Senior Officer Performance Reviews and Succession Planning</w:t>
      </w:r>
    </w:p>
    <w:p>
      <w:pPr>
        <w:spacing w:after="0" w:line="111" w:lineRule="exact"/>
        <w:rPr>
          <w:sz w:val="20"/>
          <w:szCs w:val="20"/>
          <w:color w:val="auto"/>
        </w:rPr>
      </w:pPr>
    </w:p>
    <w:p>
      <w:pPr>
        <w:ind w:left="120" w:right="540"/>
        <w:spacing w:after="0" w:line="286" w:lineRule="auto"/>
        <w:rPr>
          <w:sz w:val="20"/>
          <w:szCs w:val="20"/>
          <w:color w:val="auto"/>
        </w:rPr>
      </w:pPr>
      <w:r>
        <w:rPr>
          <w:rFonts w:ascii="Arial" w:cs="Arial" w:eastAsia="Arial" w:hAnsi="Arial"/>
          <w:sz w:val="16"/>
          <w:szCs w:val="16"/>
          <w:color w:val="auto"/>
        </w:rPr>
        <w:t>Annually, the Committee conducts a comprehensive review of performance, leadership development initiatives, and succession planning for senior officers. Combined, these processes are used to identify, develop, and evaluate the Company’s senior officers.</w:t>
      </w:r>
    </w:p>
    <w:p>
      <w:pPr>
        <w:spacing w:after="0" w:line="156" w:lineRule="exact"/>
        <w:rPr>
          <w:sz w:val="20"/>
          <w:szCs w:val="20"/>
          <w:color w:val="auto"/>
        </w:rPr>
      </w:pPr>
    </w:p>
    <w:p>
      <w:pPr>
        <w:ind w:left="120" w:right="200"/>
        <w:spacing w:after="0" w:line="259" w:lineRule="auto"/>
        <w:rPr>
          <w:sz w:val="20"/>
          <w:szCs w:val="20"/>
          <w:color w:val="auto"/>
        </w:rPr>
      </w:pPr>
      <w:r>
        <w:rPr>
          <w:rFonts w:ascii="Arial" w:cs="Arial" w:eastAsia="Arial" w:hAnsi="Arial"/>
          <w:sz w:val="16"/>
          <w:szCs w:val="16"/>
          <w:color w:val="auto"/>
        </w:rPr>
        <w:t>The Chief People Officer, with input from the CEO, prepares detailed executive performance review information for each of the senior officers, including named executive officers (other than the CEO). The performance review information for each of the senior officers includes key annual initiatives, performance results, and development opportunities. The CEO reviews the performance of the other senior officers and presents their individual performance assessments, development plans, and succession strategies to the Committee.</w:t>
      </w:r>
    </w:p>
    <w:p>
      <w:pPr>
        <w:spacing w:after="0" w:line="178"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During the individual performance assessments, the Committee asks questions, renders advice, and makes recommendations on matters that include individual development needs, succession planning, and retention. Senior officers are not present during the discussion of their performance by the Committee. The Committee uses each executive’s individual performance assessment, the compensation analysis discussed in the previous section, and the recommendations of the CEO, to determine compensation for the senior officers.</w:t>
      </w:r>
    </w:p>
    <w:p>
      <w:pPr>
        <w:spacing w:after="0" w:line="178" w:lineRule="exact"/>
        <w:rPr>
          <w:sz w:val="20"/>
          <w:szCs w:val="20"/>
          <w:color w:val="auto"/>
        </w:rPr>
      </w:pPr>
    </w:p>
    <w:p>
      <w:pPr>
        <w:ind w:left="120" w:right="460"/>
        <w:spacing w:after="0" w:line="286" w:lineRule="auto"/>
        <w:rPr>
          <w:sz w:val="20"/>
          <w:szCs w:val="20"/>
          <w:color w:val="auto"/>
        </w:rPr>
      </w:pPr>
      <w:r>
        <w:rPr>
          <w:rFonts w:ascii="Arial" w:cs="Arial" w:eastAsia="Arial" w:hAnsi="Arial"/>
          <w:sz w:val="16"/>
          <w:szCs w:val="16"/>
          <w:color w:val="auto"/>
        </w:rPr>
        <w:t>In the fourth quarter of 2022 the CEO presented his performance self-evaluation which included a review of performance of the organization against strategy and business plans.</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77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-142875</wp:posOffset>
            </wp:positionV>
            <wp:extent cx="411480" cy="1968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8220"/>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43" w:lineRule="exact"/>
        <w:rPr>
          <w:sz w:val="20"/>
          <w:szCs w:val="20"/>
          <w:color w:val="auto"/>
        </w:rPr>
      </w:pPr>
    </w:p>
    <w:p>
      <w:pPr>
        <w:ind w:left="120" w:right="140"/>
        <w:spacing w:after="0" w:line="266" w:lineRule="auto"/>
        <w:rPr>
          <w:sz w:val="20"/>
          <w:szCs w:val="20"/>
          <w:color w:val="auto"/>
        </w:rPr>
      </w:pPr>
      <w:r>
        <w:rPr>
          <w:rFonts w:ascii="Arial" w:cs="Arial" w:eastAsia="Arial" w:hAnsi="Arial"/>
          <w:sz w:val="16"/>
          <w:szCs w:val="16"/>
          <w:color w:val="auto"/>
        </w:rPr>
        <w:t>Periodic sessions are held to discuss talent and development for multiple levels of the organization, increasing transparency and understanding of talent across leadership teams and business units. Development plans are crafted to prepare emerging talent for future opportunities, including stretch assignments, formal training, experiential learning opportunities and formal coaching.</w:t>
      </w:r>
    </w:p>
    <w:p>
      <w:pPr>
        <w:spacing w:after="0" w:line="171"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The Board approves the Company’s executive succession plan annually, including updates, and in connection with the performance assessments. The plan includes all executives at the senior officer level, as well as their potential successors from within the Company in the event of an emergency or departure of a senior officer. Documentation includes detailed executive performance review information as discussed above, readiness assessments and a review of the health and diversity of succession pipelines.</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Programs: Decisions and Actions in 2022</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Base Salary</w:t>
      </w:r>
    </w:p>
    <w:p>
      <w:pPr>
        <w:spacing w:after="0" w:line="111"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Base salaries for senior officers, including the named executive officers are within a competitive range of the Market Data to ensure that the Company can attract and retain the executives necessary to successfully lead and manage the organization. Base salaries generally fall within a range (+/- 15%) around the median of salaries in the Market Data, as individual base salaries will vary based upon the factors described below. Based on Market Data available at the time of the review in November 2021, we determined that the base salaries of our named executive officers were within this competitive range of the market medians for comparable roles. Base salary is only one component of target total direct compensation and may be affected by other components to ensure that target total direct compensation meets compensation objectives.</w:t>
      </w:r>
    </w:p>
    <w:p>
      <w:pPr>
        <w:spacing w:after="0" w:line="182" w:lineRule="exact"/>
        <w:rPr>
          <w:sz w:val="20"/>
          <w:szCs w:val="20"/>
          <w:color w:val="auto"/>
        </w:rPr>
      </w:pPr>
    </w:p>
    <w:p>
      <w:pPr>
        <w:jc w:val="both"/>
        <w:ind w:left="120" w:right="60"/>
        <w:spacing w:after="0" w:line="259" w:lineRule="auto"/>
        <w:rPr>
          <w:sz w:val="20"/>
          <w:szCs w:val="20"/>
          <w:color w:val="auto"/>
        </w:rPr>
      </w:pPr>
      <w:r>
        <w:rPr>
          <w:rFonts w:ascii="Arial" w:cs="Arial" w:eastAsia="Arial" w:hAnsi="Arial"/>
          <w:sz w:val="16"/>
          <w:szCs w:val="16"/>
          <w:color w:val="auto"/>
        </w:rPr>
        <w:t>The Committee reviews the base salaries of senior officers, including the named executive officers, on an annual basis (or as a senior officer’s duties and responsibilities change). Base salaries are determined by the Committee for each of the senior officers based on various factors, including the scope and responsibilities of the role, an individual’s experience and performance in the role, their current level of pay compared to Market Data, internal pay equity, the recommendations of the CEO, and consideration of the Company’s salary adjustment budget.</w:t>
      </w:r>
    </w:p>
    <w:p>
      <w:pPr>
        <w:spacing w:after="0" w:line="178"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color w:val="auto"/>
        </w:rPr>
        <w:t>The Company’s annual total compensation review and target pay adjustment process for all employees, including the senior officers, typically occurs during the first quarter to coincide with the timing of any potential incentive award payouts. The timing alignment of compensation elements is intended to reinforce the Company’s pay-for-performance philosophy and provide each employee with their “total compensation” overview. In November 2021, the Committee conducted its annual market review of base salaries of the senior officers, including named executive officers.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returned to a standard compensation review schedule with all named executive officers receiving a base salary increase during 2022.</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consideration of the factors noted above, the following base salaries for the named executive officers were approved by the Committee in 2022:</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3980" w:type="dxa"/>
            <w:vAlign w:val="bottom"/>
          </w:tcPr>
          <w:p>
            <w:pPr>
              <w:jc w:val="center"/>
              <w:ind w:left="2962"/>
              <w:spacing w:after="0"/>
              <w:rPr>
                <w:sz w:val="20"/>
                <w:szCs w:val="20"/>
                <w:color w:val="auto"/>
              </w:rPr>
            </w:pPr>
            <w:r>
              <w:rPr>
                <w:rFonts w:ascii="Arial" w:cs="Arial" w:eastAsia="Arial" w:hAnsi="Arial"/>
                <w:sz w:val="14"/>
                <w:szCs w:val="14"/>
                <w:b w:val="1"/>
                <w:bCs w:val="1"/>
                <w:color w:val="00AF41"/>
              </w:rPr>
              <w:t>2021 Base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00AF41"/>
              </w:rPr>
              <w:t>2022 Base</w:t>
            </w:r>
          </w:p>
        </w:tc>
        <w:tc>
          <w:tcPr>
            <w:tcW w:w="1080" w:type="dxa"/>
            <w:vAlign w:val="bottom"/>
          </w:tcPr>
          <w:p>
            <w:pPr>
              <w:spacing w:after="0"/>
              <w:rPr>
                <w:sz w:val="14"/>
                <w:szCs w:val="14"/>
                <w:color w:val="auto"/>
              </w:rPr>
            </w:pPr>
          </w:p>
        </w:tc>
      </w:tr>
      <w:tr>
        <w:trPr>
          <w:trHeight w:val="197"/>
        </w:trPr>
        <w:tc>
          <w:tcPr>
            <w:tcW w:w="50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00AF41"/>
              </w:rPr>
              <w:t>Named Executive Officer</w:t>
            </w:r>
          </w:p>
        </w:tc>
        <w:tc>
          <w:tcPr>
            <w:tcW w:w="3980" w:type="dxa"/>
            <w:vAlign w:val="bottom"/>
            <w:tcBorders>
              <w:bottom w:val="single" w:sz="8" w:color="auto"/>
            </w:tcBorders>
          </w:tcPr>
          <w:p>
            <w:pPr>
              <w:jc w:val="center"/>
              <w:ind w:left="2982"/>
              <w:spacing w:after="0"/>
              <w:rPr>
                <w:sz w:val="20"/>
                <w:szCs w:val="20"/>
                <w:color w:val="auto"/>
              </w:rPr>
            </w:pPr>
            <w:r>
              <w:rPr>
                <w:rFonts w:ascii="Arial" w:cs="Arial" w:eastAsia="Arial" w:hAnsi="Arial"/>
                <w:sz w:val="14"/>
                <w:szCs w:val="14"/>
                <w:b w:val="1"/>
                <w:bCs w:val="1"/>
                <w:color w:val="00AF41"/>
              </w:rPr>
              <w:t>Salary</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AF41"/>
                <w:w w:val="99"/>
              </w:rPr>
              <w:t>Salary</w:t>
            </w: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00AF41"/>
              </w:rPr>
              <w:t>Adjustment %</w:t>
            </w:r>
          </w:p>
        </w:tc>
      </w:tr>
      <w:tr>
        <w:trPr>
          <w:trHeight w:val="231"/>
        </w:trPr>
        <w:tc>
          <w:tcPr>
            <w:tcW w:w="502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b w:val="1"/>
                <w:bCs w:val="1"/>
                <w:color w:val="auto"/>
              </w:rPr>
              <w:t>Peter W. Quigley</w:t>
            </w:r>
          </w:p>
        </w:tc>
        <w:tc>
          <w:tcPr>
            <w:tcW w:w="3980" w:type="dxa"/>
            <w:vAlign w:val="bottom"/>
            <w:tcBorders>
              <w:bottom w:val="single" w:sz="8" w:color="EDEDED"/>
            </w:tcBorders>
            <w:shd w:val="clear" w:color="auto" w:fill="EDEDED"/>
          </w:tcPr>
          <w:p>
            <w:pPr>
              <w:jc w:val="center"/>
              <w:ind w:left="2982"/>
              <w:spacing w:after="0"/>
              <w:rPr>
                <w:sz w:val="20"/>
                <w:szCs w:val="20"/>
                <w:color w:val="auto"/>
              </w:rPr>
            </w:pPr>
            <w:r>
              <w:rPr>
                <w:rFonts w:ascii="Arial" w:cs="Arial" w:eastAsia="Arial" w:hAnsi="Arial"/>
                <w:sz w:val="16"/>
                <w:szCs w:val="16"/>
                <w:color w:val="auto"/>
              </w:rPr>
              <w:t>$840,000</w:t>
            </w:r>
          </w:p>
        </w:tc>
        <w:tc>
          <w:tcPr>
            <w:tcW w:w="94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$900,000</w:t>
            </w:r>
          </w:p>
        </w:tc>
        <w:tc>
          <w:tcPr>
            <w:tcW w:w="1080" w:type="dxa"/>
            <w:vAlign w:val="bottom"/>
            <w:tcBorders>
              <w:bottom w:val="single" w:sz="8" w:color="EDEDED"/>
            </w:tcBorders>
            <w:shd w:val="clear" w:color="auto" w:fill="EDEDED"/>
          </w:tcPr>
          <w:p>
            <w:pPr>
              <w:jc w:val="center"/>
              <w:ind w:left="21"/>
              <w:spacing w:after="0"/>
              <w:rPr>
                <w:sz w:val="20"/>
                <w:szCs w:val="20"/>
                <w:color w:val="auto"/>
              </w:rPr>
            </w:pPr>
            <w:r>
              <w:rPr>
                <w:rFonts w:ascii="Arial" w:cs="Arial" w:eastAsia="Arial" w:hAnsi="Arial"/>
                <w:sz w:val="16"/>
                <w:szCs w:val="16"/>
                <w:color w:val="auto"/>
              </w:rPr>
              <w:t>7.1%</w:t>
            </w:r>
          </w:p>
        </w:tc>
      </w:tr>
      <w:tr>
        <w:trPr>
          <w:trHeight w:val="235"/>
        </w:trPr>
        <w:tc>
          <w:tcPr>
            <w:tcW w:w="5020" w:type="dxa"/>
            <w:vAlign w:val="bottom"/>
          </w:tcPr>
          <w:p>
            <w:pPr>
              <w:ind w:left="80"/>
              <w:spacing w:after="0"/>
              <w:rPr>
                <w:sz w:val="20"/>
                <w:szCs w:val="20"/>
                <w:color w:val="auto"/>
              </w:rPr>
            </w:pPr>
            <w:r>
              <w:rPr>
                <w:rFonts w:ascii="Arial" w:cs="Arial" w:eastAsia="Arial" w:hAnsi="Arial"/>
                <w:sz w:val="16"/>
                <w:szCs w:val="16"/>
                <w:b w:val="1"/>
                <w:bCs w:val="1"/>
                <w:color w:val="auto"/>
              </w:rPr>
              <w:t>Olivier G. Thirot</w:t>
            </w:r>
          </w:p>
        </w:tc>
        <w:tc>
          <w:tcPr>
            <w:tcW w:w="3980" w:type="dxa"/>
            <w:vAlign w:val="bottom"/>
          </w:tcPr>
          <w:p>
            <w:pPr>
              <w:jc w:val="center"/>
              <w:ind w:left="2982"/>
              <w:spacing w:after="0"/>
              <w:rPr>
                <w:sz w:val="20"/>
                <w:szCs w:val="20"/>
                <w:color w:val="auto"/>
              </w:rPr>
            </w:pPr>
            <w:r>
              <w:rPr>
                <w:rFonts w:ascii="Arial" w:cs="Arial" w:eastAsia="Arial" w:hAnsi="Arial"/>
                <w:sz w:val="16"/>
                <w:szCs w:val="16"/>
                <w:color w:val="auto"/>
              </w:rPr>
              <w:t>$588,000</w:t>
            </w:r>
          </w:p>
        </w:tc>
        <w:tc>
          <w:tcPr>
            <w:tcW w:w="940" w:type="dxa"/>
            <w:vAlign w:val="bottom"/>
          </w:tcPr>
          <w:p>
            <w:pPr>
              <w:jc w:val="center"/>
              <w:spacing w:after="0"/>
              <w:rPr>
                <w:sz w:val="20"/>
                <w:szCs w:val="20"/>
                <w:color w:val="auto"/>
              </w:rPr>
            </w:pPr>
            <w:r>
              <w:rPr>
                <w:rFonts w:ascii="Arial" w:cs="Arial" w:eastAsia="Arial" w:hAnsi="Arial"/>
                <w:sz w:val="16"/>
                <w:szCs w:val="16"/>
                <w:color w:val="auto"/>
              </w:rPr>
              <w:t>$620,583</w:t>
            </w:r>
          </w:p>
        </w:tc>
        <w:tc>
          <w:tcPr>
            <w:tcW w:w="1080" w:type="dxa"/>
            <w:vAlign w:val="bottom"/>
          </w:tcPr>
          <w:p>
            <w:pPr>
              <w:jc w:val="center"/>
              <w:ind w:left="21"/>
              <w:spacing w:after="0"/>
              <w:rPr>
                <w:sz w:val="20"/>
                <w:szCs w:val="20"/>
                <w:color w:val="auto"/>
              </w:rPr>
            </w:pPr>
            <w:r>
              <w:rPr>
                <w:rFonts w:ascii="Arial" w:cs="Arial" w:eastAsia="Arial" w:hAnsi="Arial"/>
                <w:sz w:val="16"/>
                <w:szCs w:val="16"/>
                <w:color w:val="auto"/>
              </w:rPr>
              <w:t>5.5%</w:t>
            </w:r>
          </w:p>
        </w:tc>
      </w:tr>
      <w:tr>
        <w:trPr>
          <w:trHeight w:val="21"/>
        </w:trPr>
        <w:tc>
          <w:tcPr>
            <w:tcW w:w="50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7"/>
        </w:trPr>
        <w:tc>
          <w:tcPr>
            <w:tcW w:w="502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b w:val="1"/>
                <w:bCs w:val="1"/>
                <w:color w:val="auto"/>
              </w:rPr>
              <w:t>Dinette Koolhaas</w:t>
            </w:r>
          </w:p>
        </w:tc>
        <w:tc>
          <w:tcPr>
            <w:tcW w:w="3980" w:type="dxa"/>
            <w:vAlign w:val="bottom"/>
            <w:tcBorders>
              <w:bottom w:val="single" w:sz="8" w:color="EDEDED"/>
            </w:tcBorders>
            <w:shd w:val="clear" w:color="auto" w:fill="EDEDED"/>
          </w:tcPr>
          <w:p>
            <w:pPr>
              <w:jc w:val="center"/>
              <w:ind w:left="2982"/>
              <w:spacing w:after="0"/>
              <w:rPr>
                <w:sz w:val="20"/>
                <w:szCs w:val="20"/>
                <w:color w:val="auto"/>
              </w:rPr>
            </w:pPr>
            <w:r>
              <w:rPr>
                <w:rFonts w:ascii="Arial" w:cs="Arial" w:eastAsia="Arial" w:hAnsi="Arial"/>
                <w:sz w:val="16"/>
                <w:szCs w:val="16"/>
                <w:color w:val="auto"/>
              </w:rPr>
              <w:t>$512,245</w:t>
            </w:r>
          </w:p>
        </w:tc>
        <w:tc>
          <w:tcPr>
            <w:tcW w:w="94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$521,865</w:t>
            </w:r>
          </w:p>
        </w:tc>
        <w:tc>
          <w:tcPr>
            <w:tcW w:w="1080" w:type="dxa"/>
            <w:vAlign w:val="bottom"/>
            <w:tcBorders>
              <w:bottom w:val="single" w:sz="8" w:color="EDEDED"/>
            </w:tcBorders>
            <w:shd w:val="clear" w:color="auto" w:fill="EDEDED"/>
          </w:tcPr>
          <w:p>
            <w:pPr>
              <w:jc w:val="center"/>
              <w:ind w:left="21"/>
              <w:spacing w:after="0"/>
              <w:rPr>
                <w:sz w:val="20"/>
                <w:szCs w:val="20"/>
                <w:color w:val="auto"/>
              </w:rPr>
            </w:pPr>
            <w:r>
              <w:rPr>
                <w:rFonts w:ascii="Arial" w:cs="Arial" w:eastAsia="Arial" w:hAnsi="Arial"/>
                <w:sz w:val="16"/>
                <w:szCs w:val="16"/>
                <w:color w:val="auto"/>
              </w:rPr>
              <w:t>1.9%</w:t>
            </w:r>
          </w:p>
        </w:tc>
      </w:tr>
      <w:tr>
        <w:trPr>
          <w:trHeight w:val="235"/>
        </w:trPr>
        <w:tc>
          <w:tcPr>
            <w:tcW w:w="5020" w:type="dxa"/>
            <w:vAlign w:val="bottom"/>
          </w:tcPr>
          <w:p>
            <w:pPr>
              <w:ind w:left="80"/>
              <w:spacing w:after="0"/>
              <w:rPr>
                <w:sz w:val="20"/>
                <w:szCs w:val="20"/>
                <w:color w:val="auto"/>
              </w:rPr>
            </w:pPr>
            <w:r>
              <w:rPr>
                <w:rFonts w:ascii="Arial" w:cs="Arial" w:eastAsia="Arial" w:hAnsi="Arial"/>
                <w:sz w:val="16"/>
                <w:szCs w:val="16"/>
                <w:b w:val="1"/>
                <w:bCs w:val="1"/>
                <w:color w:val="auto"/>
              </w:rPr>
              <w:t>Vanessa P. Williams</w:t>
            </w:r>
          </w:p>
        </w:tc>
        <w:tc>
          <w:tcPr>
            <w:tcW w:w="3980" w:type="dxa"/>
            <w:vAlign w:val="bottom"/>
          </w:tcPr>
          <w:p>
            <w:pPr>
              <w:jc w:val="center"/>
              <w:ind w:left="2982"/>
              <w:spacing w:after="0"/>
              <w:rPr>
                <w:sz w:val="20"/>
                <w:szCs w:val="20"/>
                <w:color w:val="auto"/>
              </w:rPr>
            </w:pPr>
            <w:r>
              <w:rPr>
                <w:rFonts w:ascii="Arial" w:cs="Arial" w:eastAsia="Arial" w:hAnsi="Arial"/>
                <w:sz w:val="16"/>
                <w:szCs w:val="16"/>
                <w:color w:val="auto"/>
              </w:rPr>
              <w:t>$368,000</w:t>
            </w:r>
          </w:p>
        </w:tc>
        <w:tc>
          <w:tcPr>
            <w:tcW w:w="940" w:type="dxa"/>
            <w:vAlign w:val="bottom"/>
          </w:tcPr>
          <w:p>
            <w:pPr>
              <w:jc w:val="center"/>
              <w:spacing w:after="0"/>
              <w:rPr>
                <w:sz w:val="20"/>
                <w:szCs w:val="20"/>
                <w:color w:val="auto"/>
              </w:rPr>
            </w:pPr>
            <w:r>
              <w:rPr>
                <w:rFonts w:ascii="Arial" w:cs="Arial" w:eastAsia="Arial" w:hAnsi="Arial"/>
                <w:sz w:val="16"/>
                <w:szCs w:val="16"/>
                <w:color w:val="auto"/>
              </w:rPr>
              <w:t>$414,000</w:t>
            </w:r>
          </w:p>
        </w:tc>
        <w:tc>
          <w:tcPr>
            <w:tcW w:w="1080" w:type="dxa"/>
            <w:vAlign w:val="bottom"/>
          </w:tcPr>
          <w:p>
            <w:pPr>
              <w:jc w:val="center"/>
              <w:ind w:left="21"/>
              <w:spacing w:after="0"/>
              <w:rPr>
                <w:sz w:val="20"/>
                <w:szCs w:val="20"/>
                <w:color w:val="auto"/>
              </w:rPr>
            </w:pPr>
            <w:r>
              <w:rPr>
                <w:rFonts w:ascii="Arial" w:cs="Arial" w:eastAsia="Arial" w:hAnsi="Arial"/>
                <w:sz w:val="16"/>
                <w:szCs w:val="16"/>
                <w:color w:val="auto"/>
              </w:rPr>
              <w:t>12.5%</w:t>
            </w:r>
          </w:p>
        </w:tc>
      </w:tr>
      <w:tr>
        <w:trPr>
          <w:trHeight w:val="21"/>
        </w:trPr>
        <w:tc>
          <w:tcPr>
            <w:tcW w:w="50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36"/>
        </w:trPr>
        <w:tc>
          <w:tcPr>
            <w:tcW w:w="502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b w:val="1"/>
                <w:bCs w:val="1"/>
                <w:color w:val="auto"/>
              </w:rPr>
              <w:t>Darren L. Simons</w:t>
            </w:r>
          </w:p>
        </w:tc>
        <w:tc>
          <w:tcPr>
            <w:tcW w:w="3980" w:type="dxa"/>
            <w:vAlign w:val="bottom"/>
            <w:tcBorders>
              <w:bottom w:val="single" w:sz="8" w:color="EDEDED"/>
            </w:tcBorders>
            <w:shd w:val="clear" w:color="auto" w:fill="EDEDED"/>
          </w:tcPr>
          <w:p>
            <w:pPr>
              <w:jc w:val="center"/>
              <w:ind w:left="2982"/>
              <w:spacing w:after="0"/>
              <w:rPr>
                <w:sz w:val="20"/>
                <w:szCs w:val="20"/>
                <w:color w:val="auto"/>
              </w:rPr>
            </w:pPr>
            <w:r>
              <w:rPr>
                <w:rFonts w:ascii="Arial" w:cs="Arial" w:eastAsia="Arial" w:hAnsi="Arial"/>
                <w:sz w:val="16"/>
                <w:szCs w:val="16"/>
                <w:color w:val="auto"/>
              </w:rPr>
              <w:t>$335,000</w:t>
            </w:r>
          </w:p>
        </w:tc>
        <w:tc>
          <w:tcPr>
            <w:tcW w:w="94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$377,000</w:t>
            </w:r>
          </w:p>
        </w:tc>
        <w:tc>
          <w:tcPr>
            <w:tcW w:w="1080" w:type="dxa"/>
            <w:vAlign w:val="bottom"/>
            <w:tcBorders>
              <w:bottom w:val="single" w:sz="8" w:color="EDEDED"/>
            </w:tcBorders>
            <w:shd w:val="clear" w:color="auto" w:fill="EDEDED"/>
          </w:tcPr>
          <w:p>
            <w:pPr>
              <w:jc w:val="center"/>
              <w:ind w:left="21"/>
              <w:spacing w:after="0"/>
              <w:rPr>
                <w:sz w:val="20"/>
                <w:szCs w:val="20"/>
                <w:color w:val="auto"/>
              </w:rPr>
            </w:pPr>
            <w:r>
              <w:rPr>
                <w:rFonts w:ascii="Arial" w:cs="Arial" w:eastAsia="Arial" w:hAnsi="Arial"/>
                <w:sz w:val="16"/>
                <w:szCs w:val="16"/>
                <w:color w:val="auto"/>
              </w:rPr>
              <w:t>12.5%</w:t>
            </w:r>
          </w:p>
        </w:tc>
      </w:tr>
      <w:tr>
        <w:trPr>
          <w:trHeight w:val="20"/>
        </w:trPr>
        <w:tc>
          <w:tcPr>
            <w:tcW w:w="5020" w:type="dxa"/>
            <w:vAlign w:val="bottom"/>
            <w:shd w:val="clear" w:color="auto" w:fill="000000"/>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9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Notes:</w:t>
      </w:r>
    </w:p>
    <w:p>
      <w:pPr>
        <w:spacing w:after="0" w:line="127"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Amounts represent base salaries in effect on December 31 of each applicable year;</w:t>
      </w:r>
    </w:p>
    <w:p>
      <w:pPr>
        <w:spacing w:after="0" w:line="141" w:lineRule="exact"/>
        <w:rPr>
          <w:sz w:val="20"/>
          <w:szCs w:val="20"/>
          <w:color w:val="auto"/>
        </w:rPr>
      </w:pPr>
    </w:p>
    <w:p>
      <w:pPr>
        <w:ind w:left="10820"/>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1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-142875</wp:posOffset>
            </wp:positionV>
            <wp:extent cx="411480" cy="1974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11480" cy="1974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43"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increases for named executive officers were effective April 1, 2022; and</w:t>
      </w:r>
    </w:p>
    <w:p>
      <w:pPr>
        <w:spacing w:after="0" w:line="86" w:lineRule="exact"/>
        <w:rPr>
          <w:rFonts w:ascii="Arial" w:cs="Arial" w:eastAsia="Arial" w:hAnsi="Arial"/>
          <w:sz w:val="16"/>
          <w:szCs w:val="16"/>
          <w:color w:val="auto"/>
        </w:rPr>
      </w:pPr>
    </w:p>
    <w:p>
      <w:pPr>
        <w:ind w:left="660" w:right="220" w:hanging="328"/>
        <w:spacing w:after="0" w:line="286"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amounts reported for Mr. Thirot and Ms. Koolhaas are converted from Swiss Francs to U.S. Dollars at an exchange rate of 1 CHF = 1.047 USD. This is calculated using the IRS Yearly Average Currency Exchange Rate for Switzerland for 2022 of 0.955 (1 CHF ÷ 0.955 = $1.047).</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Annual Cash Incentive</w:t>
      </w:r>
    </w:p>
    <w:p>
      <w:pPr>
        <w:spacing w:after="0" w:line="111" w:lineRule="exact"/>
        <w:rPr>
          <w:sz w:val="20"/>
          <w:szCs w:val="20"/>
          <w:color w:val="auto"/>
        </w:rPr>
      </w:pPr>
    </w:p>
    <w:p>
      <w:pPr>
        <w:ind w:left="120" w:right="200"/>
        <w:spacing w:after="0" w:line="259" w:lineRule="auto"/>
        <w:rPr>
          <w:sz w:val="20"/>
          <w:szCs w:val="20"/>
          <w:color w:val="auto"/>
        </w:rPr>
      </w:pPr>
      <w:r>
        <w:rPr>
          <w:rFonts w:ascii="Arial" w:cs="Arial" w:eastAsia="Arial" w:hAnsi="Arial"/>
          <w:sz w:val="16"/>
          <w:szCs w:val="16"/>
          <w:color w:val="auto"/>
        </w:rPr>
        <w:t>The Committee believes that the named executive officers should have a meaningful percentage of their total compensation earned through annual “at risk” performance-based incentives. The percentage of target total compensation at risk under the terms of the STIP increases significantly as the individual executive’s responsibilities and influence on overall corporate performance results increase. The STIP design encourages executives to meet and exceed the Company’s short-term goals that align with overall corporate strategy and improve shareholder value.</w:t>
      </w:r>
    </w:p>
    <w:p>
      <w:pPr>
        <w:spacing w:after="0" w:line="178"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The STIP target opportunity is established as a percentage of each individual’s actual base salary earnings and is targeted near the median Market Data, but may vary based upon individual factors, internal equity, and other considerations. For 2022, STIP payments reverted to the pre pandemic maximum of 200% of target from the temporary decrease to 150% due to challenges from the pandemic. In November 2021, the Committee reviewed the target incentive opportunity for each of the named executive officers and made one adjustment to this group. All other named executive officers were found to be appropriately positioned relative to the Market Data.</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shows the 2021 and 2022 STIP target opportunities, as a percent of base salary, for our named executive officers:</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800" w:type="dxa"/>
            <w:vAlign w:val="bottom"/>
          </w:tcPr>
          <w:p>
            <w:pPr>
              <w:spacing w:after="0"/>
              <w:rPr>
                <w:sz w:val="14"/>
                <w:szCs w:val="14"/>
                <w:color w:val="auto"/>
              </w:rPr>
            </w:pPr>
          </w:p>
        </w:tc>
        <w:tc>
          <w:tcPr>
            <w:tcW w:w="1320" w:type="dxa"/>
            <w:vAlign w:val="bottom"/>
          </w:tcPr>
          <w:p>
            <w:pPr>
              <w:jc w:val="center"/>
              <w:ind w:left="122"/>
              <w:spacing w:after="0"/>
              <w:rPr>
                <w:sz w:val="20"/>
                <w:szCs w:val="20"/>
                <w:color w:val="auto"/>
              </w:rPr>
            </w:pPr>
            <w:r>
              <w:rPr>
                <w:rFonts w:ascii="Arial" w:cs="Arial" w:eastAsia="Arial" w:hAnsi="Arial"/>
                <w:sz w:val="14"/>
                <w:szCs w:val="14"/>
                <w:b w:val="1"/>
                <w:bCs w:val="1"/>
                <w:color w:val="00AF41"/>
              </w:rPr>
              <w:t>2021 STIP</w:t>
            </w:r>
          </w:p>
        </w:tc>
        <w:tc>
          <w:tcPr>
            <w:tcW w:w="900" w:type="dxa"/>
            <w:vAlign w:val="bottom"/>
          </w:tcPr>
          <w:p>
            <w:pPr>
              <w:jc w:val="center"/>
              <w:ind w:left="102"/>
              <w:spacing w:after="0"/>
              <w:rPr>
                <w:sz w:val="20"/>
                <w:szCs w:val="20"/>
                <w:color w:val="auto"/>
              </w:rPr>
            </w:pPr>
            <w:r>
              <w:rPr>
                <w:rFonts w:ascii="Arial" w:cs="Arial" w:eastAsia="Arial" w:hAnsi="Arial"/>
                <w:sz w:val="14"/>
                <w:szCs w:val="14"/>
                <w:b w:val="1"/>
                <w:bCs w:val="1"/>
                <w:color w:val="00AF41"/>
              </w:rPr>
              <w:t>2022 STIP</w:t>
            </w:r>
          </w:p>
        </w:tc>
      </w:tr>
      <w:tr>
        <w:trPr>
          <w:trHeight w:val="197"/>
        </w:trPr>
        <w:tc>
          <w:tcPr>
            <w:tcW w:w="8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00AF41"/>
              </w:rPr>
              <w:t>Named Executive Officer</w:t>
            </w:r>
          </w:p>
        </w:tc>
        <w:tc>
          <w:tcPr>
            <w:tcW w:w="132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00AF41"/>
              </w:rPr>
              <w:t>Target %</w:t>
            </w:r>
          </w:p>
        </w:tc>
        <w:tc>
          <w:tcPr>
            <w:tcW w:w="900" w:type="dxa"/>
            <w:vAlign w:val="bottom"/>
            <w:tcBorders>
              <w:bottom w:val="single" w:sz="8" w:color="auto"/>
            </w:tcBorders>
          </w:tcPr>
          <w:p>
            <w:pPr>
              <w:jc w:val="center"/>
              <w:ind w:left="102"/>
              <w:spacing w:after="0"/>
              <w:rPr>
                <w:sz w:val="20"/>
                <w:szCs w:val="20"/>
                <w:color w:val="auto"/>
              </w:rPr>
            </w:pPr>
            <w:r>
              <w:rPr>
                <w:rFonts w:ascii="Arial" w:cs="Arial" w:eastAsia="Arial" w:hAnsi="Arial"/>
                <w:sz w:val="14"/>
                <w:szCs w:val="14"/>
                <w:b w:val="1"/>
                <w:bCs w:val="1"/>
                <w:color w:val="00AF41"/>
              </w:rPr>
              <w:t>Target %</w:t>
            </w:r>
          </w:p>
        </w:tc>
      </w:tr>
      <w:tr>
        <w:trPr>
          <w:trHeight w:val="224"/>
        </w:trPr>
        <w:tc>
          <w:tcPr>
            <w:tcW w:w="8800" w:type="dxa"/>
            <w:vAlign w:val="bottom"/>
            <w:shd w:val="clear" w:color="auto" w:fill="EDEDED"/>
          </w:tcPr>
          <w:p>
            <w:pPr>
              <w:ind w:left="80"/>
              <w:spacing w:after="0"/>
              <w:rPr>
                <w:sz w:val="20"/>
                <w:szCs w:val="20"/>
                <w:color w:val="auto"/>
              </w:rPr>
            </w:pPr>
            <w:r>
              <w:rPr>
                <w:rFonts w:ascii="Arial" w:cs="Arial" w:eastAsia="Arial" w:hAnsi="Arial"/>
                <w:sz w:val="16"/>
                <w:szCs w:val="16"/>
                <w:b w:val="1"/>
                <w:bCs w:val="1"/>
                <w:color w:val="auto"/>
              </w:rPr>
              <w:t>Peter W. Quigley</w:t>
            </w:r>
          </w:p>
        </w:tc>
        <w:tc>
          <w:tcPr>
            <w:tcW w:w="1320" w:type="dxa"/>
            <w:vAlign w:val="bottom"/>
            <w:shd w:val="clear" w:color="auto" w:fill="EDEDED"/>
          </w:tcPr>
          <w:p>
            <w:pPr>
              <w:jc w:val="center"/>
              <w:ind w:left="122"/>
              <w:spacing w:after="0"/>
              <w:rPr>
                <w:sz w:val="20"/>
                <w:szCs w:val="20"/>
                <w:color w:val="auto"/>
              </w:rPr>
            </w:pPr>
            <w:r>
              <w:rPr>
                <w:rFonts w:ascii="Arial" w:cs="Arial" w:eastAsia="Arial" w:hAnsi="Arial"/>
                <w:sz w:val="16"/>
                <w:szCs w:val="16"/>
                <w:color w:val="auto"/>
                <w:w w:val="97"/>
              </w:rPr>
              <w:t>110%</w:t>
            </w:r>
          </w:p>
        </w:tc>
        <w:tc>
          <w:tcPr>
            <w:tcW w:w="900" w:type="dxa"/>
            <w:vAlign w:val="bottom"/>
            <w:shd w:val="clear" w:color="auto" w:fill="EDEDED"/>
          </w:tcPr>
          <w:p>
            <w:pPr>
              <w:jc w:val="center"/>
              <w:ind w:left="102"/>
              <w:spacing w:after="0"/>
              <w:rPr>
                <w:sz w:val="20"/>
                <w:szCs w:val="20"/>
                <w:color w:val="auto"/>
              </w:rPr>
            </w:pPr>
            <w:r>
              <w:rPr>
                <w:rFonts w:ascii="Arial" w:cs="Arial" w:eastAsia="Arial" w:hAnsi="Arial"/>
                <w:sz w:val="16"/>
                <w:szCs w:val="16"/>
                <w:color w:val="auto"/>
                <w:w w:val="97"/>
              </w:rPr>
              <w:t>110%</w:t>
            </w:r>
          </w:p>
        </w:tc>
      </w:tr>
      <w:tr>
        <w:trPr>
          <w:trHeight w:val="239"/>
        </w:trPr>
        <w:tc>
          <w:tcPr>
            <w:tcW w:w="8800" w:type="dxa"/>
            <w:vAlign w:val="bottom"/>
          </w:tcPr>
          <w:p>
            <w:pPr>
              <w:ind w:left="80"/>
              <w:spacing w:after="0"/>
              <w:rPr>
                <w:sz w:val="20"/>
                <w:szCs w:val="20"/>
                <w:color w:val="auto"/>
              </w:rPr>
            </w:pPr>
            <w:r>
              <w:rPr>
                <w:rFonts w:ascii="Arial" w:cs="Arial" w:eastAsia="Arial" w:hAnsi="Arial"/>
                <w:sz w:val="16"/>
                <w:szCs w:val="16"/>
                <w:b w:val="1"/>
                <w:bCs w:val="1"/>
                <w:color w:val="auto"/>
              </w:rPr>
              <w:t>Olivier G. Thirot</w:t>
            </w:r>
          </w:p>
        </w:tc>
        <w:tc>
          <w:tcPr>
            <w:tcW w:w="1320" w:type="dxa"/>
            <w:vAlign w:val="bottom"/>
          </w:tcPr>
          <w:p>
            <w:pPr>
              <w:jc w:val="center"/>
              <w:ind w:left="122"/>
              <w:spacing w:after="0"/>
              <w:rPr>
                <w:sz w:val="20"/>
                <w:szCs w:val="20"/>
                <w:color w:val="auto"/>
              </w:rPr>
            </w:pPr>
            <w:r>
              <w:rPr>
                <w:rFonts w:ascii="Arial" w:cs="Arial" w:eastAsia="Arial" w:hAnsi="Arial"/>
                <w:sz w:val="16"/>
                <w:szCs w:val="16"/>
                <w:color w:val="auto"/>
                <w:w w:val="99"/>
              </w:rPr>
              <w:t>80%</w:t>
            </w:r>
          </w:p>
        </w:tc>
        <w:tc>
          <w:tcPr>
            <w:tcW w:w="900" w:type="dxa"/>
            <w:vAlign w:val="bottom"/>
          </w:tcPr>
          <w:p>
            <w:pPr>
              <w:jc w:val="center"/>
              <w:ind w:left="102"/>
              <w:spacing w:after="0"/>
              <w:rPr>
                <w:sz w:val="20"/>
                <w:szCs w:val="20"/>
                <w:color w:val="auto"/>
              </w:rPr>
            </w:pPr>
            <w:r>
              <w:rPr>
                <w:rFonts w:ascii="Arial" w:cs="Arial" w:eastAsia="Arial" w:hAnsi="Arial"/>
                <w:sz w:val="16"/>
                <w:szCs w:val="16"/>
                <w:color w:val="auto"/>
                <w:w w:val="99"/>
              </w:rPr>
              <w:t>85%</w:t>
            </w:r>
          </w:p>
        </w:tc>
      </w:tr>
      <w:tr>
        <w:trPr>
          <w:trHeight w:val="247"/>
        </w:trPr>
        <w:tc>
          <w:tcPr>
            <w:tcW w:w="8800" w:type="dxa"/>
            <w:vAlign w:val="bottom"/>
            <w:shd w:val="clear" w:color="auto" w:fill="EDEDED"/>
          </w:tcPr>
          <w:p>
            <w:pPr>
              <w:ind w:left="80"/>
              <w:spacing w:after="0"/>
              <w:rPr>
                <w:sz w:val="20"/>
                <w:szCs w:val="20"/>
                <w:color w:val="auto"/>
              </w:rPr>
            </w:pPr>
            <w:r>
              <w:rPr>
                <w:rFonts w:ascii="Arial" w:cs="Arial" w:eastAsia="Arial" w:hAnsi="Arial"/>
                <w:sz w:val="16"/>
                <w:szCs w:val="16"/>
                <w:b w:val="1"/>
                <w:bCs w:val="1"/>
                <w:color w:val="auto"/>
              </w:rPr>
              <w:t>Dinette Koolhaas</w:t>
            </w:r>
          </w:p>
        </w:tc>
        <w:tc>
          <w:tcPr>
            <w:tcW w:w="1320" w:type="dxa"/>
            <w:vAlign w:val="bottom"/>
            <w:shd w:val="clear" w:color="auto" w:fill="EDEDED"/>
          </w:tcPr>
          <w:p>
            <w:pPr>
              <w:jc w:val="center"/>
              <w:ind w:left="122"/>
              <w:spacing w:after="0"/>
              <w:rPr>
                <w:sz w:val="20"/>
                <w:szCs w:val="20"/>
                <w:color w:val="auto"/>
              </w:rPr>
            </w:pPr>
            <w:r>
              <w:rPr>
                <w:rFonts w:ascii="Arial" w:cs="Arial" w:eastAsia="Arial" w:hAnsi="Arial"/>
                <w:sz w:val="16"/>
                <w:szCs w:val="16"/>
                <w:color w:val="auto"/>
                <w:w w:val="99"/>
              </w:rPr>
              <w:t>55%</w:t>
            </w:r>
          </w:p>
        </w:tc>
        <w:tc>
          <w:tcPr>
            <w:tcW w:w="900" w:type="dxa"/>
            <w:vAlign w:val="bottom"/>
            <w:shd w:val="clear" w:color="auto" w:fill="EDEDED"/>
          </w:tcPr>
          <w:p>
            <w:pPr>
              <w:jc w:val="center"/>
              <w:ind w:left="102"/>
              <w:spacing w:after="0"/>
              <w:rPr>
                <w:sz w:val="20"/>
                <w:szCs w:val="20"/>
                <w:color w:val="auto"/>
              </w:rPr>
            </w:pPr>
            <w:r>
              <w:rPr>
                <w:rFonts w:ascii="Arial" w:cs="Arial" w:eastAsia="Arial" w:hAnsi="Arial"/>
                <w:sz w:val="16"/>
                <w:szCs w:val="16"/>
                <w:color w:val="auto"/>
                <w:w w:val="99"/>
              </w:rPr>
              <w:t>55%</w:t>
            </w:r>
          </w:p>
        </w:tc>
      </w:tr>
      <w:tr>
        <w:trPr>
          <w:trHeight w:val="239"/>
        </w:trPr>
        <w:tc>
          <w:tcPr>
            <w:tcW w:w="8800" w:type="dxa"/>
            <w:vAlign w:val="bottom"/>
          </w:tcPr>
          <w:p>
            <w:pPr>
              <w:ind w:left="80"/>
              <w:spacing w:after="0"/>
              <w:rPr>
                <w:sz w:val="20"/>
                <w:szCs w:val="20"/>
                <w:color w:val="auto"/>
              </w:rPr>
            </w:pPr>
            <w:r>
              <w:rPr>
                <w:rFonts w:ascii="Arial" w:cs="Arial" w:eastAsia="Arial" w:hAnsi="Arial"/>
                <w:sz w:val="16"/>
                <w:szCs w:val="16"/>
                <w:b w:val="1"/>
                <w:bCs w:val="1"/>
                <w:color w:val="auto"/>
              </w:rPr>
              <w:t>Vanessa P. Williams</w:t>
            </w:r>
          </w:p>
        </w:tc>
        <w:tc>
          <w:tcPr>
            <w:tcW w:w="1320" w:type="dxa"/>
            <w:vAlign w:val="bottom"/>
          </w:tcPr>
          <w:p>
            <w:pPr>
              <w:jc w:val="center"/>
              <w:ind w:left="122"/>
              <w:spacing w:after="0"/>
              <w:rPr>
                <w:sz w:val="20"/>
                <w:szCs w:val="20"/>
                <w:color w:val="auto"/>
              </w:rPr>
            </w:pPr>
            <w:r>
              <w:rPr>
                <w:rFonts w:ascii="Arial" w:cs="Arial" w:eastAsia="Arial" w:hAnsi="Arial"/>
                <w:sz w:val="16"/>
                <w:szCs w:val="16"/>
                <w:color w:val="auto"/>
                <w:w w:val="99"/>
              </w:rPr>
              <w:t>65%</w:t>
            </w:r>
          </w:p>
        </w:tc>
        <w:tc>
          <w:tcPr>
            <w:tcW w:w="900" w:type="dxa"/>
            <w:vAlign w:val="bottom"/>
          </w:tcPr>
          <w:p>
            <w:pPr>
              <w:jc w:val="center"/>
              <w:ind w:left="102"/>
              <w:spacing w:after="0"/>
              <w:rPr>
                <w:sz w:val="20"/>
                <w:szCs w:val="20"/>
                <w:color w:val="auto"/>
              </w:rPr>
            </w:pPr>
            <w:r>
              <w:rPr>
                <w:rFonts w:ascii="Arial" w:cs="Arial" w:eastAsia="Arial" w:hAnsi="Arial"/>
                <w:sz w:val="16"/>
                <w:szCs w:val="16"/>
                <w:color w:val="auto"/>
                <w:w w:val="99"/>
              </w:rPr>
              <w:t>65%</w:t>
            </w:r>
          </w:p>
        </w:tc>
      </w:tr>
      <w:tr>
        <w:trPr>
          <w:trHeight w:val="243"/>
        </w:trPr>
        <w:tc>
          <w:tcPr>
            <w:tcW w:w="8800" w:type="dxa"/>
            <w:vAlign w:val="bottom"/>
            <w:tcBorders>
              <w:bottom w:val="single" w:sz="8" w:color="auto"/>
            </w:tcBorders>
            <w:shd w:val="clear" w:color="auto" w:fill="EDEDED"/>
          </w:tcPr>
          <w:p>
            <w:pPr>
              <w:ind w:left="80"/>
              <w:spacing w:after="0"/>
              <w:rPr>
                <w:sz w:val="20"/>
                <w:szCs w:val="20"/>
                <w:color w:val="auto"/>
              </w:rPr>
            </w:pPr>
            <w:r>
              <w:rPr>
                <w:rFonts w:ascii="Arial" w:cs="Arial" w:eastAsia="Arial" w:hAnsi="Arial"/>
                <w:sz w:val="16"/>
                <w:szCs w:val="16"/>
                <w:b w:val="1"/>
                <w:bCs w:val="1"/>
                <w:color w:val="auto"/>
              </w:rPr>
              <w:t>Darren L. Simons</w:t>
            </w:r>
          </w:p>
        </w:tc>
        <w:tc>
          <w:tcPr>
            <w:tcW w:w="1320" w:type="dxa"/>
            <w:vAlign w:val="bottom"/>
            <w:tcBorders>
              <w:bottom w:val="single" w:sz="8" w:color="auto"/>
            </w:tcBorders>
            <w:shd w:val="clear" w:color="auto" w:fill="EDEDED"/>
          </w:tcPr>
          <w:p>
            <w:pPr>
              <w:jc w:val="center"/>
              <w:ind w:left="122"/>
              <w:spacing w:after="0"/>
              <w:rPr>
                <w:sz w:val="20"/>
                <w:szCs w:val="20"/>
                <w:color w:val="auto"/>
              </w:rPr>
            </w:pPr>
            <w:r>
              <w:rPr>
                <w:rFonts w:ascii="Arial" w:cs="Arial" w:eastAsia="Arial" w:hAnsi="Arial"/>
                <w:sz w:val="16"/>
                <w:szCs w:val="16"/>
                <w:color w:val="auto"/>
                <w:w w:val="99"/>
              </w:rPr>
              <w:t>55%</w:t>
            </w:r>
          </w:p>
        </w:tc>
        <w:tc>
          <w:tcPr>
            <w:tcW w:w="900" w:type="dxa"/>
            <w:vAlign w:val="bottom"/>
            <w:tcBorders>
              <w:bottom w:val="single" w:sz="8" w:color="auto"/>
            </w:tcBorders>
            <w:shd w:val="clear" w:color="auto" w:fill="EDEDED"/>
          </w:tcPr>
          <w:p>
            <w:pPr>
              <w:jc w:val="center"/>
              <w:ind w:left="102"/>
              <w:spacing w:after="0"/>
              <w:rPr>
                <w:sz w:val="20"/>
                <w:szCs w:val="20"/>
                <w:color w:val="auto"/>
              </w:rPr>
            </w:pPr>
            <w:r>
              <w:rPr>
                <w:rFonts w:ascii="Arial" w:cs="Arial" w:eastAsia="Arial" w:hAnsi="Arial"/>
                <w:sz w:val="16"/>
                <w:szCs w:val="16"/>
                <w:color w:val="auto"/>
                <w:w w:val="99"/>
              </w:rPr>
              <w:t>55%</w:t>
            </w:r>
          </w:p>
        </w:tc>
      </w:tr>
    </w:tbl>
    <w:p>
      <w:pPr>
        <w:spacing w:after="0" w:line="202" w:lineRule="exact"/>
        <w:rPr>
          <w:sz w:val="20"/>
          <w:szCs w:val="20"/>
          <w:color w:val="auto"/>
        </w:rPr>
      </w:pPr>
    </w:p>
    <w:p>
      <w:pPr>
        <w:ind w:left="120" w:right="200"/>
        <w:spacing w:after="0" w:line="259" w:lineRule="auto"/>
        <w:rPr>
          <w:sz w:val="20"/>
          <w:szCs w:val="20"/>
          <w:color w:val="auto"/>
        </w:rPr>
      </w:pPr>
      <w:r>
        <w:rPr>
          <w:rFonts w:ascii="Arial" w:cs="Arial" w:eastAsia="Arial" w:hAnsi="Arial"/>
          <w:sz w:val="16"/>
          <w:szCs w:val="16"/>
          <w:color w:val="auto"/>
        </w:rPr>
        <w:t>In the months leading up to year-end, the Committee reviews and determines the objectives, performance measures, and other terms and conditions of the STIP for the following plan year. For 2022, the Committee approved the use of Earnings from Operations (“EFO”) as the measure for the corporate component of the STIP. The Committee selected this financial measure for the STIP because it aligned with business objectives and value creation, provided balance, ensured a strong pay-performance linkage, and line of sight for senior officers, including the named executive officers.</w:t>
      </w:r>
    </w:p>
    <w:p>
      <w:pPr>
        <w:spacing w:after="0" w:line="178" w:lineRule="exact"/>
        <w:rPr>
          <w:sz w:val="20"/>
          <w:szCs w:val="20"/>
          <w:color w:val="auto"/>
        </w:rPr>
      </w:pPr>
    </w:p>
    <w:p>
      <w:pPr>
        <w:ind w:left="120" w:right="360"/>
        <w:spacing w:after="0" w:line="266" w:lineRule="auto"/>
        <w:rPr>
          <w:sz w:val="20"/>
          <w:szCs w:val="20"/>
          <w:color w:val="auto"/>
        </w:rPr>
      </w:pPr>
      <w:r>
        <w:rPr>
          <w:rFonts w:ascii="Arial" w:cs="Arial" w:eastAsia="Arial" w:hAnsi="Arial"/>
          <w:sz w:val="16"/>
          <w:szCs w:val="16"/>
          <w:color w:val="auto"/>
        </w:rPr>
        <w:t>Payout for threshold performance under the corporate component of STIP is set at 25% of a named executive officer’s target payout opportunity, with zero payout earned for performance below threshold. Achievement of target performance results in target payouts for the named executive officers. Performance above target earns incentive payouts above target and up to the maximum of 200% of target.</w:t>
      </w:r>
    </w:p>
    <w:p>
      <w:pPr>
        <w:spacing w:after="0" w:line="171" w:lineRule="exact"/>
        <w:rPr>
          <w:sz w:val="20"/>
          <w:szCs w:val="20"/>
          <w:color w:val="auto"/>
        </w:rPr>
      </w:pPr>
    </w:p>
    <w:p>
      <w:pPr>
        <w:ind w:left="120" w:right="240"/>
        <w:spacing w:after="0" w:line="259" w:lineRule="auto"/>
        <w:rPr>
          <w:sz w:val="20"/>
          <w:szCs w:val="20"/>
          <w:color w:val="auto"/>
        </w:rPr>
      </w:pPr>
      <w:r>
        <w:rPr>
          <w:rFonts w:ascii="Arial" w:cs="Arial" w:eastAsia="Arial" w:hAnsi="Arial"/>
          <w:sz w:val="16"/>
          <w:szCs w:val="16"/>
          <w:color w:val="auto"/>
        </w:rPr>
        <w:t>Performance measures used for purposes of funding STIP are the same as defined in the Company’s GAAP financial statements, excluding at the discretion of the Committee consideration of special items such as: changes in accounting principles, gains or losses on acquisitions or divestitures, changes in budget due to acquisitions or divestitures, restructuring expenses, and other unusual items, which are defined as such and quantified in the financial statements and/or footnotes to the Company’s Annual Report on Form 10-K. Adjustments would apply only to unbudgeted items.</w:t>
      </w:r>
    </w:p>
    <w:p>
      <w:pPr>
        <w:spacing w:after="0" w:line="178" w:lineRule="exact"/>
        <w:rPr>
          <w:sz w:val="20"/>
          <w:szCs w:val="20"/>
          <w:color w:val="auto"/>
        </w:rPr>
      </w:pPr>
    </w:p>
    <w:p>
      <w:pPr>
        <w:ind w:left="120" w:right="600"/>
        <w:spacing w:after="0" w:line="286" w:lineRule="auto"/>
        <w:rPr>
          <w:sz w:val="20"/>
          <w:szCs w:val="20"/>
          <w:color w:val="auto"/>
        </w:rPr>
      </w:pPr>
      <w:r>
        <w:rPr>
          <w:rFonts w:ascii="Arial" w:cs="Arial" w:eastAsia="Arial" w:hAnsi="Arial"/>
          <w:sz w:val="16"/>
          <w:szCs w:val="16"/>
          <w:color w:val="auto"/>
        </w:rPr>
        <w:t>For 2022, additional consideration was made to certain special items outside of management control that resulted in the unfavorable impact to the Company’s financial performance.</w:t>
      </w:r>
    </w:p>
    <w:p>
      <w:pPr>
        <w:spacing w:after="0" w:line="156" w:lineRule="exact"/>
        <w:rPr>
          <w:sz w:val="20"/>
          <w:szCs w:val="20"/>
          <w:color w:val="auto"/>
        </w:rPr>
      </w:pPr>
    </w:p>
    <w:p>
      <w:pPr>
        <w:ind w:left="120" w:right="340"/>
        <w:spacing w:after="0" w:line="286" w:lineRule="auto"/>
        <w:rPr>
          <w:sz w:val="20"/>
          <w:szCs w:val="20"/>
          <w:color w:val="auto"/>
        </w:rPr>
      </w:pPr>
      <w:r>
        <w:rPr>
          <w:rFonts w:ascii="Arial" w:cs="Arial" w:eastAsia="Arial" w:hAnsi="Arial"/>
          <w:sz w:val="16"/>
          <w:szCs w:val="16"/>
          <w:color w:val="auto"/>
        </w:rPr>
        <w:t>In February 2022, the Committee determined and approved threshold, intermediate, target, and maximum performance goal levels for the 2022 STIP. Due to continued uncertainty regarding achievability of performance-based incentives at</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1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-142875</wp:posOffset>
            </wp:positionV>
            <wp:extent cx="411480" cy="1974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411480" cy="1974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8220"/>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43" w:lineRule="exact"/>
        <w:rPr>
          <w:sz w:val="20"/>
          <w:szCs w:val="20"/>
          <w:color w:val="auto"/>
        </w:rPr>
      </w:pPr>
    </w:p>
    <w:p>
      <w:pPr>
        <w:ind w:left="120" w:right="200"/>
        <w:spacing w:after="0" w:line="266" w:lineRule="auto"/>
        <w:rPr>
          <w:sz w:val="20"/>
          <w:szCs w:val="20"/>
          <w:color w:val="auto"/>
        </w:rPr>
      </w:pPr>
      <w:r>
        <w:rPr>
          <w:rFonts w:ascii="Arial" w:cs="Arial" w:eastAsia="Arial" w:hAnsi="Arial"/>
          <w:sz w:val="16"/>
          <w:szCs w:val="16"/>
          <w:color w:val="auto"/>
        </w:rPr>
        <w:t>expected 2022 performance levels, a shift in the performance/payout schedules was continued for 2022. The threshold goal was set at a level for which the Committee believed it was appropriate to start earning incentives. At expected performance levels (intermediate), it was determined that an 80% payout was affordable; the target goal was set at the budgeted EFO. Target award opportunities remained unchanged.</w:t>
      </w:r>
    </w:p>
    <w:p>
      <w:pPr>
        <w:spacing w:after="0" w:line="171"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auto"/>
        </w:rPr>
        <w:t>Maximum goals were set at significant stretch levels, which the Committee believed warranted the earning of 200% of target payouts. For the 2022 STIP, payouts for Messrs. Quigley, Thirot, Simons, and Ms. Williams were based 100% on Corporate measures. Payouts for Ms. Koolhaas were based 40% on Corporate measures and 60% on individual business segment measures. Straight line interpolation occurs for achievement of performance between the specified EFO goals shown below. Participants also had an individual performance component which is funded from the Corporate EFO result. The individual performance payout can be adjusted upward or downward based on each leader’s performance against established Objectives, Goals, Strategies, Measures (“OGSMs”) and other financial and non-financial considerations. The goals at threshold, intermediate, target, and maximum for the 2022 STIP, as well as resulting performance for the measure of the corporate component were as follows:</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00AF41"/>
              </w:rPr>
              <w:t>2022 Performance Goals</w:t>
            </w:r>
          </w:p>
        </w:tc>
        <w:tc>
          <w:tcPr>
            <w:tcW w:w="900" w:type="dxa"/>
            <w:vAlign w:val="bottom"/>
            <w:tcBorders>
              <w:bottom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44"/>
        </w:trPr>
        <w:tc>
          <w:tcPr>
            <w:tcW w:w="3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40" w:type="dxa"/>
            <w:vAlign w:val="bottom"/>
          </w:tcPr>
          <w:p>
            <w:pPr>
              <w:ind w:left="280"/>
              <w:spacing w:after="0" w:line="145" w:lineRule="exact"/>
              <w:rPr>
                <w:sz w:val="20"/>
                <w:szCs w:val="20"/>
                <w:color w:val="auto"/>
              </w:rPr>
            </w:pPr>
            <w:r>
              <w:rPr>
                <w:rFonts w:ascii="Arial" w:cs="Arial" w:eastAsia="Arial" w:hAnsi="Arial"/>
                <w:sz w:val="14"/>
                <w:szCs w:val="14"/>
                <w:b w:val="1"/>
                <w:bCs w:val="1"/>
                <w:color w:val="00AF41"/>
              </w:rPr>
              <w:t>Threshold</w:t>
            </w:r>
          </w:p>
        </w:tc>
        <w:tc>
          <w:tcPr>
            <w:tcW w:w="1200" w:type="dxa"/>
            <w:vAlign w:val="bottom"/>
            <w:gridSpan w:val="2"/>
          </w:tcPr>
          <w:p>
            <w:pPr>
              <w:ind w:left="180"/>
              <w:spacing w:after="0" w:line="145" w:lineRule="exact"/>
              <w:rPr>
                <w:sz w:val="20"/>
                <w:szCs w:val="20"/>
                <w:color w:val="auto"/>
              </w:rPr>
            </w:pPr>
            <w:r>
              <w:rPr>
                <w:rFonts w:ascii="Arial" w:cs="Arial" w:eastAsia="Arial" w:hAnsi="Arial"/>
                <w:sz w:val="14"/>
                <w:szCs w:val="14"/>
                <w:b w:val="1"/>
                <w:bCs w:val="1"/>
                <w:color w:val="00AF41"/>
              </w:rPr>
              <w:t>Intermediate</w:t>
            </w:r>
          </w:p>
        </w:tc>
        <w:tc>
          <w:tcPr>
            <w:tcW w:w="940" w:type="dxa"/>
            <w:vAlign w:val="bottom"/>
          </w:tcPr>
          <w:p>
            <w:pPr>
              <w:ind w:left="260"/>
              <w:spacing w:after="0" w:line="145" w:lineRule="exact"/>
              <w:rPr>
                <w:sz w:val="20"/>
                <w:szCs w:val="20"/>
                <w:color w:val="auto"/>
              </w:rPr>
            </w:pPr>
            <w:r>
              <w:rPr>
                <w:rFonts w:ascii="Arial" w:cs="Arial" w:eastAsia="Arial" w:hAnsi="Arial"/>
                <w:sz w:val="14"/>
                <w:szCs w:val="14"/>
                <w:b w:val="1"/>
                <w:bCs w:val="1"/>
                <w:color w:val="00AF41"/>
              </w:rPr>
              <w:t>Target</w:t>
            </w:r>
          </w:p>
        </w:tc>
        <w:tc>
          <w:tcPr>
            <w:tcW w:w="900" w:type="dxa"/>
            <w:vAlign w:val="bottom"/>
          </w:tcPr>
          <w:p>
            <w:pPr>
              <w:ind w:left="180"/>
              <w:spacing w:after="0" w:line="145" w:lineRule="exact"/>
              <w:rPr>
                <w:sz w:val="20"/>
                <w:szCs w:val="20"/>
                <w:color w:val="auto"/>
              </w:rPr>
            </w:pPr>
            <w:r>
              <w:rPr>
                <w:rFonts w:ascii="Arial" w:cs="Arial" w:eastAsia="Arial" w:hAnsi="Arial"/>
                <w:sz w:val="14"/>
                <w:szCs w:val="14"/>
                <w:b w:val="1"/>
                <w:bCs w:val="1"/>
                <w:color w:val="00AF41"/>
              </w:rPr>
              <w:t>Maximum</w:t>
            </w:r>
          </w:p>
        </w:tc>
        <w:tc>
          <w:tcPr>
            <w:tcW w:w="500" w:type="dxa"/>
            <w:vAlign w:val="bottom"/>
          </w:tcPr>
          <w:p>
            <w:pPr>
              <w:spacing w:after="0"/>
              <w:rPr>
                <w:sz w:val="12"/>
                <w:szCs w:val="12"/>
                <w:color w:val="auto"/>
              </w:rPr>
            </w:pPr>
          </w:p>
        </w:tc>
        <w:tc>
          <w:tcPr>
            <w:tcW w:w="980" w:type="dxa"/>
            <w:vAlign w:val="bottom"/>
          </w:tcPr>
          <w:p>
            <w:pPr>
              <w:jc w:val="right"/>
              <w:ind w:right="464"/>
              <w:spacing w:after="0" w:line="145" w:lineRule="exact"/>
              <w:rPr>
                <w:sz w:val="20"/>
                <w:szCs w:val="20"/>
                <w:color w:val="auto"/>
              </w:rPr>
            </w:pPr>
            <w:r>
              <w:rPr>
                <w:rFonts w:ascii="Arial" w:cs="Arial" w:eastAsia="Arial" w:hAnsi="Arial"/>
                <w:sz w:val="14"/>
                <w:szCs w:val="14"/>
                <w:b w:val="1"/>
                <w:bCs w:val="1"/>
                <w:color w:val="00AF41"/>
              </w:rPr>
              <w:t>2022</w:t>
            </w:r>
          </w:p>
        </w:tc>
        <w:tc>
          <w:tcPr>
            <w:tcW w:w="740" w:type="dxa"/>
            <w:vAlign w:val="bottom"/>
          </w:tcPr>
          <w:p>
            <w:pPr>
              <w:jc w:val="right"/>
              <w:ind w:right="84"/>
              <w:spacing w:after="0" w:line="145" w:lineRule="exact"/>
              <w:rPr>
                <w:sz w:val="20"/>
                <w:szCs w:val="20"/>
                <w:color w:val="auto"/>
              </w:rPr>
            </w:pPr>
            <w:r>
              <w:rPr>
                <w:rFonts w:ascii="Arial" w:cs="Arial" w:eastAsia="Arial" w:hAnsi="Arial"/>
                <w:sz w:val="14"/>
                <w:szCs w:val="14"/>
                <w:b w:val="1"/>
                <w:bCs w:val="1"/>
                <w:color w:val="00AF41"/>
              </w:rPr>
              <w:t>2022</w:t>
            </w:r>
          </w:p>
        </w:tc>
      </w:tr>
      <w:tr>
        <w:trPr>
          <w:trHeight w:val="202"/>
        </w:trPr>
        <w:tc>
          <w:tcPr>
            <w:tcW w:w="3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AF41"/>
              </w:rPr>
              <w:t>Corporate Component</w:t>
            </w:r>
          </w:p>
        </w:tc>
        <w:tc>
          <w:tcPr>
            <w:tcW w:w="116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00AF41"/>
              </w:rPr>
              <w:t>Weighting</w:t>
            </w:r>
          </w:p>
        </w:tc>
        <w:tc>
          <w:tcPr>
            <w:tcW w:w="114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00AF41"/>
              </w:rPr>
              <w:t>25%</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00AF41"/>
              </w:rPr>
              <w:t>80%</w:t>
            </w:r>
          </w:p>
        </w:tc>
        <w:tc>
          <w:tcPr>
            <w:tcW w:w="94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00AF41"/>
              </w:rPr>
              <w:t>100%</w:t>
            </w:r>
          </w:p>
        </w:tc>
        <w:tc>
          <w:tcPr>
            <w:tcW w:w="90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00AF41"/>
              </w:rPr>
              <w:t>200%</w:t>
            </w:r>
          </w:p>
        </w:tc>
        <w:tc>
          <w:tcPr>
            <w:tcW w:w="1480" w:type="dxa"/>
            <w:vAlign w:val="bottom"/>
            <w:tcBorders>
              <w:bottom w:val="single" w:sz="8" w:color="auto"/>
            </w:tcBorders>
            <w:gridSpan w:val="2"/>
          </w:tcPr>
          <w:p>
            <w:pPr>
              <w:ind w:left="280"/>
              <w:spacing w:after="0" w:line="202" w:lineRule="exact"/>
              <w:rPr>
                <w:sz w:val="20"/>
                <w:szCs w:val="20"/>
                <w:color w:val="auto"/>
              </w:rPr>
            </w:pPr>
            <w:r>
              <w:rPr>
                <w:rFonts w:ascii="Arial" w:cs="Arial" w:eastAsia="Arial" w:hAnsi="Arial"/>
                <w:sz w:val="14"/>
                <w:szCs w:val="14"/>
                <w:b w:val="1"/>
                <w:bCs w:val="1"/>
                <w:color w:val="00AF41"/>
              </w:rPr>
              <w:t>Performance</w:t>
            </w:r>
            <w:r>
              <w:rPr>
                <w:rFonts w:ascii="Arial" w:cs="Arial" w:eastAsia="Arial" w:hAnsi="Arial"/>
                <w:sz w:val="21"/>
                <w:szCs w:val="21"/>
                <w:b w:val="1"/>
                <w:bCs w:val="1"/>
                <w:color w:val="00AF41"/>
                <w:vertAlign w:val="superscript"/>
              </w:rPr>
              <w:t>(1)</w:t>
            </w: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00AF41"/>
              </w:rPr>
              <w:t>Payout</w:t>
            </w:r>
          </w:p>
        </w:tc>
      </w:tr>
      <w:tr>
        <w:trPr>
          <w:trHeight w:val="217"/>
        </w:trPr>
        <w:tc>
          <w:tcPr>
            <w:tcW w:w="3460" w:type="dxa"/>
            <w:vAlign w:val="bottom"/>
            <w:tcBorders>
              <w:bottom w:val="single" w:sz="8" w:color="auto"/>
            </w:tcBorders>
            <w:shd w:val="clear" w:color="auto" w:fill="EDEDED"/>
          </w:tcPr>
          <w:p>
            <w:pPr>
              <w:ind w:left="80"/>
              <w:spacing w:after="0"/>
              <w:rPr>
                <w:sz w:val="20"/>
                <w:szCs w:val="20"/>
                <w:color w:val="auto"/>
              </w:rPr>
            </w:pPr>
            <w:r>
              <w:rPr>
                <w:rFonts w:ascii="Arial" w:cs="Arial" w:eastAsia="Arial" w:hAnsi="Arial"/>
                <w:sz w:val="16"/>
                <w:szCs w:val="16"/>
                <w:color w:val="auto"/>
              </w:rPr>
              <w:t>EFO</w:t>
            </w:r>
          </w:p>
        </w:tc>
        <w:tc>
          <w:tcPr>
            <w:tcW w:w="116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6"/>
                <w:szCs w:val="16"/>
                <w:color w:val="auto"/>
              </w:rPr>
              <w:t>100%</w:t>
            </w:r>
          </w:p>
        </w:tc>
        <w:tc>
          <w:tcPr>
            <w:tcW w:w="1140" w:type="dxa"/>
            <w:vAlign w:val="bottom"/>
            <w:tcBorders>
              <w:bottom w:val="single" w:sz="8" w:color="auto"/>
            </w:tcBorders>
            <w:shd w:val="clear" w:color="auto" w:fill="EDEDED"/>
          </w:tcPr>
          <w:p>
            <w:pPr>
              <w:jc w:val="right"/>
              <w:ind w:right="85"/>
              <w:spacing w:after="0"/>
              <w:rPr>
                <w:sz w:val="20"/>
                <w:szCs w:val="20"/>
                <w:color w:val="auto"/>
              </w:rPr>
            </w:pPr>
            <w:r>
              <w:rPr>
                <w:rFonts w:ascii="Arial" w:cs="Arial" w:eastAsia="Arial" w:hAnsi="Arial"/>
                <w:sz w:val="16"/>
                <w:szCs w:val="16"/>
                <w:color w:val="auto"/>
              </w:rPr>
              <w:t>$   60.40</w:t>
            </w:r>
          </w:p>
        </w:tc>
        <w:tc>
          <w:tcPr>
            <w:tcW w:w="360" w:type="dxa"/>
            <w:vAlign w:val="bottom"/>
            <w:tcBorders>
              <w:bottom w:val="single" w:sz="8" w:color="auto"/>
            </w:tcBorders>
            <w:shd w:val="clear" w:color="auto" w:fill="EDEDED"/>
          </w:tcPr>
          <w:p>
            <w:pPr>
              <w:ind w:left="1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EDEDED"/>
          </w:tcPr>
          <w:p>
            <w:pPr>
              <w:jc w:val="right"/>
              <w:ind w:right="84"/>
              <w:spacing w:after="0"/>
              <w:rPr>
                <w:sz w:val="20"/>
                <w:szCs w:val="20"/>
                <w:color w:val="auto"/>
              </w:rPr>
            </w:pPr>
            <w:r>
              <w:rPr>
                <w:rFonts w:ascii="Arial" w:cs="Arial" w:eastAsia="Arial" w:hAnsi="Arial"/>
                <w:sz w:val="16"/>
                <w:szCs w:val="16"/>
                <w:color w:val="auto"/>
              </w:rPr>
              <w:t>82.60</w:t>
            </w:r>
          </w:p>
        </w:tc>
        <w:tc>
          <w:tcPr>
            <w:tcW w:w="940" w:type="dxa"/>
            <w:vAlign w:val="bottom"/>
            <w:tcBorders>
              <w:bottom w:val="single" w:sz="8" w:color="auto"/>
            </w:tcBorders>
            <w:shd w:val="clear" w:color="auto" w:fill="EDEDED"/>
          </w:tcPr>
          <w:p>
            <w:pPr>
              <w:jc w:val="right"/>
              <w:ind w:right="85"/>
              <w:spacing w:after="0"/>
              <w:rPr>
                <w:sz w:val="20"/>
                <w:szCs w:val="20"/>
                <w:color w:val="auto"/>
              </w:rPr>
            </w:pPr>
            <w:r>
              <w:rPr>
                <w:rFonts w:ascii="Arial" w:cs="Arial" w:eastAsia="Arial" w:hAnsi="Arial"/>
                <w:sz w:val="16"/>
                <w:szCs w:val="16"/>
                <w:color w:val="auto"/>
              </w:rPr>
              <w:t>$103.30</w:t>
            </w:r>
          </w:p>
        </w:tc>
        <w:tc>
          <w:tcPr>
            <w:tcW w:w="90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6"/>
                <w:szCs w:val="16"/>
                <w:color w:val="auto"/>
              </w:rPr>
              <w:t>$ 139.50</w:t>
            </w:r>
          </w:p>
        </w:tc>
        <w:tc>
          <w:tcPr>
            <w:tcW w:w="500" w:type="dxa"/>
            <w:vAlign w:val="bottom"/>
            <w:tcBorders>
              <w:bottom w:val="single" w:sz="8" w:color="auto"/>
            </w:tcBorders>
            <w:shd w:val="clear" w:color="auto" w:fill="EDEDED"/>
          </w:tcPr>
          <w:p>
            <w:pPr>
              <w:ind w:left="28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DEDED"/>
          </w:tcPr>
          <w:p>
            <w:pPr>
              <w:jc w:val="right"/>
              <w:ind w:right="104"/>
              <w:spacing w:after="0"/>
              <w:rPr>
                <w:sz w:val="20"/>
                <w:szCs w:val="20"/>
                <w:color w:val="auto"/>
              </w:rPr>
            </w:pPr>
            <w:r>
              <w:rPr>
                <w:rFonts w:ascii="Arial" w:cs="Arial" w:eastAsia="Arial" w:hAnsi="Arial"/>
                <w:sz w:val="16"/>
                <w:szCs w:val="16"/>
                <w:color w:val="auto"/>
              </w:rPr>
              <w:t>87.40</w:t>
            </w:r>
          </w:p>
        </w:tc>
        <w:tc>
          <w:tcPr>
            <w:tcW w:w="7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6"/>
                <w:szCs w:val="16"/>
                <w:color w:val="auto"/>
              </w:rPr>
              <w:t>84.6%</w:t>
            </w:r>
          </w:p>
        </w:tc>
      </w:tr>
      <w:tr>
        <w:trPr>
          <w:trHeight w:val="215"/>
        </w:trPr>
        <w:tc>
          <w:tcPr>
            <w:tcW w:w="3460" w:type="dxa"/>
            <w:vAlign w:val="bottom"/>
          </w:tcPr>
          <w:p>
            <w:pPr>
              <w:ind w:left="80"/>
              <w:spacing w:after="0"/>
              <w:rPr>
                <w:sz w:val="20"/>
                <w:szCs w:val="20"/>
                <w:color w:val="auto"/>
              </w:rPr>
            </w:pPr>
            <w:r>
              <w:rPr>
                <w:rFonts w:ascii="Arial" w:cs="Arial" w:eastAsia="Arial" w:hAnsi="Arial"/>
                <w:sz w:val="16"/>
                <w:szCs w:val="16"/>
                <w:i w:val="1"/>
                <w:iCs w:val="1"/>
                <w:color w:val="auto"/>
              </w:rPr>
              <w:t>$ in millions</w:t>
            </w:r>
          </w:p>
        </w:tc>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84.6%</w:t>
            </w:r>
          </w:p>
        </w:tc>
      </w:tr>
    </w:tbl>
    <w:p>
      <w:pPr>
        <w:spacing w:after="0" w:line="240" w:lineRule="exact"/>
        <w:rPr>
          <w:sz w:val="20"/>
          <w:szCs w:val="20"/>
          <w:color w:val="auto"/>
        </w:rPr>
      </w:pPr>
    </w:p>
    <w:p>
      <w:pPr>
        <w:ind w:left="440" w:right="420" w:hanging="324"/>
        <w:spacing w:after="0" w:line="196" w:lineRule="auto"/>
        <w:tabs>
          <w:tab w:leader="none" w:pos="440" w:val="left"/>
        </w:tabs>
        <w:numPr>
          <w:ilvl w:val="0"/>
          <w:numId w:val="45"/>
        </w:numPr>
        <w:rPr>
          <w:rFonts w:ascii="Arial" w:cs="Arial" w:eastAsia="Arial" w:hAnsi="Arial"/>
          <w:sz w:val="19"/>
          <w:szCs w:val="19"/>
          <w:color w:val="auto"/>
          <w:vertAlign w:val="superscript"/>
        </w:rPr>
      </w:pPr>
      <w:r>
        <w:rPr>
          <w:rFonts w:ascii="Arial" w:cs="Arial" w:eastAsia="Arial" w:hAnsi="Arial"/>
          <w:sz w:val="13"/>
          <w:szCs w:val="13"/>
          <w:color w:val="auto"/>
        </w:rPr>
        <w:t>2022 performance amount includes adjustments for goodwill impairment charge, loss on the disposal of Kelly’s Russian operations, gains on the sale of assets, and other considerations approved by the Committee.</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6"/>
          <w:szCs w:val="16"/>
          <w:i w:val="1"/>
          <w:iCs w:val="1"/>
          <w:u w:val="single" w:color="auto"/>
          <w:color w:val="auto"/>
        </w:rPr>
        <w:t>Dinette Koolhaas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Ms. Koolhaas’ STIP opportunity was based 40% on the corporate measures and 60% on the business unit measure for which she was accountable.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Performance results for each of Ms. Koolhaas’ measures are as follows: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00AF41"/>
              </w:rPr>
              <w:t>2022 Performance Goals</w:t>
            </w:r>
          </w:p>
        </w:tc>
        <w:tc>
          <w:tcPr>
            <w:tcW w:w="700" w:type="dxa"/>
            <w:vAlign w:val="bottom"/>
          </w:tcPr>
          <w:p>
            <w:pPr>
              <w:spacing w:after="0"/>
              <w:rPr>
                <w:sz w:val="14"/>
                <w:szCs w:val="14"/>
                <w:color w:val="auto"/>
              </w:rPr>
            </w:pPr>
          </w:p>
        </w:tc>
        <w:tc>
          <w:tcPr>
            <w:tcW w:w="760" w:type="dxa"/>
            <w:vAlign w:val="bottom"/>
          </w:tcPr>
          <w:p>
            <w:pPr>
              <w:jc w:val="center"/>
              <w:ind w:left="4"/>
              <w:spacing w:after="0"/>
              <w:rPr>
                <w:sz w:val="20"/>
                <w:szCs w:val="20"/>
                <w:color w:val="auto"/>
              </w:rPr>
            </w:pPr>
            <w:r>
              <w:rPr>
                <w:rFonts w:ascii="Arial" w:cs="Arial" w:eastAsia="Arial" w:hAnsi="Arial"/>
                <w:sz w:val="14"/>
                <w:szCs w:val="14"/>
                <w:b w:val="1"/>
                <w:bCs w:val="1"/>
                <w:color w:val="00AF41"/>
              </w:rPr>
              <w:t>2022</w:t>
            </w: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00AF41"/>
              </w:rPr>
              <w:t>Payout</w:t>
            </w:r>
          </w:p>
        </w:tc>
        <w:tc>
          <w:tcPr>
            <w:tcW w:w="0" w:type="dxa"/>
            <w:vAlign w:val="bottom"/>
          </w:tcPr>
          <w:p>
            <w:pPr>
              <w:spacing w:after="0"/>
              <w:rPr>
                <w:sz w:val="1"/>
                <w:szCs w:val="1"/>
                <w:color w:val="auto"/>
              </w:rPr>
            </w:pPr>
          </w:p>
        </w:tc>
      </w:tr>
      <w:tr>
        <w:trPr>
          <w:trHeight w:val="89"/>
        </w:trPr>
        <w:tc>
          <w:tcPr>
            <w:tcW w:w="5580" w:type="dxa"/>
            <w:vAlign w:val="bottom"/>
            <w:vMerge w:val="restart"/>
          </w:tcPr>
          <w:p>
            <w:pPr>
              <w:ind w:left="80"/>
              <w:spacing w:after="0"/>
              <w:rPr>
                <w:sz w:val="20"/>
                <w:szCs w:val="20"/>
                <w:color w:val="auto"/>
              </w:rPr>
            </w:pPr>
            <w:r>
              <w:rPr>
                <w:rFonts w:ascii="Arial" w:cs="Arial" w:eastAsia="Arial" w:hAnsi="Arial"/>
                <w:sz w:val="14"/>
                <w:szCs w:val="14"/>
                <w:b w:val="1"/>
                <w:bCs w:val="1"/>
                <w:color w:val="00AF41"/>
              </w:rPr>
              <w:t>Corporate Component and</w:t>
            </w:r>
          </w:p>
        </w:tc>
        <w:tc>
          <w:tcPr>
            <w:tcW w:w="80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gridSpan w:val="2"/>
            <w:vMerge w:val="continue"/>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760" w:type="dxa"/>
            <w:vAlign w:val="bottom"/>
            <w:vMerge w:val="restart"/>
          </w:tcPr>
          <w:p>
            <w:pPr>
              <w:jc w:val="center"/>
              <w:ind w:left="4"/>
              <w:spacing w:after="0"/>
              <w:rPr>
                <w:sz w:val="20"/>
                <w:szCs w:val="20"/>
                <w:color w:val="auto"/>
              </w:rPr>
            </w:pPr>
            <w:r>
              <w:rPr>
                <w:rFonts w:ascii="Arial" w:cs="Arial" w:eastAsia="Arial" w:hAnsi="Arial"/>
                <w:sz w:val="14"/>
                <w:szCs w:val="14"/>
                <w:b w:val="1"/>
                <w:bCs w:val="1"/>
                <w:color w:val="00AF41"/>
              </w:rPr>
              <w:t>Actual</w:t>
            </w:r>
          </w:p>
        </w:tc>
        <w:tc>
          <w:tcPr>
            <w:tcW w:w="6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00AF41"/>
              </w:rPr>
              <w:t>(% of</w:t>
            </w:r>
          </w:p>
        </w:tc>
        <w:tc>
          <w:tcPr>
            <w:tcW w:w="0" w:type="dxa"/>
            <w:vAlign w:val="bottom"/>
          </w:tcPr>
          <w:p>
            <w:pPr>
              <w:spacing w:after="0"/>
              <w:rPr>
                <w:sz w:val="1"/>
                <w:szCs w:val="1"/>
                <w:color w:val="auto"/>
              </w:rPr>
            </w:pPr>
          </w:p>
        </w:tc>
      </w:tr>
      <w:tr>
        <w:trPr>
          <w:trHeight w:val="53"/>
        </w:trPr>
        <w:tc>
          <w:tcPr>
            <w:tcW w:w="558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5580" w:type="dxa"/>
            <w:vAlign w:val="bottom"/>
          </w:tcPr>
          <w:p>
            <w:pPr>
              <w:ind w:left="80"/>
              <w:spacing w:after="0"/>
              <w:rPr>
                <w:sz w:val="20"/>
                <w:szCs w:val="20"/>
                <w:color w:val="auto"/>
              </w:rPr>
            </w:pPr>
            <w:r>
              <w:rPr>
                <w:rFonts w:ascii="Arial" w:cs="Arial" w:eastAsia="Arial" w:hAnsi="Arial"/>
                <w:sz w:val="14"/>
                <w:szCs w:val="14"/>
                <w:b w:val="1"/>
                <w:bCs w:val="1"/>
                <w:color w:val="00AF41"/>
              </w:rPr>
              <w:t>Business Unit Performance Measures</w:t>
            </w:r>
          </w:p>
        </w:tc>
        <w:tc>
          <w:tcPr>
            <w:tcW w:w="800" w:type="dxa"/>
            <w:vAlign w:val="bottom"/>
          </w:tcPr>
          <w:p>
            <w:pPr>
              <w:ind w:left="100"/>
              <w:spacing w:after="0"/>
              <w:rPr>
                <w:sz w:val="20"/>
                <w:szCs w:val="20"/>
                <w:color w:val="auto"/>
              </w:rPr>
            </w:pPr>
            <w:r>
              <w:rPr>
                <w:rFonts w:ascii="Arial" w:cs="Arial" w:eastAsia="Arial" w:hAnsi="Arial"/>
                <w:sz w:val="14"/>
                <w:szCs w:val="14"/>
                <w:b w:val="1"/>
                <w:bCs w:val="1"/>
                <w:color w:val="00AF41"/>
              </w:rPr>
              <w:t>Weighting</w:t>
            </w:r>
          </w:p>
        </w:tc>
        <w:tc>
          <w:tcPr>
            <w:tcW w:w="820" w:type="dxa"/>
            <w:vAlign w:val="bottom"/>
          </w:tcPr>
          <w:p>
            <w:pPr>
              <w:ind w:left="120"/>
              <w:spacing w:after="0"/>
              <w:rPr>
                <w:sz w:val="20"/>
                <w:szCs w:val="20"/>
                <w:color w:val="auto"/>
              </w:rPr>
            </w:pPr>
            <w:r>
              <w:rPr>
                <w:rFonts w:ascii="Arial" w:cs="Arial" w:eastAsia="Arial" w:hAnsi="Arial"/>
                <w:sz w:val="14"/>
                <w:szCs w:val="14"/>
                <w:b w:val="1"/>
                <w:bCs w:val="1"/>
                <w:color w:val="00AF41"/>
              </w:rPr>
              <w:t>Threshold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00AF41"/>
              </w:rPr>
              <w:t>Intermediate</w:t>
            </w:r>
          </w:p>
        </w:tc>
        <w:tc>
          <w:tcPr>
            <w:tcW w:w="720" w:type="dxa"/>
            <w:vAlign w:val="bottom"/>
          </w:tcPr>
          <w:p>
            <w:pPr>
              <w:ind w:left="140"/>
              <w:spacing w:after="0"/>
              <w:rPr>
                <w:sz w:val="20"/>
                <w:szCs w:val="20"/>
                <w:color w:val="auto"/>
              </w:rPr>
            </w:pPr>
            <w:r>
              <w:rPr>
                <w:rFonts w:ascii="Arial" w:cs="Arial" w:eastAsia="Arial" w:hAnsi="Arial"/>
                <w:sz w:val="14"/>
                <w:szCs w:val="14"/>
                <w:b w:val="1"/>
                <w:bCs w:val="1"/>
                <w:color w:val="00AF41"/>
              </w:rPr>
              <w:t>Target</w:t>
            </w:r>
          </w:p>
        </w:tc>
        <w:tc>
          <w:tcPr>
            <w:tcW w:w="700" w:type="dxa"/>
            <w:vAlign w:val="bottom"/>
          </w:tcPr>
          <w:p>
            <w:pPr>
              <w:ind w:left="40"/>
              <w:spacing w:after="0"/>
              <w:rPr>
                <w:sz w:val="20"/>
                <w:szCs w:val="20"/>
                <w:color w:val="auto"/>
              </w:rPr>
            </w:pPr>
            <w:r>
              <w:rPr>
                <w:rFonts w:ascii="Arial" w:cs="Arial" w:eastAsia="Arial" w:hAnsi="Arial"/>
                <w:sz w:val="14"/>
                <w:szCs w:val="14"/>
                <w:b w:val="1"/>
                <w:bCs w:val="1"/>
                <w:color w:val="00AF41"/>
                <w:w w:val="99"/>
              </w:rPr>
              <w:t>Maximum</w:t>
            </w:r>
          </w:p>
        </w:tc>
        <w:tc>
          <w:tcPr>
            <w:tcW w:w="760" w:type="dxa"/>
            <w:vAlign w:val="bottom"/>
          </w:tcPr>
          <w:p>
            <w:pPr>
              <w:jc w:val="center"/>
              <w:ind w:left="4"/>
              <w:spacing w:after="0"/>
              <w:rPr>
                <w:sz w:val="20"/>
                <w:szCs w:val="20"/>
                <w:color w:val="auto"/>
              </w:rPr>
            </w:pPr>
            <w:r>
              <w:rPr>
                <w:rFonts w:ascii="Arial" w:cs="Arial" w:eastAsia="Arial" w:hAnsi="Arial"/>
                <w:sz w:val="14"/>
                <w:szCs w:val="14"/>
                <w:b w:val="1"/>
                <w:bCs w:val="1"/>
                <w:color w:val="00AF41"/>
              </w:rPr>
              <w:t>Results</w:t>
            </w: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00AF41"/>
              </w:rPr>
              <w:t>Target)</w:t>
            </w:r>
          </w:p>
        </w:tc>
        <w:tc>
          <w:tcPr>
            <w:tcW w:w="0" w:type="dxa"/>
            <w:vAlign w:val="bottom"/>
          </w:tcPr>
          <w:p>
            <w:pPr>
              <w:spacing w:after="0"/>
              <w:rPr>
                <w:sz w:val="1"/>
                <w:szCs w:val="1"/>
                <w:color w:val="auto"/>
              </w:rPr>
            </w:pPr>
          </w:p>
        </w:tc>
      </w:tr>
      <w:tr>
        <w:trPr>
          <w:trHeight w:val="183"/>
        </w:trPr>
        <w:tc>
          <w:tcPr>
            <w:tcW w:w="5580" w:type="dxa"/>
            <w:vAlign w:val="bottom"/>
            <w:tcBorders>
              <w:top w:val="single" w:sz="8" w:color="auto"/>
            </w:tcBorders>
            <w:shd w:val="clear" w:color="auto" w:fill="EDEDED"/>
          </w:tcPr>
          <w:p>
            <w:pPr>
              <w:spacing w:after="0" w:line="183" w:lineRule="exact"/>
              <w:rPr>
                <w:sz w:val="20"/>
                <w:szCs w:val="20"/>
                <w:color w:val="auto"/>
              </w:rPr>
            </w:pPr>
            <w:r>
              <w:rPr>
                <w:rFonts w:ascii="Arial" w:cs="Arial" w:eastAsia="Arial" w:hAnsi="Arial"/>
                <w:sz w:val="16"/>
                <w:szCs w:val="16"/>
                <w:color w:val="auto"/>
              </w:rPr>
              <w:t>Corporate Component Performance</w:t>
            </w:r>
          </w:p>
        </w:tc>
        <w:tc>
          <w:tcPr>
            <w:tcW w:w="800" w:type="dxa"/>
            <w:vAlign w:val="bottom"/>
            <w:tcBorders>
              <w:top w:val="single" w:sz="8" w:color="auto"/>
            </w:tcBorders>
            <w:shd w:val="clear" w:color="auto" w:fill="EDEDED"/>
          </w:tcPr>
          <w:p>
            <w:pPr>
              <w:jc w:val="center"/>
              <w:ind w:left="21"/>
              <w:spacing w:after="0" w:line="183" w:lineRule="exact"/>
              <w:rPr>
                <w:sz w:val="20"/>
                <w:szCs w:val="20"/>
                <w:color w:val="auto"/>
              </w:rPr>
            </w:pPr>
            <w:r>
              <w:rPr>
                <w:rFonts w:ascii="Arial" w:cs="Arial" w:eastAsia="Arial" w:hAnsi="Arial"/>
                <w:sz w:val="16"/>
                <w:szCs w:val="16"/>
                <w:color w:val="auto"/>
              </w:rPr>
              <w:t>40.0%</w:t>
            </w:r>
          </w:p>
        </w:tc>
        <w:tc>
          <w:tcPr>
            <w:tcW w:w="820" w:type="dxa"/>
            <w:vAlign w:val="bottom"/>
            <w:tcBorders>
              <w:top w:val="single" w:sz="8" w:color="auto"/>
            </w:tcBorders>
            <w:shd w:val="clear" w:color="auto" w:fill="EDEDED"/>
          </w:tcPr>
          <w:p>
            <w:pPr>
              <w:jc w:val="center"/>
              <w:ind w:left="21"/>
              <w:spacing w:after="0" w:line="183" w:lineRule="exact"/>
              <w:rPr>
                <w:sz w:val="20"/>
                <w:szCs w:val="20"/>
                <w:color w:val="auto"/>
              </w:rPr>
            </w:pPr>
            <w:r>
              <w:rPr>
                <w:rFonts w:ascii="Arial" w:cs="Arial" w:eastAsia="Arial" w:hAnsi="Arial"/>
                <w:sz w:val="16"/>
                <w:szCs w:val="16"/>
                <w:color w:val="auto"/>
                <w:w w:val="98"/>
              </w:rPr>
              <w:t>$60.40</w:t>
            </w:r>
          </w:p>
        </w:tc>
        <w:tc>
          <w:tcPr>
            <w:tcW w:w="1020" w:type="dxa"/>
            <w:vAlign w:val="bottom"/>
            <w:tcBorders>
              <w:top w:val="single" w:sz="8" w:color="auto"/>
            </w:tcBorders>
            <w:shd w:val="clear" w:color="auto" w:fill="EDEDED"/>
          </w:tcPr>
          <w:p>
            <w:pPr>
              <w:jc w:val="center"/>
              <w:spacing w:after="0" w:line="183" w:lineRule="exact"/>
              <w:rPr>
                <w:sz w:val="20"/>
                <w:szCs w:val="20"/>
                <w:color w:val="auto"/>
              </w:rPr>
            </w:pPr>
            <w:r>
              <w:rPr>
                <w:rFonts w:ascii="Arial" w:cs="Arial" w:eastAsia="Arial" w:hAnsi="Arial"/>
                <w:sz w:val="16"/>
                <w:szCs w:val="16"/>
                <w:color w:val="auto"/>
              </w:rPr>
              <w:t>$82.60</w:t>
            </w:r>
          </w:p>
        </w:tc>
        <w:tc>
          <w:tcPr>
            <w:tcW w:w="720" w:type="dxa"/>
            <w:vAlign w:val="bottom"/>
            <w:tcBorders>
              <w:top w:val="single" w:sz="8" w:color="auto"/>
            </w:tcBorders>
            <w:shd w:val="clear" w:color="auto" w:fill="EDEDED"/>
          </w:tcPr>
          <w:p>
            <w:pPr>
              <w:jc w:val="center"/>
              <w:spacing w:after="0" w:line="183" w:lineRule="exact"/>
              <w:rPr>
                <w:sz w:val="20"/>
                <w:szCs w:val="20"/>
                <w:color w:val="auto"/>
              </w:rPr>
            </w:pPr>
            <w:r>
              <w:rPr>
                <w:rFonts w:ascii="Arial" w:cs="Arial" w:eastAsia="Arial" w:hAnsi="Arial"/>
                <w:sz w:val="16"/>
                <w:szCs w:val="16"/>
                <w:color w:val="auto"/>
              </w:rPr>
              <w:t>$103.30</w:t>
            </w:r>
          </w:p>
        </w:tc>
        <w:tc>
          <w:tcPr>
            <w:tcW w:w="700" w:type="dxa"/>
            <w:vAlign w:val="bottom"/>
            <w:tcBorders>
              <w:top w:val="single" w:sz="8" w:color="auto"/>
            </w:tcBorders>
            <w:shd w:val="clear" w:color="auto" w:fill="EDEDED"/>
          </w:tcPr>
          <w:p>
            <w:pPr>
              <w:jc w:val="center"/>
              <w:spacing w:after="0" w:line="183" w:lineRule="exact"/>
              <w:rPr>
                <w:sz w:val="20"/>
                <w:szCs w:val="20"/>
                <w:color w:val="auto"/>
              </w:rPr>
            </w:pPr>
            <w:r>
              <w:rPr>
                <w:rFonts w:ascii="Arial" w:cs="Arial" w:eastAsia="Arial" w:hAnsi="Arial"/>
                <w:sz w:val="16"/>
                <w:szCs w:val="16"/>
                <w:color w:val="auto"/>
              </w:rPr>
              <w:t>$139.50</w:t>
            </w:r>
          </w:p>
        </w:tc>
        <w:tc>
          <w:tcPr>
            <w:tcW w:w="760" w:type="dxa"/>
            <w:vAlign w:val="bottom"/>
            <w:tcBorders>
              <w:top w:val="single" w:sz="8" w:color="auto"/>
            </w:tcBorders>
            <w:shd w:val="clear" w:color="auto" w:fill="EDEDED"/>
          </w:tcPr>
          <w:p>
            <w:pPr>
              <w:jc w:val="center"/>
              <w:spacing w:after="0" w:line="183" w:lineRule="exact"/>
              <w:rPr>
                <w:sz w:val="20"/>
                <w:szCs w:val="20"/>
                <w:color w:val="auto"/>
              </w:rPr>
            </w:pPr>
            <w:r>
              <w:rPr>
                <w:rFonts w:ascii="Arial" w:cs="Arial" w:eastAsia="Arial" w:hAnsi="Arial"/>
                <w:sz w:val="16"/>
                <w:szCs w:val="16"/>
                <w:color w:val="auto"/>
              </w:rPr>
              <w:t>$87.40</w:t>
            </w:r>
          </w:p>
        </w:tc>
        <w:tc>
          <w:tcPr>
            <w:tcW w:w="620" w:type="dxa"/>
            <w:vAlign w:val="bottom"/>
            <w:tcBorders>
              <w:top w:val="single" w:sz="8" w:color="auto"/>
            </w:tcBorders>
            <w:shd w:val="clear" w:color="auto" w:fill="EDEDED"/>
          </w:tcPr>
          <w:p>
            <w:pPr>
              <w:jc w:val="center"/>
              <w:spacing w:after="0" w:line="183" w:lineRule="exact"/>
              <w:rPr>
                <w:sz w:val="20"/>
                <w:szCs w:val="20"/>
                <w:color w:val="auto"/>
              </w:rPr>
            </w:pPr>
            <w:r>
              <w:rPr>
                <w:rFonts w:ascii="Arial" w:cs="Arial" w:eastAsia="Arial" w:hAnsi="Arial"/>
                <w:sz w:val="16"/>
                <w:szCs w:val="16"/>
                <w:color w:val="auto"/>
              </w:rPr>
              <w:t>84.6%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580" w:type="dxa"/>
            <w:vAlign w:val="bottom"/>
            <w:tcBorders>
              <w:bottom w:val="single" w:sz="8" w:color="EDEDED"/>
            </w:tcBorders>
            <w:shd w:val="clear" w:color="auto" w:fill="EDEDED"/>
          </w:tcPr>
          <w:p>
            <w:pPr>
              <w:spacing w:after="0"/>
              <w:rPr>
                <w:sz w:val="20"/>
                <w:szCs w:val="20"/>
                <w:color w:val="auto"/>
              </w:rPr>
            </w:pPr>
            <w:r>
              <w:rPr>
                <w:rFonts w:ascii="Arial" w:cs="Arial" w:eastAsia="Arial" w:hAnsi="Arial"/>
                <w:sz w:val="16"/>
                <w:szCs w:val="16"/>
                <w:color w:val="auto"/>
              </w:rPr>
              <w:t>Measures</w:t>
            </w:r>
          </w:p>
        </w:tc>
        <w:tc>
          <w:tcPr>
            <w:tcW w:w="800" w:type="dxa"/>
            <w:vAlign w:val="bottom"/>
            <w:tcBorders>
              <w:bottom w:val="single" w:sz="8" w:color="EDEDED"/>
            </w:tcBorders>
            <w:shd w:val="clear" w:color="auto" w:fill="EDEDED"/>
          </w:tcPr>
          <w:p>
            <w:pPr>
              <w:spacing w:after="0"/>
              <w:rPr>
                <w:sz w:val="19"/>
                <w:szCs w:val="19"/>
                <w:color w:val="auto"/>
              </w:rPr>
            </w:pPr>
          </w:p>
        </w:tc>
        <w:tc>
          <w:tcPr>
            <w:tcW w:w="820" w:type="dxa"/>
            <w:vAlign w:val="bottom"/>
            <w:tcBorders>
              <w:bottom w:val="single" w:sz="8" w:color="EDEDED"/>
            </w:tcBorders>
            <w:shd w:val="clear" w:color="auto" w:fill="EDEDED"/>
          </w:tcPr>
          <w:p>
            <w:pPr>
              <w:spacing w:after="0"/>
              <w:rPr>
                <w:sz w:val="19"/>
                <w:szCs w:val="19"/>
                <w:color w:val="auto"/>
              </w:rPr>
            </w:pPr>
          </w:p>
        </w:tc>
        <w:tc>
          <w:tcPr>
            <w:tcW w:w="1020" w:type="dxa"/>
            <w:vAlign w:val="bottom"/>
            <w:tcBorders>
              <w:bottom w:val="single" w:sz="8" w:color="EDEDED"/>
            </w:tcBorders>
            <w:shd w:val="clear" w:color="auto" w:fill="EDEDED"/>
          </w:tcPr>
          <w:p>
            <w:pPr>
              <w:spacing w:after="0"/>
              <w:rPr>
                <w:sz w:val="19"/>
                <w:szCs w:val="19"/>
                <w:color w:val="auto"/>
              </w:rPr>
            </w:pPr>
          </w:p>
        </w:tc>
        <w:tc>
          <w:tcPr>
            <w:tcW w:w="720" w:type="dxa"/>
            <w:vAlign w:val="bottom"/>
            <w:tcBorders>
              <w:bottom w:val="single" w:sz="8" w:color="EDEDED"/>
            </w:tcBorders>
            <w:shd w:val="clear" w:color="auto" w:fill="EDEDED"/>
          </w:tcPr>
          <w:p>
            <w:pPr>
              <w:spacing w:after="0"/>
              <w:rPr>
                <w:sz w:val="19"/>
                <w:szCs w:val="19"/>
                <w:color w:val="auto"/>
              </w:rPr>
            </w:pPr>
          </w:p>
        </w:tc>
        <w:tc>
          <w:tcPr>
            <w:tcW w:w="700" w:type="dxa"/>
            <w:vAlign w:val="bottom"/>
            <w:tcBorders>
              <w:bottom w:val="single" w:sz="8" w:color="EDEDED"/>
            </w:tcBorders>
            <w:shd w:val="clear" w:color="auto" w:fill="EDEDED"/>
          </w:tcPr>
          <w:p>
            <w:pPr>
              <w:spacing w:after="0"/>
              <w:rPr>
                <w:sz w:val="19"/>
                <w:szCs w:val="19"/>
                <w:color w:val="auto"/>
              </w:rPr>
            </w:pPr>
          </w:p>
        </w:tc>
        <w:tc>
          <w:tcPr>
            <w:tcW w:w="760" w:type="dxa"/>
            <w:vAlign w:val="bottom"/>
            <w:tcBorders>
              <w:bottom w:val="single" w:sz="8" w:color="EDEDED"/>
            </w:tcBorders>
            <w:shd w:val="clear" w:color="auto" w:fill="EDEDED"/>
          </w:tcPr>
          <w:p>
            <w:pPr>
              <w:spacing w:after="0"/>
              <w:rPr>
                <w:sz w:val="19"/>
                <w:szCs w:val="19"/>
                <w:color w:val="auto"/>
              </w:rPr>
            </w:pPr>
          </w:p>
        </w:tc>
        <w:tc>
          <w:tcPr>
            <w:tcW w:w="620" w:type="dxa"/>
            <w:vAlign w:val="bottom"/>
            <w:tcBorders>
              <w:bottom w:val="single" w:sz="8" w:color="EDEDED"/>
            </w:tcBorders>
            <w:shd w:val="clear" w:color="auto" w:fill="EDEDED"/>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580" w:type="dxa"/>
            <w:vAlign w:val="bottom"/>
          </w:tcPr>
          <w:p>
            <w:pPr>
              <w:spacing w:after="0"/>
              <w:rPr>
                <w:sz w:val="20"/>
                <w:szCs w:val="20"/>
                <w:color w:val="auto"/>
              </w:rPr>
            </w:pPr>
            <w:r>
              <w:rPr>
                <w:rFonts w:ascii="Arial" w:cs="Arial" w:eastAsia="Arial" w:hAnsi="Arial"/>
                <w:sz w:val="16"/>
                <w:szCs w:val="16"/>
                <w:color w:val="auto"/>
              </w:rPr>
              <w:t>Business Unit Gross Profit ($)</w:t>
            </w:r>
          </w:p>
        </w:tc>
        <w:tc>
          <w:tcPr>
            <w:tcW w:w="800" w:type="dxa"/>
            <w:vAlign w:val="bottom"/>
          </w:tcPr>
          <w:p>
            <w:pPr>
              <w:jc w:val="center"/>
              <w:ind w:left="21"/>
              <w:spacing w:after="0"/>
              <w:rPr>
                <w:sz w:val="20"/>
                <w:szCs w:val="20"/>
                <w:color w:val="auto"/>
              </w:rPr>
            </w:pPr>
            <w:r>
              <w:rPr>
                <w:rFonts w:ascii="Arial" w:cs="Arial" w:eastAsia="Arial" w:hAnsi="Arial"/>
                <w:sz w:val="16"/>
                <w:szCs w:val="16"/>
                <w:color w:val="auto"/>
              </w:rPr>
              <w:t>30.0%</w:t>
            </w:r>
          </w:p>
        </w:tc>
        <w:tc>
          <w:tcPr>
            <w:tcW w:w="820" w:type="dxa"/>
            <w:vAlign w:val="bottom"/>
          </w:tcPr>
          <w:p>
            <w:pPr>
              <w:jc w:val="center"/>
              <w:ind w:left="21"/>
              <w:spacing w:after="0"/>
              <w:rPr>
                <w:sz w:val="20"/>
                <w:szCs w:val="20"/>
                <w:color w:val="auto"/>
              </w:rPr>
            </w:pPr>
            <w:r>
              <w:rPr>
                <w:rFonts w:ascii="Arial" w:cs="Arial" w:eastAsia="Arial" w:hAnsi="Arial"/>
                <w:sz w:val="16"/>
                <w:szCs w:val="16"/>
                <w:color w:val="auto"/>
              </w:rPr>
              <w:t>$148.51</w:t>
            </w:r>
          </w:p>
        </w:tc>
        <w:tc>
          <w:tcPr>
            <w:tcW w:w="1020" w:type="dxa"/>
            <w:vAlign w:val="bottom"/>
          </w:tcPr>
          <w:p>
            <w:pPr>
              <w:jc w:val="center"/>
              <w:spacing w:after="0"/>
              <w:rPr>
                <w:sz w:val="20"/>
                <w:szCs w:val="20"/>
                <w:color w:val="auto"/>
              </w:rPr>
            </w:pPr>
            <w:r>
              <w:rPr>
                <w:rFonts w:ascii="Arial" w:cs="Arial" w:eastAsia="Arial" w:hAnsi="Arial"/>
                <w:sz w:val="16"/>
                <w:szCs w:val="16"/>
                <w:color w:val="auto"/>
                <w:w w:val="97"/>
              </w:rPr>
              <w:t>N/A</w:t>
            </w:r>
          </w:p>
        </w:tc>
        <w:tc>
          <w:tcPr>
            <w:tcW w:w="720" w:type="dxa"/>
            <w:vAlign w:val="bottom"/>
          </w:tcPr>
          <w:p>
            <w:pPr>
              <w:jc w:val="center"/>
              <w:spacing w:after="0"/>
              <w:rPr>
                <w:sz w:val="20"/>
                <w:szCs w:val="20"/>
                <w:color w:val="auto"/>
              </w:rPr>
            </w:pPr>
            <w:r>
              <w:rPr>
                <w:rFonts w:ascii="Arial" w:cs="Arial" w:eastAsia="Arial" w:hAnsi="Arial"/>
                <w:sz w:val="16"/>
                <w:szCs w:val="16"/>
                <w:color w:val="auto"/>
              </w:rPr>
              <w:t>$157.99</w:t>
            </w:r>
          </w:p>
        </w:tc>
        <w:tc>
          <w:tcPr>
            <w:tcW w:w="700" w:type="dxa"/>
            <w:vAlign w:val="bottom"/>
          </w:tcPr>
          <w:p>
            <w:pPr>
              <w:jc w:val="center"/>
              <w:spacing w:after="0"/>
              <w:rPr>
                <w:sz w:val="20"/>
                <w:szCs w:val="20"/>
                <w:color w:val="auto"/>
              </w:rPr>
            </w:pPr>
            <w:r>
              <w:rPr>
                <w:rFonts w:ascii="Arial" w:cs="Arial" w:eastAsia="Arial" w:hAnsi="Arial"/>
                <w:sz w:val="16"/>
                <w:szCs w:val="16"/>
                <w:color w:val="auto"/>
              </w:rPr>
              <w:t>$197.49</w:t>
            </w:r>
          </w:p>
        </w:tc>
        <w:tc>
          <w:tcPr>
            <w:tcW w:w="760" w:type="dxa"/>
            <w:vAlign w:val="bottom"/>
          </w:tcPr>
          <w:p>
            <w:pPr>
              <w:jc w:val="center"/>
              <w:spacing w:after="0"/>
              <w:rPr>
                <w:sz w:val="20"/>
                <w:szCs w:val="20"/>
                <w:color w:val="auto"/>
              </w:rPr>
            </w:pPr>
            <w:r>
              <w:rPr>
                <w:rFonts w:ascii="Arial" w:cs="Arial" w:eastAsia="Arial" w:hAnsi="Arial"/>
                <w:sz w:val="16"/>
                <w:szCs w:val="16"/>
                <w:color w:val="auto"/>
              </w:rPr>
              <w:t>$166.20</w:t>
            </w:r>
          </w:p>
        </w:tc>
        <w:tc>
          <w:tcPr>
            <w:tcW w:w="620" w:type="dxa"/>
            <w:vAlign w:val="bottom"/>
          </w:tcPr>
          <w:p>
            <w:pPr>
              <w:jc w:val="center"/>
              <w:spacing w:after="0"/>
              <w:rPr>
                <w:sz w:val="20"/>
                <w:szCs w:val="20"/>
                <w:color w:val="auto"/>
              </w:rPr>
            </w:pPr>
            <w:r>
              <w:rPr>
                <w:rFonts w:ascii="Arial" w:cs="Arial" w:eastAsia="Arial" w:hAnsi="Arial"/>
                <w:sz w:val="16"/>
                <w:szCs w:val="16"/>
                <w:color w:val="auto"/>
              </w:rPr>
              <w:t>120.8%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auto"/>
            </w:tcBorders>
            <w:shd w:val="clear" w:color="auto" w:fill="EDEDED"/>
          </w:tcPr>
          <w:p>
            <w:pPr>
              <w:spacing w:after="0"/>
              <w:rPr>
                <w:sz w:val="20"/>
                <w:szCs w:val="20"/>
                <w:color w:val="auto"/>
              </w:rPr>
            </w:pPr>
            <w:r>
              <w:rPr>
                <w:rFonts w:ascii="Arial" w:cs="Arial" w:eastAsia="Arial" w:hAnsi="Arial"/>
                <w:sz w:val="16"/>
                <w:szCs w:val="16"/>
                <w:color w:val="auto"/>
              </w:rPr>
              <w:t>Business Unit EFO ($)</w:t>
            </w:r>
          </w:p>
        </w:tc>
        <w:tc>
          <w:tcPr>
            <w:tcW w:w="800" w:type="dxa"/>
            <w:vAlign w:val="bottom"/>
            <w:tcBorders>
              <w:bottom w:val="single" w:sz="8" w:color="auto"/>
            </w:tcBorders>
            <w:shd w:val="clear" w:color="auto" w:fill="EDEDED"/>
          </w:tcPr>
          <w:p>
            <w:pPr>
              <w:jc w:val="center"/>
              <w:ind w:left="21"/>
              <w:spacing w:after="0"/>
              <w:rPr>
                <w:sz w:val="20"/>
                <w:szCs w:val="20"/>
                <w:color w:val="auto"/>
              </w:rPr>
            </w:pPr>
            <w:r>
              <w:rPr>
                <w:rFonts w:ascii="Arial" w:cs="Arial" w:eastAsia="Arial" w:hAnsi="Arial"/>
                <w:sz w:val="16"/>
                <w:szCs w:val="16"/>
                <w:color w:val="auto"/>
              </w:rPr>
              <w:t>30.0%</w:t>
            </w:r>
          </w:p>
        </w:tc>
        <w:tc>
          <w:tcPr>
            <w:tcW w:w="820" w:type="dxa"/>
            <w:vAlign w:val="bottom"/>
            <w:tcBorders>
              <w:bottom w:val="single" w:sz="8" w:color="auto"/>
            </w:tcBorders>
            <w:shd w:val="clear" w:color="auto" w:fill="EDEDED"/>
          </w:tcPr>
          <w:p>
            <w:pPr>
              <w:jc w:val="center"/>
              <w:ind w:left="21"/>
              <w:spacing w:after="0"/>
              <w:rPr>
                <w:sz w:val="20"/>
                <w:szCs w:val="20"/>
                <w:color w:val="auto"/>
              </w:rPr>
            </w:pPr>
            <w:r>
              <w:rPr>
                <w:rFonts w:ascii="Arial" w:cs="Arial" w:eastAsia="Arial" w:hAnsi="Arial"/>
                <w:sz w:val="16"/>
                <w:szCs w:val="16"/>
                <w:color w:val="auto"/>
                <w:w w:val="98"/>
              </w:rPr>
              <w:t>$13.04</w:t>
            </w:r>
          </w:p>
        </w:tc>
        <w:tc>
          <w:tcPr>
            <w:tcW w:w="1020" w:type="dxa"/>
            <w:vAlign w:val="bottom"/>
            <w:tcBorders>
              <w:bottom w:val="single" w:sz="8" w:color="auto"/>
            </w:tcBorders>
            <w:shd w:val="clear" w:color="auto" w:fill="EDEDED"/>
          </w:tcPr>
          <w:p>
            <w:pPr>
              <w:jc w:val="center"/>
              <w:spacing w:after="0"/>
              <w:rPr>
                <w:sz w:val="20"/>
                <w:szCs w:val="20"/>
                <w:color w:val="auto"/>
              </w:rPr>
            </w:pPr>
            <w:r>
              <w:rPr>
                <w:rFonts w:ascii="Arial" w:cs="Arial" w:eastAsia="Arial" w:hAnsi="Arial"/>
                <w:sz w:val="16"/>
                <w:szCs w:val="16"/>
                <w:color w:val="auto"/>
                <w:w w:val="97"/>
              </w:rPr>
              <w:t>N/A</w:t>
            </w:r>
          </w:p>
        </w:tc>
        <w:tc>
          <w:tcPr>
            <w:tcW w:w="720" w:type="dxa"/>
            <w:vAlign w:val="bottom"/>
            <w:tcBorders>
              <w:bottom w:val="single" w:sz="8" w:color="auto"/>
            </w:tcBorders>
            <w:shd w:val="clear" w:color="auto" w:fill="EDEDED"/>
          </w:tcPr>
          <w:p>
            <w:pPr>
              <w:jc w:val="center"/>
              <w:spacing w:after="0"/>
              <w:rPr>
                <w:sz w:val="20"/>
                <w:szCs w:val="20"/>
                <w:color w:val="auto"/>
              </w:rPr>
            </w:pPr>
            <w:r>
              <w:rPr>
                <w:rFonts w:ascii="Arial" w:cs="Arial" w:eastAsia="Arial" w:hAnsi="Arial"/>
                <w:sz w:val="16"/>
                <w:szCs w:val="16"/>
                <w:color w:val="auto"/>
              </w:rPr>
              <w:t>$14.49</w:t>
            </w:r>
          </w:p>
        </w:tc>
        <w:tc>
          <w:tcPr>
            <w:tcW w:w="700" w:type="dxa"/>
            <w:vAlign w:val="bottom"/>
            <w:tcBorders>
              <w:bottom w:val="single" w:sz="8" w:color="auto"/>
            </w:tcBorders>
            <w:shd w:val="clear" w:color="auto" w:fill="EDEDED"/>
          </w:tcPr>
          <w:p>
            <w:pPr>
              <w:jc w:val="center"/>
              <w:spacing w:after="0"/>
              <w:rPr>
                <w:sz w:val="20"/>
                <w:szCs w:val="20"/>
                <w:color w:val="auto"/>
              </w:rPr>
            </w:pPr>
            <w:r>
              <w:rPr>
                <w:rFonts w:ascii="Arial" w:cs="Arial" w:eastAsia="Arial" w:hAnsi="Arial"/>
                <w:sz w:val="16"/>
                <w:szCs w:val="16"/>
                <w:color w:val="auto"/>
              </w:rPr>
              <w:t>$21.74</w:t>
            </w:r>
          </w:p>
        </w:tc>
        <w:tc>
          <w:tcPr>
            <w:tcW w:w="760" w:type="dxa"/>
            <w:vAlign w:val="bottom"/>
            <w:tcBorders>
              <w:bottom w:val="single" w:sz="8" w:color="auto"/>
            </w:tcBorders>
            <w:shd w:val="clear" w:color="auto" w:fill="EDEDED"/>
          </w:tcPr>
          <w:p>
            <w:pPr>
              <w:jc w:val="center"/>
              <w:spacing w:after="0"/>
              <w:rPr>
                <w:sz w:val="20"/>
                <w:szCs w:val="20"/>
                <w:color w:val="auto"/>
              </w:rPr>
            </w:pPr>
            <w:r>
              <w:rPr>
                <w:rFonts w:ascii="Arial" w:cs="Arial" w:eastAsia="Arial" w:hAnsi="Arial"/>
                <w:sz w:val="16"/>
                <w:szCs w:val="16"/>
                <w:color w:val="auto"/>
              </w:rPr>
              <w:t>$17.16</w:t>
            </w:r>
          </w:p>
        </w:tc>
        <w:tc>
          <w:tcPr>
            <w:tcW w:w="620" w:type="dxa"/>
            <w:vAlign w:val="bottom"/>
            <w:tcBorders>
              <w:bottom w:val="single" w:sz="8" w:color="auto"/>
            </w:tcBorders>
            <w:shd w:val="clear" w:color="auto" w:fill="EDEDED"/>
          </w:tcPr>
          <w:p>
            <w:pPr>
              <w:jc w:val="center"/>
              <w:spacing w:after="0"/>
              <w:rPr>
                <w:sz w:val="20"/>
                <w:szCs w:val="20"/>
                <w:color w:val="auto"/>
              </w:rPr>
            </w:pPr>
            <w:r>
              <w:rPr>
                <w:rFonts w:ascii="Arial" w:cs="Arial" w:eastAsia="Arial" w:hAnsi="Arial"/>
                <w:sz w:val="16"/>
                <w:szCs w:val="16"/>
                <w:color w:val="auto"/>
              </w:rPr>
              <w:t>136.8%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80" w:type="dxa"/>
            <w:vAlign w:val="bottom"/>
          </w:tcPr>
          <w:p>
            <w:pPr>
              <w:ind w:left="80"/>
              <w:spacing w:after="0"/>
              <w:rPr>
                <w:sz w:val="20"/>
                <w:szCs w:val="20"/>
                <w:color w:val="auto"/>
              </w:rPr>
            </w:pPr>
            <w:r>
              <w:rPr>
                <w:rFonts w:ascii="Arial" w:cs="Arial" w:eastAsia="Arial" w:hAnsi="Arial"/>
                <w:sz w:val="16"/>
                <w:szCs w:val="16"/>
                <w:i w:val="1"/>
                <w:iCs w:val="1"/>
                <w:color w:val="auto"/>
              </w:rPr>
              <w:t>$ in millions</w:t>
            </w:r>
          </w:p>
        </w:tc>
        <w:tc>
          <w:tcPr>
            <w:tcW w:w="800" w:type="dxa"/>
            <w:vAlign w:val="bottom"/>
          </w:tcPr>
          <w:p>
            <w:pPr>
              <w:jc w:val="center"/>
              <w:ind w:left="21"/>
              <w:spacing w:after="0"/>
              <w:rPr>
                <w:sz w:val="20"/>
                <w:szCs w:val="20"/>
                <w:color w:val="auto"/>
              </w:rPr>
            </w:pPr>
            <w:r>
              <w:rPr>
                <w:rFonts w:ascii="Arial" w:cs="Arial" w:eastAsia="Arial" w:hAnsi="Arial"/>
                <w:sz w:val="16"/>
                <w:szCs w:val="16"/>
                <w:b w:val="1"/>
                <w:bCs w:val="1"/>
                <w:color w:val="auto"/>
                <w:w w:val="99"/>
              </w:rPr>
              <w:t>100.0%</w:t>
            </w: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80" w:type="dxa"/>
            <w:vAlign w:val="bottom"/>
            <w:gridSpan w:val="3"/>
          </w:tcPr>
          <w:p>
            <w:pPr>
              <w:jc w:val="center"/>
              <w:ind w:left="121"/>
              <w:spacing w:after="0"/>
              <w:rPr>
                <w:sz w:val="20"/>
                <w:szCs w:val="20"/>
                <w:color w:val="auto"/>
              </w:rPr>
            </w:pPr>
            <w:r>
              <w:rPr>
                <w:rFonts w:ascii="Arial" w:cs="Arial" w:eastAsia="Arial" w:hAnsi="Arial"/>
                <w:sz w:val="16"/>
                <w:szCs w:val="16"/>
                <w:color w:val="auto"/>
                <w:w w:val="99"/>
              </w:rPr>
              <w:t>Weighted Payout 111.11%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color w:val="auto"/>
        </w:rPr>
        <w:t>Under the terms of the STIP, the Committee retains the right in its discretion to adjust a STIP award based on Company, business unit, or individual performance. The Committee has no discretion to increase a STIP award for named executive officers, outside of the aforementioned parameters. STIP awards made in 2022 to named executive officers are subject to the Company’s Clawback Policy.</w:t>
      </w:r>
    </w:p>
    <w:p>
      <w:pPr>
        <w:spacing w:after="0" w:line="91" w:lineRule="exact"/>
        <w:rPr>
          <w:sz w:val="20"/>
          <w:szCs w:val="20"/>
          <w:color w:val="auto"/>
        </w:rPr>
      </w:pPr>
    </w:p>
    <w:p>
      <w:pPr>
        <w:ind w:left="10820"/>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77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-142875</wp:posOffset>
            </wp:positionV>
            <wp:extent cx="411480" cy="1968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43"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Based on these performance results, at its February 14, 2023 meeting, the Committee reviewed and approved payments to the named executive officers in accordance with the STIP provisions as follows:</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AF41"/>
                <w:w w:val="99"/>
              </w:rPr>
              <w:t>2022 STIP</w:t>
            </w:r>
          </w:p>
        </w:tc>
        <w:tc>
          <w:tcPr>
            <w:tcW w:w="11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0AF41"/>
              </w:rPr>
              <w:t>2022 Payout</w:t>
            </w:r>
          </w:p>
        </w:tc>
        <w:tc>
          <w:tcPr>
            <w:tcW w:w="1020" w:type="dxa"/>
            <w:vAlign w:val="bottom"/>
          </w:tcPr>
          <w:p>
            <w:pPr>
              <w:spacing w:after="0"/>
              <w:rPr>
                <w:sz w:val="14"/>
                <w:szCs w:val="14"/>
                <w:color w:val="auto"/>
              </w:rPr>
            </w:pPr>
          </w:p>
        </w:tc>
      </w:tr>
      <w:tr>
        <w:trPr>
          <w:trHeight w:val="162"/>
        </w:trPr>
        <w:tc>
          <w:tcPr>
            <w:tcW w:w="53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0AF41"/>
              </w:rPr>
              <w:t>2022 Base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AF41"/>
                <w:w w:val="99"/>
              </w:rPr>
              <w:t>Target as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AF41"/>
              </w:rPr>
              <w:t>2022 STIP</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0AF41"/>
              </w:rPr>
              <w:t>as a</w:t>
            </w:r>
          </w:p>
        </w:tc>
        <w:tc>
          <w:tcPr>
            <w:tcW w:w="1020" w:type="dxa"/>
            <w:vAlign w:val="bottom"/>
          </w:tcPr>
          <w:p>
            <w:pPr>
              <w:spacing w:after="0"/>
              <w:rPr>
                <w:sz w:val="14"/>
                <w:szCs w:val="14"/>
                <w:color w:val="auto"/>
              </w:rPr>
            </w:pPr>
          </w:p>
        </w:tc>
      </w:tr>
      <w:tr>
        <w:trPr>
          <w:trHeight w:val="162"/>
        </w:trPr>
        <w:tc>
          <w:tcPr>
            <w:tcW w:w="53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0AF41"/>
              </w:rPr>
              <w:t>Salary</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AF41"/>
              </w:rPr>
              <w:t>% of</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AF41"/>
              </w:rPr>
              <w:t>Payout at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0AF41"/>
              </w:rPr>
              <w:t>Percentage</w:t>
            </w:r>
          </w:p>
        </w:tc>
        <w:tc>
          <w:tcPr>
            <w:tcW w:w="1020" w:type="dxa"/>
            <w:vAlign w:val="bottom"/>
          </w:tcPr>
          <w:p>
            <w:pPr>
              <w:jc w:val="center"/>
              <w:ind w:left="22"/>
              <w:spacing w:after="0"/>
              <w:rPr>
                <w:sz w:val="20"/>
                <w:szCs w:val="20"/>
                <w:color w:val="auto"/>
              </w:rPr>
            </w:pPr>
            <w:r>
              <w:rPr>
                <w:rFonts w:ascii="Arial" w:cs="Arial" w:eastAsia="Arial" w:hAnsi="Arial"/>
                <w:sz w:val="14"/>
                <w:szCs w:val="14"/>
                <w:b w:val="1"/>
                <w:bCs w:val="1"/>
                <w:color w:val="00AF41"/>
              </w:rPr>
              <w:t>2022 STIP</w:t>
            </w:r>
          </w:p>
        </w:tc>
      </w:tr>
      <w:tr>
        <w:trPr>
          <w:trHeight w:val="196"/>
        </w:trPr>
        <w:tc>
          <w:tcPr>
            <w:tcW w:w="5380" w:type="dxa"/>
            <w:vAlign w:val="bottom"/>
          </w:tcPr>
          <w:p>
            <w:pPr>
              <w:ind w:left="60"/>
              <w:spacing w:after="0"/>
              <w:rPr>
                <w:sz w:val="20"/>
                <w:szCs w:val="20"/>
                <w:color w:val="auto"/>
              </w:rPr>
            </w:pPr>
            <w:r>
              <w:rPr>
                <w:rFonts w:ascii="Arial" w:cs="Arial" w:eastAsia="Arial" w:hAnsi="Arial"/>
                <w:sz w:val="14"/>
                <w:szCs w:val="14"/>
                <w:b w:val="1"/>
                <w:bCs w:val="1"/>
                <w:color w:val="00AF41"/>
              </w:rPr>
              <w:t>Named Executive Officer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0AF41"/>
              </w:rPr>
              <w:t>Earnings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AF41"/>
                <w:w w:val="99"/>
              </w:rPr>
              <w:t>Salary</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00AF41"/>
              </w:rPr>
              <w:t>Target</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0AF41"/>
              </w:rPr>
              <w:t>of Target</w:t>
            </w:r>
          </w:p>
        </w:tc>
        <w:tc>
          <w:tcPr>
            <w:tcW w:w="1020" w:type="dxa"/>
            <w:vAlign w:val="bottom"/>
          </w:tcPr>
          <w:p>
            <w:pPr>
              <w:jc w:val="center"/>
              <w:ind w:left="22"/>
              <w:spacing w:after="0"/>
              <w:rPr>
                <w:sz w:val="20"/>
                <w:szCs w:val="20"/>
                <w:color w:val="auto"/>
              </w:rPr>
            </w:pPr>
            <w:r>
              <w:rPr>
                <w:rFonts w:ascii="Arial" w:cs="Arial" w:eastAsia="Arial" w:hAnsi="Arial"/>
                <w:sz w:val="14"/>
                <w:szCs w:val="14"/>
                <w:b w:val="1"/>
                <w:bCs w:val="1"/>
                <w:color w:val="00AF41"/>
              </w:rPr>
              <w:t>Payout</w:t>
            </w:r>
          </w:p>
        </w:tc>
      </w:tr>
      <w:tr>
        <w:trPr>
          <w:trHeight w:val="29"/>
        </w:trPr>
        <w:tc>
          <w:tcPr>
            <w:tcW w:w="5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4"/>
        </w:trPr>
        <w:tc>
          <w:tcPr>
            <w:tcW w:w="538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auto"/>
              </w:rPr>
              <w:t>Peter W. Quigley</w:t>
            </w:r>
          </w:p>
        </w:tc>
        <w:tc>
          <w:tcPr>
            <w:tcW w:w="11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$884,077</w:t>
            </w:r>
          </w:p>
        </w:tc>
        <w:tc>
          <w:tcPr>
            <w:tcW w:w="11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110%</w:t>
            </w:r>
          </w:p>
        </w:tc>
        <w:tc>
          <w:tcPr>
            <w:tcW w:w="11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$972,485</w:t>
            </w:r>
          </w:p>
        </w:tc>
        <w:tc>
          <w:tcPr>
            <w:tcW w:w="13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80.0%</w:t>
            </w:r>
          </w:p>
        </w:tc>
        <w:tc>
          <w:tcPr>
            <w:tcW w:w="1020" w:type="dxa"/>
            <w:vAlign w:val="bottom"/>
            <w:tcBorders>
              <w:bottom w:val="single" w:sz="8" w:color="EDEDED"/>
            </w:tcBorders>
            <w:shd w:val="clear" w:color="auto" w:fill="EDEDED"/>
          </w:tcPr>
          <w:p>
            <w:pPr>
              <w:jc w:val="center"/>
              <w:ind w:left="22"/>
              <w:spacing w:after="0"/>
              <w:rPr>
                <w:sz w:val="20"/>
                <w:szCs w:val="20"/>
                <w:color w:val="auto"/>
              </w:rPr>
            </w:pPr>
            <w:r>
              <w:rPr>
                <w:rFonts w:ascii="Arial" w:cs="Arial" w:eastAsia="Arial" w:hAnsi="Arial"/>
                <w:sz w:val="16"/>
                <w:szCs w:val="16"/>
                <w:color w:val="auto"/>
              </w:rPr>
              <w:t>$777,988</w:t>
            </w:r>
          </w:p>
        </w:tc>
      </w:tr>
      <w:tr>
        <w:trPr>
          <w:trHeight w:val="276"/>
        </w:trPr>
        <w:tc>
          <w:tcPr>
            <w:tcW w:w="5380" w:type="dxa"/>
            <w:vAlign w:val="bottom"/>
          </w:tcPr>
          <w:p>
            <w:pPr>
              <w:ind w:left="60"/>
              <w:spacing w:after="0"/>
              <w:rPr>
                <w:sz w:val="20"/>
                <w:szCs w:val="20"/>
                <w:color w:val="auto"/>
              </w:rPr>
            </w:pPr>
            <w:r>
              <w:rPr>
                <w:rFonts w:ascii="Arial" w:cs="Arial" w:eastAsia="Arial" w:hAnsi="Arial"/>
                <w:sz w:val="16"/>
                <w:szCs w:val="16"/>
                <w:b w:val="1"/>
                <w:bCs w:val="1"/>
                <w:color w:val="auto"/>
              </w:rPr>
              <w:t>Olivier G. Thirot</w:t>
            </w:r>
          </w:p>
        </w:tc>
        <w:tc>
          <w:tcPr>
            <w:tcW w:w="1120" w:type="dxa"/>
            <w:vAlign w:val="bottom"/>
          </w:tcPr>
          <w:p>
            <w:pPr>
              <w:jc w:val="center"/>
              <w:spacing w:after="0"/>
              <w:rPr>
                <w:sz w:val="20"/>
                <w:szCs w:val="20"/>
                <w:color w:val="auto"/>
              </w:rPr>
            </w:pPr>
            <w:r>
              <w:rPr>
                <w:rFonts w:ascii="Arial" w:cs="Arial" w:eastAsia="Arial" w:hAnsi="Arial"/>
                <w:sz w:val="16"/>
                <w:szCs w:val="16"/>
                <w:color w:val="auto"/>
              </w:rPr>
              <w:t>$620,583</w:t>
            </w:r>
          </w:p>
        </w:tc>
        <w:tc>
          <w:tcPr>
            <w:tcW w:w="1100" w:type="dxa"/>
            <w:vAlign w:val="bottom"/>
          </w:tcPr>
          <w:p>
            <w:pPr>
              <w:jc w:val="center"/>
              <w:spacing w:after="0"/>
              <w:rPr>
                <w:sz w:val="20"/>
                <w:szCs w:val="20"/>
                <w:color w:val="auto"/>
              </w:rPr>
            </w:pPr>
            <w:r>
              <w:rPr>
                <w:rFonts w:ascii="Arial" w:cs="Arial" w:eastAsia="Arial" w:hAnsi="Arial"/>
                <w:sz w:val="16"/>
                <w:szCs w:val="16"/>
                <w:color w:val="auto"/>
              </w:rPr>
              <w:t>85%</w:t>
            </w:r>
          </w:p>
        </w:tc>
        <w:tc>
          <w:tcPr>
            <w:tcW w:w="1100" w:type="dxa"/>
            <w:vAlign w:val="bottom"/>
          </w:tcPr>
          <w:p>
            <w:pPr>
              <w:jc w:val="center"/>
              <w:spacing w:after="0"/>
              <w:rPr>
                <w:sz w:val="20"/>
                <w:szCs w:val="20"/>
                <w:color w:val="auto"/>
              </w:rPr>
            </w:pPr>
            <w:r>
              <w:rPr>
                <w:rFonts w:ascii="Arial" w:cs="Arial" w:eastAsia="Arial" w:hAnsi="Arial"/>
                <w:sz w:val="16"/>
                <w:szCs w:val="16"/>
                <w:color w:val="auto"/>
              </w:rPr>
              <w:t>$527,496</w:t>
            </w:r>
          </w:p>
        </w:tc>
        <w:tc>
          <w:tcPr>
            <w:tcW w:w="1300" w:type="dxa"/>
            <w:vAlign w:val="bottom"/>
          </w:tcPr>
          <w:p>
            <w:pPr>
              <w:jc w:val="center"/>
              <w:spacing w:after="0"/>
              <w:rPr>
                <w:sz w:val="20"/>
                <w:szCs w:val="20"/>
                <w:color w:val="auto"/>
              </w:rPr>
            </w:pPr>
            <w:r>
              <w:rPr>
                <w:rFonts w:ascii="Arial" w:cs="Arial" w:eastAsia="Arial" w:hAnsi="Arial"/>
                <w:sz w:val="16"/>
                <w:szCs w:val="16"/>
                <w:color w:val="auto"/>
              </w:rPr>
              <w:t>84.0%</w:t>
            </w:r>
          </w:p>
        </w:tc>
        <w:tc>
          <w:tcPr>
            <w:tcW w:w="1020" w:type="dxa"/>
            <w:vAlign w:val="bottom"/>
          </w:tcPr>
          <w:p>
            <w:pPr>
              <w:jc w:val="center"/>
              <w:ind w:left="22"/>
              <w:spacing w:after="0"/>
              <w:rPr>
                <w:sz w:val="20"/>
                <w:szCs w:val="20"/>
                <w:color w:val="auto"/>
              </w:rPr>
            </w:pPr>
            <w:r>
              <w:rPr>
                <w:rFonts w:ascii="Arial" w:cs="Arial" w:eastAsia="Arial" w:hAnsi="Arial"/>
                <w:sz w:val="16"/>
                <w:szCs w:val="16"/>
                <w:color w:val="auto"/>
              </w:rPr>
              <w:t>$443,300</w:t>
            </w:r>
          </w:p>
        </w:tc>
      </w:tr>
      <w:tr>
        <w:trPr>
          <w:trHeight w:val="48"/>
        </w:trPr>
        <w:tc>
          <w:tcPr>
            <w:tcW w:w="5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304"/>
        </w:trPr>
        <w:tc>
          <w:tcPr>
            <w:tcW w:w="538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auto"/>
              </w:rPr>
              <w:t>Dinette Koolhaas</w:t>
            </w:r>
          </w:p>
        </w:tc>
        <w:tc>
          <w:tcPr>
            <w:tcW w:w="11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$521,865</w:t>
            </w:r>
          </w:p>
        </w:tc>
        <w:tc>
          <w:tcPr>
            <w:tcW w:w="11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55%</w:t>
            </w:r>
          </w:p>
        </w:tc>
        <w:tc>
          <w:tcPr>
            <w:tcW w:w="11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$287,026</w:t>
            </w:r>
          </w:p>
        </w:tc>
        <w:tc>
          <w:tcPr>
            <w:tcW w:w="13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w w:val="95"/>
              </w:rPr>
              <w:t>111.1%</w:t>
            </w:r>
          </w:p>
        </w:tc>
        <w:tc>
          <w:tcPr>
            <w:tcW w:w="1020" w:type="dxa"/>
            <w:vAlign w:val="bottom"/>
            <w:tcBorders>
              <w:bottom w:val="single" w:sz="8" w:color="EDEDED"/>
            </w:tcBorders>
            <w:shd w:val="clear" w:color="auto" w:fill="EDEDED"/>
          </w:tcPr>
          <w:p>
            <w:pPr>
              <w:jc w:val="center"/>
              <w:ind w:left="22"/>
              <w:spacing w:after="0"/>
              <w:rPr>
                <w:sz w:val="20"/>
                <w:szCs w:val="20"/>
                <w:color w:val="auto"/>
              </w:rPr>
            </w:pPr>
            <w:r>
              <w:rPr>
                <w:rFonts w:ascii="Arial" w:cs="Arial" w:eastAsia="Arial" w:hAnsi="Arial"/>
                <w:sz w:val="16"/>
                <w:szCs w:val="16"/>
                <w:color w:val="auto"/>
              </w:rPr>
              <w:t>$318,900</w:t>
            </w:r>
          </w:p>
        </w:tc>
      </w:tr>
      <w:tr>
        <w:trPr>
          <w:trHeight w:val="276"/>
        </w:trPr>
        <w:tc>
          <w:tcPr>
            <w:tcW w:w="5380" w:type="dxa"/>
            <w:vAlign w:val="bottom"/>
          </w:tcPr>
          <w:p>
            <w:pPr>
              <w:ind w:left="60"/>
              <w:spacing w:after="0"/>
              <w:rPr>
                <w:sz w:val="20"/>
                <w:szCs w:val="20"/>
                <w:color w:val="auto"/>
              </w:rPr>
            </w:pPr>
            <w:r>
              <w:rPr>
                <w:rFonts w:ascii="Arial" w:cs="Arial" w:eastAsia="Arial" w:hAnsi="Arial"/>
                <w:sz w:val="16"/>
                <w:szCs w:val="16"/>
                <w:b w:val="1"/>
                <w:bCs w:val="1"/>
                <w:color w:val="auto"/>
              </w:rPr>
              <w:t>Vanessa P. Williams</w:t>
            </w:r>
          </w:p>
        </w:tc>
        <w:tc>
          <w:tcPr>
            <w:tcW w:w="1120" w:type="dxa"/>
            <w:vAlign w:val="bottom"/>
          </w:tcPr>
          <w:p>
            <w:pPr>
              <w:jc w:val="center"/>
              <w:spacing w:after="0"/>
              <w:rPr>
                <w:sz w:val="20"/>
                <w:szCs w:val="20"/>
                <w:color w:val="auto"/>
              </w:rPr>
            </w:pPr>
            <w:r>
              <w:rPr>
                <w:rFonts w:ascii="Arial" w:cs="Arial" w:eastAsia="Arial" w:hAnsi="Arial"/>
                <w:sz w:val="16"/>
                <w:szCs w:val="16"/>
                <w:color w:val="auto"/>
                <w:w w:val="98"/>
              </w:rPr>
              <w:t>$413,115</w:t>
            </w:r>
          </w:p>
        </w:tc>
        <w:tc>
          <w:tcPr>
            <w:tcW w:w="1100" w:type="dxa"/>
            <w:vAlign w:val="bottom"/>
          </w:tcPr>
          <w:p>
            <w:pPr>
              <w:jc w:val="center"/>
              <w:spacing w:after="0"/>
              <w:rPr>
                <w:sz w:val="20"/>
                <w:szCs w:val="20"/>
                <w:color w:val="auto"/>
              </w:rPr>
            </w:pPr>
            <w:r>
              <w:rPr>
                <w:rFonts w:ascii="Arial" w:cs="Arial" w:eastAsia="Arial" w:hAnsi="Arial"/>
                <w:sz w:val="16"/>
                <w:szCs w:val="16"/>
                <w:color w:val="auto"/>
              </w:rPr>
              <w:t>65%</w:t>
            </w:r>
          </w:p>
        </w:tc>
        <w:tc>
          <w:tcPr>
            <w:tcW w:w="1100" w:type="dxa"/>
            <w:vAlign w:val="bottom"/>
          </w:tcPr>
          <w:p>
            <w:pPr>
              <w:jc w:val="center"/>
              <w:spacing w:after="0"/>
              <w:rPr>
                <w:sz w:val="20"/>
                <w:szCs w:val="20"/>
                <w:color w:val="auto"/>
              </w:rPr>
            </w:pPr>
            <w:r>
              <w:rPr>
                <w:rFonts w:ascii="Arial" w:cs="Arial" w:eastAsia="Arial" w:hAnsi="Arial"/>
                <w:sz w:val="16"/>
                <w:szCs w:val="16"/>
                <w:color w:val="auto"/>
              </w:rPr>
              <w:t>$268,525</w:t>
            </w:r>
          </w:p>
        </w:tc>
        <w:tc>
          <w:tcPr>
            <w:tcW w:w="1300" w:type="dxa"/>
            <w:vAlign w:val="bottom"/>
          </w:tcPr>
          <w:p>
            <w:pPr>
              <w:jc w:val="center"/>
              <w:spacing w:after="0"/>
              <w:rPr>
                <w:sz w:val="20"/>
                <w:szCs w:val="20"/>
                <w:color w:val="auto"/>
              </w:rPr>
            </w:pPr>
            <w:r>
              <w:rPr>
                <w:rFonts w:ascii="Arial" w:cs="Arial" w:eastAsia="Arial" w:hAnsi="Arial"/>
                <w:sz w:val="16"/>
                <w:szCs w:val="16"/>
                <w:color w:val="auto"/>
              </w:rPr>
              <w:t>84.0%</w:t>
            </w:r>
          </w:p>
        </w:tc>
        <w:tc>
          <w:tcPr>
            <w:tcW w:w="1020" w:type="dxa"/>
            <w:vAlign w:val="bottom"/>
          </w:tcPr>
          <w:p>
            <w:pPr>
              <w:jc w:val="center"/>
              <w:ind w:left="22"/>
              <w:spacing w:after="0"/>
              <w:rPr>
                <w:sz w:val="20"/>
                <w:szCs w:val="20"/>
                <w:color w:val="auto"/>
              </w:rPr>
            </w:pPr>
            <w:r>
              <w:rPr>
                <w:rFonts w:ascii="Arial" w:cs="Arial" w:eastAsia="Arial" w:hAnsi="Arial"/>
                <w:sz w:val="16"/>
                <w:szCs w:val="16"/>
                <w:color w:val="auto"/>
              </w:rPr>
              <w:t>$225,600</w:t>
            </w:r>
          </w:p>
        </w:tc>
      </w:tr>
      <w:tr>
        <w:trPr>
          <w:trHeight w:val="48"/>
        </w:trPr>
        <w:tc>
          <w:tcPr>
            <w:tcW w:w="5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304"/>
        </w:trPr>
        <w:tc>
          <w:tcPr>
            <w:tcW w:w="538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auto"/>
              </w:rPr>
              <w:t>Darren L. Simons</w:t>
            </w:r>
          </w:p>
        </w:tc>
        <w:tc>
          <w:tcPr>
            <w:tcW w:w="11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$376,192</w:t>
            </w:r>
          </w:p>
        </w:tc>
        <w:tc>
          <w:tcPr>
            <w:tcW w:w="11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55%</w:t>
            </w:r>
          </w:p>
        </w:tc>
        <w:tc>
          <w:tcPr>
            <w:tcW w:w="11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$206,906</w:t>
            </w:r>
          </w:p>
        </w:tc>
        <w:tc>
          <w:tcPr>
            <w:tcW w:w="13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84.0%</w:t>
            </w:r>
          </w:p>
        </w:tc>
        <w:tc>
          <w:tcPr>
            <w:tcW w:w="1020" w:type="dxa"/>
            <w:vAlign w:val="bottom"/>
            <w:tcBorders>
              <w:bottom w:val="single" w:sz="8" w:color="EDEDED"/>
            </w:tcBorders>
            <w:shd w:val="clear" w:color="auto" w:fill="EDEDED"/>
          </w:tcPr>
          <w:p>
            <w:pPr>
              <w:jc w:val="center"/>
              <w:ind w:left="22"/>
              <w:spacing w:after="0"/>
              <w:rPr>
                <w:sz w:val="20"/>
                <w:szCs w:val="20"/>
                <w:color w:val="auto"/>
              </w:rPr>
            </w:pPr>
            <w:r>
              <w:rPr>
                <w:rFonts w:ascii="Arial" w:cs="Arial" w:eastAsia="Arial" w:hAnsi="Arial"/>
                <w:sz w:val="16"/>
                <w:szCs w:val="16"/>
                <w:color w:val="auto"/>
              </w:rPr>
              <w:t>$173,800</w:t>
            </w:r>
          </w:p>
        </w:tc>
      </w:tr>
      <w:tr>
        <w:trPr>
          <w:trHeight w:val="20"/>
        </w:trPr>
        <w:tc>
          <w:tcPr>
            <w:tcW w:w="53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Notes:</w:t>
      </w:r>
    </w:p>
    <w:p>
      <w:pPr>
        <w:spacing w:after="0" w:line="86"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2022 STIP Payout amounts, excluding CEO, rounded to the nearest hundred;</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Mr. Quigley’s final payout percentage of 80% was determined by the Committee based on overall assessment of the Company’s 2022 results; and</w:t>
      </w:r>
    </w:p>
    <w:p>
      <w:pPr>
        <w:spacing w:after="0" w:line="86" w:lineRule="exact"/>
        <w:rPr>
          <w:rFonts w:ascii="Arial" w:cs="Arial" w:eastAsia="Arial" w:hAnsi="Arial"/>
          <w:sz w:val="16"/>
          <w:szCs w:val="16"/>
          <w:color w:val="auto"/>
        </w:rPr>
      </w:pPr>
    </w:p>
    <w:p>
      <w:pPr>
        <w:ind w:left="660" w:right="120" w:hanging="328"/>
        <w:spacing w:after="0" w:line="286"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for consistency, Mr. Thirot’s and Ms. Koolhaas’ amounts shown in USD using the IRS Yearly Average Currency Exchange Rate for Switzerland of 1.047. The actual exchange rate reflects the then-current rate.</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Long-Term Incentives</w:t>
      </w:r>
    </w:p>
    <w:p>
      <w:pPr>
        <w:spacing w:after="0" w:line="111" w:lineRule="exact"/>
        <w:rPr>
          <w:sz w:val="20"/>
          <w:szCs w:val="20"/>
          <w:color w:val="auto"/>
        </w:rPr>
      </w:pPr>
    </w:p>
    <w:p>
      <w:pPr>
        <w:ind w:left="120" w:right="400"/>
        <w:spacing w:after="0" w:line="259" w:lineRule="auto"/>
        <w:rPr>
          <w:sz w:val="20"/>
          <w:szCs w:val="20"/>
          <w:color w:val="auto"/>
        </w:rPr>
      </w:pPr>
      <w:r>
        <w:rPr>
          <w:rFonts w:ascii="Arial" w:cs="Arial" w:eastAsia="Arial" w:hAnsi="Arial"/>
          <w:sz w:val="16"/>
          <w:szCs w:val="16"/>
          <w:color w:val="auto"/>
        </w:rPr>
        <w:t>The EIP provides for long-term incentives that reward executives for achieving the Company’s long-term growth and profitability goals. Long-term incentive compensation is also intended to help the Company retain key employees, and provide those employees shared financial interests with the Company’s shareholders and positively influence their job performance and longer-term strategic focus. The EIP allows for grants of equity and non-equity awards to key employees.</w:t>
      </w:r>
    </w:p>
    <w:p>
      <w:pPr>
        <w:spacing w:after="0" w:line="178"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The Committee believes that compensation programs for the Company’s senior officers should include strong alignment between pay and performance, with a significant portion of “at risk” pay. As a result, since 2015 the Committee has provided regular long-term incentives for senior officers, including the named executive officers with grant levels based 75% on performance shares (at target) and 25% on restricted stock in order to create award opportunities that heavily emphasize performance. The typical incentive mix emphasizes performance-contingent awards delivered through performance shares and places a lower weighting on restricted shares.</w:t>
      </w:r>
    </w:p>
    <w:p>
      <w:pPr>
        <w:spacing w:after="0" w:line="180"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color w:val="auto"/>
        </w:rPr>
        <w:t>On average, target LTI awards granted to senior officers have historically been and remained below market median for 2022. The target LTI award amounts for each senior officer, including the named executive officers, are based on an established value for each officer level. The number of shares granted to each named executive officer is based on the grant value and closing stock price on the date of grant and can be found in the “Grants of Plan-Based Awards” table, later in this document.</w:t>
      </w:r>
    </w:p>
    <w:p>
      <w:pPr>
        <w:spacing w:after="0" w:line="178" w:lineRule="exact"/>
        <w:rPr>
          <w:sz w:val="20"/>
          <w:szCs w:val="20"/>
          <w:color w:val="auto"/>
        </w:rPr>
      </w:pPr>
    </w:p>
    <w:p>
      <w:pPr>
        <w:ind w:left="120" w:right="240"/>
        <w:spacing w:after="0" w:line="254" w:lineRule="auto"/>
        <w:rPr>
          <w:sz w:val="20"/>
          <w:szCs w:val="20"/>
          <w:color w:val="auto"/>
        </w:rPr>
      </w:pPr>
      <w:r>
        <w:rPr>
          <w:rFonts w:ascii="Arial" w:cs="Arial" w:eastAsia="Arial" w:hAnsi="Arial"/>
          <w:sz w:val="16"/>
          <w:szCs w:val="16"/>
          <w:color w:val="auto"/>
        </w:rPr>
        <w:t>Performance measures used for purposes of funding LTI are the same as defined in the Company’s GAAP financial statements, excluding at the discretion of the Committee consideration of special items such as: changes in accounting, principles, gains or losses on acquisitions or divestitures, changes in budget due to acquisitions or divestitures, restructuring expenses, and other unusual items, which are defined as such and quantified in the financial statements, and/or footnotes to the Company’s Annual Report on Form 10-K. Adjustments would apply only to unbudgeted items. For 2022, additional consideration was made to certain special items outside of management control that resulted in the unfavorable impact to the Company’s financial performance.</w:t>
      </w:r>
    </w:p>
    <w:p>
      <w:pPr>
        <w:spacing w:after="0" w:line="182"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color w:val="auto"/>
        </w:rPr>
        <w:t>Under the terms of the EIP, the Committee retains the right in its discretion to reduce an LTI award based on individual performance. The Committee has no discretion to increase an LTI award for named executive officers. LTI grants and any performance-based awards made under the EIP are subject to the Company’s Clawback Policy.</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1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-142875</wp:posOffset>
            </wp:positionV>
            <wp:extent cx="411480" cy="1968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Performance Shares</w:t>
      </w:r>
    </w:p>
    <w:p>
      <w:pPr>
        <w:spacing w:after="0" w:line="111"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color w:val="auto"/>
        </w:rPr>
        <w:t>Performance shares provide senior officers with the opportunity to earn shares, from zero to 200% of their target opportunity, based on achievement of pre-established measures and goals. For achievement of threshold performance, 50% of target performance shares would be earned; for achievement of target performance, 100% of target performance shares would be earned; and for achievement of maximum performance or higher, 200% of target performance shares would be earned under the typical long-term incentive design. Threshold goals are typically set at levels the Committee believes appropriate to start earning incentives. Target goals are set at budgeted levels, which are considered “challenging but achievable”. Maximum goals are set at significant stretch levels which the Committee believes warrant the earning of two times target payout. Straight line interpolation occurs for achievement of performance between threshold and target, and between target and maximum. Performance awards are granted in the form of Performance Share Units, which are not eligible for dividends or dividend equivalents.</w:t>
      </w:r>
    </w:p>
    <w:p>
      <w:pPr>
        <w:spacing w:after="0" w:line="183" w:lineRule="exact"/>
        <w:rPr>
          <w:sz w:val="20"/>
          <w:szCs w:val="20"/>
          <w:color w:val="auto"/>
        </w:rPr>
      </w:pPr>
    </w:p>
    <w:p>
      <w:pPr>
        <w:ind w:left="120" w:right="180"/>
        <w:spacing w:after="0" w:line="253" w:lineRule="auto"/>
        <w:rPr>
          <w:sz w:val="20"/>
          <w:szCs w:val="20"/>
          <w:color w:val="auto"/>
        </w:rPr>
      </w:pPr>
      <w:r>
        <w:rPr>
          <w:rFonts w:ascii="Arial" w:cs="Arial" w:eastAsia="Arial" w:hAnsi="Arial"/>
          <w:sz w:val="16"/>
          <w:szCs w:val="16"/>
          <w:color w:val="auto"/>
        </w:rPr>
        <w:t>For the 2022-2024 grant of performance shares, the two financial measures, revenue growth and EBITDA margin, have one-year goals established for each of the three performance periods (2022, 2023, and 2024) that are set in the beginning of each performance period. This design provides the ability to set meaningful goals in the continued unpredictable economic climate. In February 2022, the Committee approved goals at threshold, target, and maximum levels of performance for each of the measures for 2022. At the end of the 2022 performance period in early 2023, results for each of the two financial measures, determined the achievement and earning of shares. For the 2023 performance period, goals will be approved in early 2023 with results being reviewed in early 2024, and the 2024 performance period goals will be approved in early 2024. Any earned shares will vest 100% upon Committee approval on the third anniversary of the grant (February 2025).</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target number of performance shares were awarded for each performance measure to the named executive officers in 2022:</w:t>
      </w:r>
    </w:p>
    <w:p>
      <w:pPr>
        <w:spacing w:after="0" w:line="25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00AF41"/>
        </w:rPr>
        <w:t>Target Number of 2022-2024 Performance Shares Awarded</w:t>
      </w:r>
    </w:p>
    <w:p>
      <w:pPr>
        <w:spacing w:after="0" w:line="3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84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gridSpan w:val="2"/>
          </w:tcPr>
          <w:p>
            <w:pPr>
              <w:ind w:left="380"/>
              <w:spacing w:after="0"/>
              <w:rPr>
                <w:sz w:val="20"/>
                <w:szCs w:val="20"/>
                <w:color w:val="auto"/>
              </w:rPr>
            </w:pPr>
            <w:r>
              <w:rPr>
                <w:rFonts w:ascii="Arial" w:cs="Arial" w:eastAsia="Arial" w:hAnsi="Arial"/>
                <w:sz w:val="14"/>
                <w:szCs w:val="14"/>
                <w:b w:val="1"/>
                <w:bCs w:val="1"/>
                <w:color w:val="00AF41"/>
              </w:rPr>
              <w:t>Financial Measures</w:t>
            </w:r>
          </w:p>
        </w:tc>
        <w:tc>
          <w:tcPr>
            <w:tcW w:w="1420" w:type="dxa"/>
            <w:vAlign w:val="bottom"/>
            <w:tcBorders>
              <w:top w:val="single" w:sz="8" w:color="auto"/>
            </w:tcBorders>
          </w:tcPr>
          <w:p>
            <w:pPr>
              <w:jc w:val="center"/>
              <w:ind w:left="243"/>
              <w:spacing w:after="0"/>
              <w:rPr>
                <w:sz w:val="20"/>
                <w:szCs w:val="20"/>
                <w:color w:val="auto"/>
              </w:rPr>
            </w:pPr>
            <w:r>
              <w:rPr>
                <w:rFonts w:ascii="Arial" w:cs="Arial" w:eastAsia="Arial" w:hAnsi="Arial"/>
                <w:sz w:val="14"/>
                <w:szCs w:val="14"/>
                <w:b w:val="1"/>
                <w:bCs w:val="1"/>
                <w:color w:val="00AF41"/>
              </w:rPr>
              <w:t>Total Number of</w:t>
            </w:r>
          </w:p>
        </w:tc>
        <w:tc>
          <w:tcPr>
            <w:tcW w:w="0" w:type="dxa"/>
            <w:vAlign w:val="bottom"/>
          </w:tcPr>
          <w:p>
            <w:pPr>
              <w:spacing w:after="0"/>
              <w:rPr>
                <w:sz w:val="1"/>
                <w:szCs w:val="1"/>
                <w:color w:val="auto"/>
              </w:rPr>
            </w:pPr>
          </w:p>
        </w:tc>
      </w:tr>
      <w:tr>
        <w:trPr>
          <w:trHeight w:val="54"/>
        </w:trPr>
        <w:tc>
          <w:tcPr>
            <w:tcW w:w="784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20" w:type="dxa"/>
            <w:vAlign w:val="bottom"/>
            <w:vMerge w:val="restart"/>
          </w:tcPr>
          <w:p>
            <w:pPr>
              <w:jc w:val="center"/>
              <w:ind w:left="223"/>
              <w:spacing w:after="0" w:line="139" w:lineRule="exact"/>
              <w:rPr>
                <w:sz w:val="20"/>
                <w:szCs w:val="20"/>
                <w:color w:val="auto"/>
              </w:rPr>
            </w:pPr>
            <w:r>
              <w:rPr>
                <w:rFonts w:ascii="Arial" w:cs="Arial" w:eastAsia="Arial" w:hAnsi="Arial"/>
                <w:sz w:val="14"/>
                <w:szCs w:val="14"/>
                <w:b w:val="1"/>
                <w:bCs w:val="1"/>
                <w:color w:val="00AF41"/>
              </w:rPr>
              <w:t>Performance</w:t>
            </w:r>
          </w:p>
        </w:tc>
        <w:tc>
          <w:tcPr>
            <w:tcW w:w="0" w:type="dxa"/>
            <w:vAlign w:val="bottom"/>
          </w:tcPr>
          <w:p>
            <w:pPr>
              <w:spacing w:after="0"/>
              <w:rPr>
                <w:sz w:val="1"/>
                <w:szCs w:val="1"/>
                <w:color w:val="auto"/>
              </w:rPr>
            </w:pPr>
          </w:p>
        </w:tc>
      </w:tr>
      <w:tr>
        <w:trPr>
          <w:trHeight w:val="65"/>
        </w:trPr>
        <w:tc>
          <w:tcPr>
            <w:tcW w:w="78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7840" w:type="dxa"/>
            <w:vAlign w:val="bottom"/>
          </w:tcPr>
          <w:p>
            <w:pPr>
              <w:spacing w:after="0"/>
              <w:rPr>
                <w:sz w:val="14"/>
                <w:szCs w:val="14"/>
                <w:color w:val="auto"/>
              </w:rPr>
            </w:pPr>
          </w:p>
        </w:tc>
        <w:tc>
          <w:tcPr>
            <w:tcW w:w="1080" w:type="dxa"/>
            <w:vAlign w:val="bottom"/>
          </w:tcPr>
          <w:p>
            <w:pPr>
              <w:ind w:left="320"/>
              <w:spacing w:after="0"/>
              <w:rPr>
                <w:sz w:val="20"/>
                <w:szCs w:val="20"/>
                <w:color w:val="auto"/>
              </w:rPr>
            </w:pPr>
            <w:r>
              <w:rPr>
                <w:rFonts w:ascii="Arial" w:cs="Arial" w:eastAsia="Arial" w:hAnsi="Arial"/>
                <w:sz w:val="14"/>
                <w:szCs w:val="14"/>
                <w:b w:val="1"/>
                <w:bCs w:val="1"/>
                <w:color w:val="00AF41"/>
              </w:rPr>
              <w:t>Revenue</w:t>
            </w:r>
          </w:p>
        </w:tc>
        <w:tc>
          <w:tcPr>
            <w:tcW w:w="680" w:type="dxa"/>
            <w:vAlign w:val="bottom"/>
          </w:tcPr>
          <w:p>
            <w:pPr>
              <w:jc w:val="center"/>
              <w:ind w:left="82"/>
              <w:spacing w:after="0"/>
              <w:rPr>
                <w:sz w:val="20"/>
                <w:szCs w:val="20"/>
                <w:color w:val="auto"/>
              </w:rPr>
            </w:pPr>
            <w:r>
              <w:rPr>
                <w:rFonts w:ascii="Arial" w:cs="Arial" w:eastAsia="Arial" w:hAnsi="Arial"/>
                <w:sz w:val="14"/>
                <w:szCs w:val="14"/>
                <w:b w:val="1"/>
                <w:bCs w:val="1"/>
                <w:color w:val="00AF41"/>
                <w:w w:val="99"/>
              </w:rPr>
              <w:t>EBITDA</w:t>
            </w:r>
          </w:p>
        </w:tc>
        <w:tc>
          <w:tcPr>
            <w:tcW w:w="1420" w:type="dxa"/>
            <w:vAlign w:val="bottom"/>
          </w:tcPr>
          <w:p>
            <w:pPr>
              <w:jc w:val="center"/>
              <w:ind w:left="223"/>
              <w:spacing w:after="0"/>
              <w:rPr>
                <w:sz w:val="20"/>
                <w:szCs w:val="20"/>
                <w:color w:val="auto"/>
              </w:rPr>
            </w:pPr>
            <w:r>
              <w:rPr>
                <w:rFonts w:ascii="Arial" w:cs="Arial" w:eastAsia="Arial" w:hAnsi="Arial"/>
                <w:sz w:val="14"/>
                <w:szCs w:val="14"/>
                <w:b w:val="1"/>
                <w:bCs w:val="1"/>
                <w:color w:val="00AF41"/>
              </w:rPr>
              <w:t>Shares</w:t>
            </w:r>
          </w:p>
        </w:tc>
        <w:tc>
          <w:tcPr>
            <w:tcW w:w="0" w:type="dxa"/>
            <w:vAlign w:val="bottom"/>
          </w:tcPr>
          <w:p>
            <w:pPr>
              <w:spacing w:after="0"/>
              <w:rPr>
                <w:sz w:val="1"/>
                <w:szCs w:val="1"/>
                <w:color w:val="auto"/>
              </w:rPr>
            </w:pPr>
          </w:p>
        </w:tc>
      </w:tr>
      <w:tr>
        <w:trPr>
          <w:trHeight w:val="197"/>
        </w:trPr>
        <w:tc>
          <w:tcPr>
            <w:tcW w:w="7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AF41"/>
              </w:rPr>
              <w:t>Name</w:t>
            </w: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00AF41"/>
              </w:rPr>
              <w:t>Growth</w:t>
            </w:r>
          </w:p>
        </w:tc>
        <w:tc>
          <w:tcPr>
            <w:tcW w:w="68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00AF41"/>
              </w:rPr>
              <w:t>Margin</w:t>
            </w:r>
          </w:p>
        </w:tc>
        <w:tc>
          <w:tcPr>
            <w:tcW w:w="1420" w:type="dxa"/>
            <w:vAlign w:val="bottom"/>
            <w:tcBorders>
              <w:bottom w:val="single" w:sz="8" w:color="auto"/>
            </w:tcBorders>
          </w:tcPr>
          <w:p>
            <w:pPr>
              <w:jc w:val="center"/>
              <w:ind w:left="223"/>
              <w:spacing w:after="0"/>
              <w:rPr>
                <w:sz w:val="20"/>
                <w:szCs w:val="20"/>
                <w:color w:val="auto"/>
              </w:rPr>
            </w:pPr>
            <w:r>
              <w:rPr>
                <w:rFonts w:ascii="Arial" w:cs="Arial" w:eastAsia="Arial" w:hAnsi="Arial"/>
                <w:sz w:val="14"/>
                <w:szCs w:val="14"/>
                <w:b w:val="1"/>
                <w:bCs w:val="1"/>
                <w:color w:val="00AF41"/>
                <w:w w:val="99"/>
              </w:rPr>
              <w:t>@ Target</w:t>
            </w:r>
          </w:p>
        </w:tc>
        <w:tc>
          <w:tcPr>
            <w:tcW w:w="0" w:type="dxa"/>
            <w:vAlign w:val="bottom"/>
          </w:tcPr>
          <w:p>
            <w:pPr>
              <w:spacing w:after="0"/>
              <w:rPr>
                <w:sz w:val="1"/>
                <w:szCs w:val="1"/>
                <w:color w:val="auto"/>
              </w:rPr>
            </w:pPr>
          </w:p>
        </w:tc>
      </w:tr>
      <w:tr>
        <w:trPr>
          <w:trHeight w:val="224"/>
        </w:trPr>
        <w:tc>
          <w:tcPr>
            <w:tcW w:w="7840" w:type="dxa"/>
            <w:vAlign w:val="bottom"/>
            <w:shd w:val="clear" w:color="auto" w:fill="EDEDED"/>
          </w:tcPr>
          <w:p>
            <w:pPr>
              <w:ind w:left="80"/>
              <w:spacing w:after="0"/>
              <w:rPr>
                <w:sz w:val="20"/>
                <w:szCs w:val="20"/>
                <w:color w:val="auto"/>
              </w:rPr>
            </w:pPr>
            <w:r>
              <w:rPr>
                <w:rFonts w:ascii="Arial" w:cs="Arial" w:eastAsia="Arial" w:hAnsi="Arial"/>
                <w:sz w:val="16"/>
                <w:szCs w:val="16"/>
                <w:b w:val="1"/>
                <w:bCs w:val="1"/>
                <w:color w:val="auto"/>
              </w:rPr>
              <w:t>Peter W. Quigley</w:t>
            </w:r>
          </w:p>
        </w:tc>
        <w:tc>
          <w:tcPr>
            <w:tcW w:w="1080" w:type="dxa"/>
            <w:vAlign w:val="bottom"/>
            <w:shd w:val="clear" w:color="auto" w:fill="EDEDED"/>
          </w:tcPr>
          <w:p>
            <w:pPr>
              <w:jc w:val="center"/>
              <w:ind w:left="62"/>
              <w:spacing w:after="0"/>
              <w:rPr>
                <w:sz w:val="20"/>
                <w:szCs w:val="20"/>
                <w:color w:val="auto"/>
              </w:rPr>
            </w:pPr>
            <w:r>
              <w:rPr>
                <w:rFonts w:ascii="Arial" w:cs="Arial" w:eastAsia="Arial" w:hAnsi="Arial"/>
                <w:sz w:val="16"/>
                <w:szCs w:val="16"/>
                <w:color w:val="auto"/>
              </w:rPr>
              <w:t>31,833</w:t>
            </w:r>
          </w:p>
        </w:tc>
        <w:tc>
          <w:tcPr>
            <w:tcW w:w="680" w:type="dxa"/>
            <w:vAlign w:val="bottom"/>
            <w:shd w:val="clear" w:color="auto" w:fill="EDEDED"/>
          </w:tcPr>
          <w:p>
            <w:pPr>
              <w:jc w:val="center"/>
              <w:ind w:left="82"/>
              <w:spacing w:after="0"/>
              <w:rPr>
                <w:sz w:val="20"/>
                <w:szCs w:val="20"/>
                <w:color w:val="auto"/>
              </w:rPr>
            </w:pPr>
            <w:r>
              <w:rPr>
                <w:rFonts w:ascii="Arial" w:cs="Arial" w:eastAsia="Arial" w:hAnsi="Arial"/>
                <w:sz w:val="16"/>
                <w:szCs w:val="16"/>
                <w:color w:val="auto"/>
                <w:w w:val="98"/>
              </w:rPr>
              <w:t>31,833</w:t>
            </w:r>
          </w:p>
        </w:tc>
        <w:tc>
          <w:tcPr>
            <w:tcW w:w="1420" w:type="dxa"/>
            <w:vAlign w:val="bottom"/>
            <w:shd w:val="clear" w:color="auto" w:fill="EDEDED"/>
          </w:tcPr>
          <w:p>
            <w:pPr>
              <w:jc w:val="center"/>
              <w:ind w:left="243"/>
              <w:spacing w:after="0"/>
              <w:rPr>
                <w:sz w:val="20"/>
                <w:szCs w:val="20"/>
                <w:color w:val="auto"/>
              </w:rPr>
            </w:pPr>
            <w:r>
              <w:rPr>
                <w:rFonts w:ascii="Arial" w:cs="Arial" w:eastAsia="Arial" w:hAnsi="Arial"/>
                <w:sz w:val="16"/>
                <w:szCs w:val="16"/>
                <w:color w:val="auto"/>
              </w:rPr>
              <w:t>63,666</w:t>
            </w:r>
          </w:p>
        </w:tc>
        <w:tc>
          <w:tcPr>
            <w:tcW w:w="0" w:type="dxa"/>
            <w:vAlign w:val="bottom"/>
          </w:tcPr>
          <w:p>
            <w:pPr>
              <w:spacing w:after="0"/>
              <w:rPr>
                <w:sz w:val="1"/>
                <w:szCs w:val="1"/>
                <w:color w:val="auto"/>
              </w:rPr>
            </w:pPr>
          </w:p>
        </w:tc>
      </w:tr>
      <w:tr>
        <w:trPr>
          <w:trHeight w:val="239"/>
        </w:trPr>
        <w:tc>
          <w:tcPr>
            <w:tcW w:w="7840" w:type="dxa"/>
            <w:vAlign w:val="bottom"/>
          </w:tcPr>
          <w:p>
            <w:pPr>
              <w:ind w:left="80"/>
              <w:spacing w:after="0"/>
              <w:rPr>
                <w:sz w:val="20"/>
                <w:szCs w:val="20"/>
                <w:color w:val="auto"/>
              </w:rPr>
            </w:pPr>
            <w:r>
              <w:rPr>
                <w:rFonts w:ascii="Arial" w:cs="Arial" w:eastAsia="Arial" w:hAnsi="Arial"/>
                <w:sz w:val="16"/>
                <w:szCs w:val="16"/>
                <w:b w:val="1"/>
                <w:bCs w:val="1"/>
                <w:color w:val="auto"/>
              </w:rPr>
              <w:t>Olivier G. Thirot</w:t>
            </w:r>
          </w:p>
        </w:tc>
        <w:tc>
          <w:tcPr>
            <w:tcW w:w="1080" w:type="dxa"/>
            <w:vAlign w:val="bottom"/>
          </w:tcPr>
          <w:p>
            <w:pPr>
              <w:jc w:val="center"/>
              <w:ind w:left="62"/>
              <w:spacing w:after="0"/>
              <w:rPr>
                <w:sz w:val="20"/>
                <w:szCs w:val="20"/>
                <w:color w:val="auto"/>
              </w:rPr>
            </w:pPr>
            <w:r>
              <w:rPr>
                <w:rFonts w:ascii="Arial" w:cs="Arial" w:eastAsia="Arial" w:hAnsi="Arial"/>
                <w:sz w:val="16"/>
                <w:szCs w:val="16"/>
                <w:color w:val="auto"/>
              </w:rPr>
              <w:t>15,193</w:t>
            </w:r>
          </w:p>
        </w:tc>
        <w:tc>
          <w:tcPr>
            <w:tcW w:w="680" w:type="dxa"/>
            <w:vAlign w:val="bottom"/>
          </w:tcPr>
          <w:p>
            <w:pPr>
              <w:jc w:val="center"/>
              <w:ind w:left="82"/>
              <w:spacing w:after="0"/>
              <w:rPr>
                <w:sz w:val="20"/>
                <w:szCs w:val="20"/>
                <w:color w:val="auto"/>
              </w:rPr>
            </w:pPr>
            <w:r>
              <w:rPr>
                <w:rFonts w:ascii="Arial" w:cs="Arial" w:eastAsia="Arial" w:hAnsi="Arial"/>
                <w:sz w:val="16"/>
                <w:szCs w:val="16"/>
                <w:color w:val="auto"/>
                <w:w w:val="98"/>
              </w:rPr>
              <w:t>15,193</w:t>
            </w:r>
          </w:p>
        </w:tc>
        <w:tc>
          <w:tcPr>
            <w:tcW w:w="1420" w:type="dxa"/>
            <w:vAlign w:val="bottom"/>
          </w:tcPr>
          <w:p>
            <w:pPr>
              <w:jc w:val="center"/>
              <w:ind w:left="243"/>
              <w:spacing w:after="0"/>
              <w:rPr>
                <w:sz w:val="20"/>
                <w:szCs w:val="20"/>
                <w:color w:val="auto"/>
              </w:rPr>
            </w:pPr>
            <w:r>
              <w:rPr>
                <w:rFonts w:ascii="Arial" w:cs="Arial" w:eastAsia="Arial" w:hAnsi="Arial"/>
                <w:sz w:val="16"/>
                <w:szCs w:val="16"/>
                <w:color w:val="auto"/>
              </w:rPr>
              <w:t>30,386</w:t>
            </w:r>
          </w:p>
        </w:tc>
        <w:tc>
          <w:tcPr>
            <w:tcW w:w="0" w:type="dxa"/>
            <w:vAlign w:val="bottom"/>
          </w:tcPr>
          <w:p>
            <w:pPr>
              <w:spacing w:after="0"/>
              <w:rPr>
                <w:sz w:val="1"/>
                <w:szCs w:val="1"/>
                <w:color w:val="auto"/>
              </w:rPr>
            </w:pPr>
          </w:p>
        </w:tc>
      </w:tr>
      <w:tr>
        <w:trPr>
          <w:trHeight w:val="247"/>
        </w:trPr>
        <w:tc>
          <w:tcPr>
            <w:tcW w:w="7840" w:type="dxa"/>
            <w:vAlign w:val="bottom"/>
            <w:shd w:val="clear" w:color="auto" w:fill="EDEDED"/>
          </w:tcPr>
          <w:p>
            <w:pPr>
              <w:ind w:left="80"/>
              <w:spacing w:after="0"/>
              <w:rPr>
                <w:sz w:val="20"/>
                <w:szCs w:val="20"/>
                <w:color w:val="auto"/>
              </w:rPr>
            </w:pPr>
            <w:r>
              <w:rPr>
                <w:rFonts w:ascii="Arial" w:cs="Arial" w:eastAsia="Arial" w:hAnsi="Arial"/>
                <w:sz w:val="16"/>
                <w:szCs w:val="16"/>
                <w:b w:val="1"/>
                <w:bCs w:val="1"/>
                <w:color w:val="auto"/>
              </w:rPr>
              <w:t>Dinette Koolhaas</w:t>
            </w:r>
          </w:p>
        </w:tc>
        <w:tc>
          <w:tcPr>
            <w:tcW w:w="1080" w:type="dxa"/>
            <w:vAlign w:val="bottom"/>
            <w:shd w:val="clear" w:color="auto" w:fill="EDEDED"/>
          </w:tcPr>
          <w:p>
            <w:pPr>
              <w:jc w:val="center"/>
              <w:ind w:left="82"/>
              <w:spacing w:after="0"/>
              <w:rPr>
                <w:sz w:val="20"/>
                <w:szCs w:val="20"/>
                <w:color w:val="auto"/>
              </w:rPr>
            </w:pPr>
            <w:r>
              <w:rPr>
                <w:rFonts w:ascii="Arial" w:cs="Arial" w:eastAsia="Arial" w:hAnsi="Arial"/>
                <w:sz w:val="16"/>
                <w:szCs w:val="16"/>
                <w:color w:val="auto"/>
                <w:w w:val="99"/>
              </w:rPr>
              <w:t>6,477</w:t>
            </w:r>
          </w:p>
        </w:tc>
        <w:tc>
          <w:tcPr>
            <w:tcW w:w="680" w:type="dxa"/>
            <w:vAlign w:val="bottom"/>
            <w:shd w:val="clear" w:color="auto" w:fill="EDEDED"/>
          </w:tcPr>
          <w:p>
            <w:pPr>
              <w:jc w:val="center"/>
              <w:ind w:left="82"/>
              <w:spacing w:after="0"/>
              <w:rPr>
                <w:sz w:val="20"/>
                <w:szCs w:val="20"/>
                <w:color w:val="auto"/>
              </w:rPr>
            </w:pPr>
            <w:r>
              <w:rPr>
                <w:rFonts w:ascii="Arial" w:cs="Arial" w:eastAsia="Arial" w:hAnsi="Arial"/>
                <w:sz w:val="16"/>
                <w:szCs w:val="16"/>
                <w:color w:val="auto"/>
                <w:w w:val="99"/>
              </w:rPr>
              <w:t>6,477</w:t>
            </w:r>
          </w:p>
        </w:tc>
        <w:tc>
          <w:tcPr>
            <w:tcW w:w="1420" w:type="dxa"/>
            <w:vAlign w:val="bottom"/>
            <w:shd w:val="clear" w:color="auto" w:fill="EDEDED"/>
          </w:tcPr>
          <w:p>
            <w:pPr>
              <w:jc w:val="center"/>
              <w:ind w:left="243"/>
              <w:spacing w:after="0"/>
              <w:rPr>
                <w:sz w:val="20"/>
                <w:szCs w:val="20"/>
                <w:color w:val="auto"/>
              </w:rPr>
            </w:pPr>
            <w:r>
              <w:rPr>
                <w:rFonts w:ascii="Arial" w:cs="Arial" w:eastAsia="Arial" w:hAnsi="Arial"/>
                <w:sz w:val="16"/>
                <w:szCs w:val="16"/>
                <w:color w:val="auto"/>
              </w:rPr>
              <w:t>12,954</w:t>
            </w:r>
          </w:p>
        </w:tc>
        <w:tc>
          <w:tcPr>
            <w:tcW w:w="0" w:type="dxa"/>
            <w:vAlign w:val="bottom"/>
          </w:tcPr>
          <w:p>
            <w:pPr>
              <w:spacing w:after="0"/>
              <w:rPr>
                <w:sz w:val="1"/>
                <w:szCs w:val="1"/>
                <w:color w:val="auto"/>
              </w:rPr>
            </w:pPr>
          </w:p>
        </w:tc>
      </w:tr>
      <w:tr>
        <w:trPr>
          <w:trHeight w:val="239"/>
        </w:trPr>
        <w:tc>
          <w:tcPr>
            <w:tcW w:w="7840" w:type="dxa"/>
            <w:vAlign w:val="bottom"/>
          </w:tcPr>
          <w:p>
            <w:pPr>
              <w:ind w:left="80"/>
              <w:spacing w:after="0"/>
              <w:rPr>
                <w:sz w:val="20"/>
                <w:szCs w:val="20"/>
                <w:color w:val="auto"/>
              </w:rPr>
            </w:pPr>
            <w:r>
              <w:rPr>
                <w:rFonts w:ascii="Arial" w:cs="Arial" w:eastAsia="Arial" w:hAnsi="Arial"/>
                <w:sz w:val="16"/>
                <w:szCs w:val="16"/>
                <w:b w:val="1"/>
                <w:bCs w:val="1"/>
                <w:color w:val="auto"/>
              </w:rPr>
              <w:t>Vanessa P. Williams</w:t>
            </w:r>
          </w:p>
        </w:tc>
        <w:tc>
          <w:tcPr>
            <w:tcW w:w="1080" w:type="dxa"/>
            <w:vAlign w:val="bottom"/>
          </w:tcPr>
          <w:p>
            <w:pPr>
              <w:jc w:val="center"/>
              <w:ind w:left="82"/>
              <w:spacing w:after="0"/>
              <w:rPr>
                <w:sz w:val="20"/>
                <w:szCs w:val="20"/>
                <w:color w:val="auto"/>
              </w:rPr>
            </w:pPr>
            <w:r>
              <w:rPr>
                <w:rFonts w:ascii="Arial" w:cs="Arial" w:eastAsia="Arial" w:hAnsi="Arial"/>
                <w:sz w:val="16"/>
                <w:szCs w:val="16"/>
                <w:color w:val="auto"/>
                <w:w w:val="99"/>
              </w:rPr>
              <w:t>7,131</w:t>
            </w:r>
          </w:p>
        </w:tc>
        <w:tc>
          <w:tcPr>
            <w:tcW w:w="680" w:type="dxa"/>
            <w:vAlign w:val="bottom"/>
          </w:tcPr>
          <w:p>
            <w:pPr>
              <w:jc w:val="center"/>
              <w:ind w:left="82"/>
              <w:spacing w:after="0"/>
              <w:rPr>
                <w:sz w:val="20"/>
                <w:szCs w:val="20"/>
                <w:color w:val="auto"/>
              </w:rPr>
            </w:pPr>
            <w:r>
              <w:rPr>
                <w:rFonts w:ascii="Arial" w:cs="Arial" w:eastAsia="Arial" w:hAnsi="Arial"/>
                <w:sz w:val="16"/>
                <w:szCs w:val="16"/>
                <w:color w:val="auto"/>
                <w:w w:val="99"/>
              </w:rPr>
              <w:t>7,131</w:t>
            </w:r>
          </w:p>
        </w:tc>
        <w:tc>
          <w:tcPr>
            <w:tcW w:w="1420" w:type="dxa"/>
            <w:vAlign w:val="bottom"/>
          </w:tcPr>
          <w:p>
            <w:pPr>
              <w:jc w:val="center"/>
              <w:ind w:left="243"/>
              <w:spacing w:after="0"/>
              <w:rPr>
                <w:sz w:val="20"/>
                <w:szCs w:val="20"/>
                <w:color w:val="auto"/>
              </w:rPr>
            </w:pPr>
            <w:r>
              <w:rPr>
                <w:rFonts w:ascii="Arial" w:cs="Arial" w:eastAsia="Arial" w:hAnsi="Arial"/>
                <w:sz w:val="16"/>
                <w:szCs w:val="16"/>
                <w:color w:val="auto"/>
              </w:rPr>
              <w:t>14,262</w:t>
            </w:r>
          </w:p>
        </w:tc>
        <w:tc>
          <w:tcPr>
            <w:tcW w:w="0" w:type="dxa"/>
            <w:vAlign w:val="bottom"/>
          </w:tcPr>
          <w:p>
            <w:pPr>
              <w:spacing w:after="0"/>
              <w:rPr>
                <w:sz w:val="1"/>
                <w:szCs w:val="1"/>
                <w:color w:val="auto"/>
              </w:rPr>
            </w:pPr>
          </w:p>
        </w:tc>
      </w:tr>
      <w:tr>
        <w:trPr>
          <w:trHeight w:val="254"/>
        </w:trPr>
        <w:tc>
          <w:tcPr>
            <w:tcW w:w="784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b w:val="1"/>
                <w:bCs w:val="1"/>
                <w:color w:val="auto"/>
              </w:rPr>
              <w:t>Darren L. Simons</w:t>
            </w:r>
          </w:p>
        </w:tc>
        <w:tc>
          <w:tcPr>
            <w:tcW w:w="1080" w:type="dxa"/>
            <w:vAlign w:val="bottom"/>
            <w:tcBorders>
              <w:bottom w:val="single" w:sz="8" w:color="EDEDED"/>
            </w:tcBorders>
            <w:shd w:val="clear" w:color="auto" w:fill="EDEDED"/>
          </w:tcPr>
          <w:p>
            <w:pPr>
              <w:jc w:val="center"/>
              <w:ind w:left="82"/>
              <w:spacing w:after="0"/>
              <w:rPr>
                <w:sz w:val="20"/>
                <w:szCs w:val="20"/>
                <w:color w:val="auto"/>
              </w:rPr>
            </w:pPr>
            <w:r>
              <w:rPr>
                <w:rFonts w:ascii="Arial" w:cs="Arial" w:eastAsia="Arial" w:hAnsi="Arial"/>
                <w:sz w:val="16"/>
                <w:szCs w:val="16"/>
                <w:color w:val="auto"/>
                <w:w w:val="99"/>
              </w:rPr>
              <w:t>4,545</w:t>
            </w:r>
          </w:p>
        </w:tc>
        <w:tc>
          <w:tcPr>
            <w:tcW w:w="680" w:type="dxa"/>
            <w:vAlign w:val="bottom"/>
            <w:tcBorders>
              <w:bottom w:val="single" w:sz="8" w:color="EDEDED"/>
            </w:tcBorders>
            <w:shd w:val="clear" w:color="auto" w:fill="EDEDED"/>
          </w:tcPr>
          <w:p>
            <w:pPr>
              <w:jc w:val="center"/>
              <w:ind w:left="82"/>
              <w:spacing w:after="0"/>
              <w:rPr>
                <w:sz w:val="20"/>
                <w:szCs w:val="20"/>
                <w:color w:val="auto"/>
              </w:rPr>
            </w:pPr>
            <w:r>
              <w:rPr>
                <w:rFonts w:ascii="Arial" w:cs="Arial" w:eastAsia="Arial" w:hAnsi="Arial"/>
                <w:sz w:val="16"/>
                <w:szCs w:val="16"/>
                <w:color w:val="auto"/>
                <w:w w:val="99"/>
              </w:rPr>
              <w:t>4,545</w:t>
            </w:r>
          </w:p>
        </w:tc>
        <w:tc>
          <w:tcPr>
            <w:tcW w:w="1420" w:type="dxa"/>
            <w:vAlign w:val="bottom"/>
            <w:tcBorders>
              <w:bottom w:val="single" w:sz="8" w:color="EDEDED"/>
            </w:tcBorders>
            <w:shd w:val="clear" w:color="auto" w:fill="EDEDED"/>
          </w:tcPr>
          <w:p>
            <w:pPr>
              <w:jc w:val="center"/>
              <w:ind w:left="223"/>
              <w:spacing w:after="0"/>
              <w:rPr>
                <w:sz w:val="20"/>
                <w:szCs w:val="20"/>
                <w:color w:val="auto"/>
              </w:rPr>
            </w:pPr>
            <w:r>
              <w:rPr>
                <w:rFonts w:ascii="Arial" w:cs="Arial" w:eastAsia="Arial" w:hAnsi="Arial"/>
                <w:sz w:val="16"/>
                <w:szCs w:val="16"/>
                <w:color w:val="auto"/>
                <w:w w:val="99"/>
              </w:rPr>
              <w:t>9,090</w:t>
            </w:r>
          </w:p>
        </w:tc>
        <w:tc>
          <w:tcPr>
            <w:tcW w:w="0" w:type="dxa"/>
            <w:vAlign w:val="bottom"/>
          </w:tcPr>
          <w:p>
            <w:pPr>
              <w:spacing w:after="0"/>
              <w:rPr>
                <w:sz w:val="1"/>
                <w:szCs w:val="1"/>
                <w:color w:val="auto"/>
              </w:rPr>
            </w:pPr>
          </w:p>
        </w:tc>
      </w:tr>
      <w:tr>
        <w:trPr>
          <w:trHeight w:val="20"/>
        </w:trPr>
        <w:tc>
          <w:tcPr>
            <w:tcW w:w="78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The 2022 threshold goals were set at levels for which the Committee believed it was appropriate to start earning incentives; the target level was set at the expected/budgeted level, which the Committee considered were “challenging but achievable”; maximum goals were set at significant stretch levels for which the Committee believed the earning of two times target payout was warranted. Straight line interpolation occurs for achievement of performance between the stated goals.</w:t>
      </w:r>
    </w:p>
    <w:p>
      <w:pPr>
        <w:spacing w:after="0" w:line="178"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auto"/>
        </w:rPr>
        <w:t>In the event of a senior officer’s termination of employment due to death, disability, normal retirement, or termination not for cause, the officer will receive a prorated award of performance shares based on actual results achieved, if any. Normal retirement is defined as age 62 with at least five years of service, or a combination of age plus years of service equal to 70, with a minimum age of 60. In order to be eligible for a prorated award due to termination by the Company not for cause, a senior officer must have been employed for at least one year after the date the grants were approved by the Committee. The prorated amount is based on the number of whole months in the performance period that were worked by the senior officer prior to termination divided by 36. In the case of termination not for cause in connection with a change in control, performance shares vest immediately at target amounts.</w:t>
      </w:r>
    </w:p>
    <w:p>
      <w:pPr>
        <w:spacing w:after="0" w:line="295" w:lineRule="exact"/>
        <w:rPr>
          <w:sz w:val="20"/>
          <w:szCs w:val="20"/>
          <w:color w:val="auto"/>
        </w:rPr>
      </w:pPr>
    </w:p>
    <w:p>
      <w:pPr>
        <w:ind w:left="10820"/>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77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-142875</wp:posOffset>
            </wp:positionV>
            <wp:extent cx="411480" cy="1968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2021-2023 Long-Term Incentive Performance Results – Year 2</w:t>
      </w:r>
    </w:p>
    <w:p>
      <w:pPr>
        <w:spacing w:after="0" w:line="111" w:lineRule="exact"/>
        <w:rPr>
          <w:sz w:val="20"/>
          <w:szCs w:val="20"/>
          <w:color w:val="auto"/>
        </w:rPr>
      </w:pPr>
    </w:p>
    <w:p>
      <w:pPr>
        <w:ind w:left="120" w:right="100"/>
        <w:spacing w:after="0" w:line="254" w:lineRule="auto"/>
        <w:rPr>
          <w:sz w:val="20"/>
          <w:szCs w:val="20"/>
          <w:color w:val="auto"/>
        </w:rPr>
      </w:pPr>
      <w:r>
        <w:rPr>
          <w:rFonts w:ascii="Arial" w:cs="Arial" w:eastAsia="Arial" w:hAnsi="Arial"/>
          <w:sz w:val="16"/>
          <w:szCs w:val="16"/>
          <w:color w:val="auto"/>
        </w:rPr>
        <w:t>The 2021-2023 performance shares have two financial measures, revenue growth and EBITDA margin, which have three one-year goals set in the beginning of each performance year. In February 2022, the Committee approved goals at threshold, target, and maximum levels of performance for each of the measures for the 2022 portion of the award opportunity. During its February 14, 2023 meeting, the Committee approved the results for the 2022 performance year. Earned shares vested 50% upon Committee approval and 50% upon the third anniversary of the grant (February 2024). Aggregate funding for all performance measures during the 2022 performance year was 71.85% of target. The final performance results for the 2022 performance year are provided in the following chart:</w:t>
      </w: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98"/>
        </w:trPr>
        <w:tc>
          <w:tcPr>
            <w:tcW w:w="5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20" w:type="dxa"/>
            <w:vAlign w:val="bottom"/>
            <w:tcBorders>
              <w:bottom w:val="single" w:sz="8" w:color="auto"/>
            </w:tcBorders>
            <w:gridSpan w:val="3"/>
          </w:tcPr>
          <w:p>
            <w:pPr>
              <w:jc w:val="center"/>
              <w:ind w:left="24"/>
              <w:spacing w:after="0"/>
              <w:rPr>
                <w:sz w:val="20"/>
                <w:szCs w:val="20"/>
                <w:color w:val="auto"/>
              </w:rPr>
            </w:pPr>
            <w:r>
              <w:rPr>
                <w:rFonts w:ascii="Arial" w:cs="Arial" w:eastAsia="Arial" w:hAnsi="Arial"/>
                <w:sz w:val="14"/>
                <w:szCs w:val="14"/>
                <w:b w:val="1"/>
                <w:bCs w:val="1"/>
                <w:color w:val="00AF41"/>
              </w:rPr>
              <w:t>2022 Performance Goals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AF41"/>
              </w:rPr>
              <w:t>2021 Year</w:t>
            </w:r>
          </w:p>
        </w:tc>
        <w:tc>
          <w:tcPr>
            <w:tcW w:w="740" w:type="dxa"/>
            <w:vAlign w:val="bottom"/>
          </w:tcPr>
          <w:p>
            <w:pPr>
              <w:ind w:left="100"/>
              <w:spacing w:after="0"/>
              <w:rPr>
                <w:sz w:val="20"/>
                <w:szCs w:val="20"/>
                <w:color w:val="auto"/>
              </w:rPr>
            </w:pPr>
            <w:r>
              <w:rPr>
                <w:rFonts w:ascii="Arial" w:cs="Arial" w:eastAsia="Arial" w:hAnsi="Arial"/>
                <w:sz w:val="14"/>
                <w:szCs w:val="14"/>
                <w:b w:val="1"/>
                <w:bCs w:val="1"/>
                <w:color w:val="00AF41"/>
              </w:rPr>
              <w:t>Payout</w:t>
            </w:r>
          </w:p>
        </w:tc>
      </w:tr>
      <w:tr>
        <w:trPr>
          <w:trHeight w:val="129"/>
        </w:trPr>
        <w:tc>
          <w:tcPr>
            <w:tcW w:w="5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jc w:val="center"/>
              <w:spacing w:after="0" w:line="129" w:lineRule="exact"/>
              <w:rPr>
                <w:sz w:val="20"/>
                <w:szCs w:val="20"/>
                <w:color w:val="auto"/>
              </w:rPr>
            </w:pPr>
            <w:r>
              <w:rPr>
                <w:rFonts w:ascii="Arial" w:cs="Arial" w:eastAsia="Arial" w:hAnsi="Arial"/>
                <w:sz w:val="14"/>
                <w:szCs w:val="14"/>
                <w:b w:val="1"/>
                <w:bCs w:val="1"/>
                <w:color w:val="00AF41"/>
              </w:rPr>
              <w:t>Threshold</w:t>
            </w: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00AF41"/>
                <w:w w:val="98"/>
              </w:rPr>
              <w:t>Target</w:t>
            </w:r>
          </w:p>
        </w:tc>
        <w:tc>
          <w:tcPr>
            <w:tcW w:w="840" w:type="dxa"/>
            <w:vAlign w:val="bottom"/>
          </w:tcPr>
          <w:p>
            <w:pPr>
              <w:ind w:left="120"/>
              <w:spacing w:after="0" w:line="129" w:lineRule="exact"/>
              <w:rPr>
                <w:sz w:val="20"/>
                <w:szCs w:val="20"/>
                <w:color w:val="auto"/>
              </w:rPr>
            </w:pPr>
            <w:r>
              <w:rPr>
                <w:rFonts w:ascii="Arial" w:cs="Arial" w:eastAsia="Arial" w:hAnsi="Arial"/>
                <w:sz w:val="14"/>
                <w:szCs w:val="14"/>
                <w:b w:val="1"/>
                <w:bCs w:val="1"/>
                <w:color w:val="00AF41"/>
              </w:rPr>
              <w:t>Maximum</w:t>
            </w: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00AF41"/>
              </w:rPr>
              <w:t>2 Actual</w:t>
            </w:r>
          </w:p>
        </w:tc>
        <w:tc>
          <w:tcPr>
            <w:tcW w:w="740" w:type="dxa"/>
            <w:vAlign w:val="bottom"/>
          </w:tcPr>
          <w:p>
            <w:pPr>
              <w:ind w:left="100"/>
              <w:spacing w:after="0" w:line="129" w:lineRule="exact"/>
              <w:rPr>
                <w:sz w:val="20"/>
                <w:szCs w:val="20"/>
                <w:color w:val="auto"/>
              </w:rPr>
            </w:pPr>
            <w:r>
              <w:rPr>
                <w:rFonts w:ascii="Arial" w:cs="Arial" w:eastAsia="Arial" w:hAnsi="Arial"/>
                <w:sz w:val="14"/>
                <w:szCs w:val="14"/>
                <w:b w:val="1"/>
                <w:bCs w:val="1"/>
                <w:color w:val="00AF41"/>
              </w:rPr>
              <w:t>as % of</w:t>
            </w:r>
          </w:p>
        </w:tc>
      </w:tr>
      <w:tr>
        <w:trPr>
          <w:trHeight w:val="216"/>
        </w:trPr>
        <w:tc>
          <w:tcPr>
            <w:tcW w:w="5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AF41"/>
              </w:rPr>
              <w:t>Financial Performance Measures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AF41"/>
              </w:rPr>
              <w:t>Weighting</w:t>
            </w:r>
          </w:p>
        </w:tc>
        <w:tc>
          <w:tcPr>
            <w:tcW w:w="102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00AF41"/>
              </w:rPr>
              <w:t>50%</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AF41"/>
              </w:rPr>
              <w:t>100%</w:t>
            </w:r>
          </w:p>
        </w:tc>
        <w:tc>
          <w:tcPr>
            <w:tcW w:w="840" w:type="dxa"/>
            <w:vAlign w:val="bottom"/>
            <w:tcBorders>
              <w:bottom w:val="single" w:sz="8" w:color="auto"/>
            </w:tcBorders>
          </w:tcPr>
          <w:p>
            <w:pPr>
              <w:jc w:val="center"/>
              <w:ind w:left="3"/>
              <w:spacing w:after="0"/>
              <w:rPr>
                <w:sz w:val="20"/>
                <w:szCs w:val="20"/>
                <w:color w:val="auto"/>
              </w:rPr>
            </w:pPr>
            <w:r>
              <w:rPr>
                <w:rFonts w:ascii="Arial" w:cs="Arial" w:eastAsia="Arial" w:hAnsi="Arial"/>
                <w:sz w:val="14"/>
                <w:szCs w:val="14"/>
                <w:b w:val="1"/>
                <w:bCs w:val="1"/>
                <w:color w:val="00AF41"/>
              </w:rPr>
              <w:t>200%</w:t>
            </w:r>
          </w:p>
        </w:tc>
        <w:tc>
          <w:tcPr>
            <w:tcW w:w="9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00AF41"/>
                <w:w w:val="94"/>
              </w:rPr>
              <w:t>Results</w:t>
            </w:r>
            <w:r>
              <w:rPr>
                <w:rFonts w:ascii="Arial" w:cs="Arial" w:eastAsia="Arial" w:hAnsi="Arial"/>
                <w:sz w:val="21"/>
                <w:szCs w:val="21"/>
                <w:b w:val="1"/>
                <w:bCs w:val="1"/>
                <w:color w:val="00AF41"/>
                <w:w w:val="94"/>
                <w:vertAlign w:val="superscript"/>
              </w:rPr>
              <w:t>(1)</w:t>
            </w: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00AF41"/>
              </w:rPr>
              <w:t>Target</w:t>
            </w:r>
          </w:p>
        </w:tc>
      </w:tr>
      <w:tr>
        <w:trPr>
          <w:trHeight w:val="223"/>
        </w:trPr>
        <w:tc>
          <w:tcPr>
            <w:tcW w:w="5620" w:type="dxa"/>
            <w:vAlign w:val="bottom"/>
            <w:shd w:val="clear" w:color="auto" w:fill="EDEDED"/>
          </w:tcPr>
          <w:p>
            <w:pPr>
              <w:ind w:left="80"/>
              <w:spacing w:after="0"/>
              <w:rPr>
                <w:sz w:val="20"/>
                <w:szCs w:val="20"/>
                <w:color w:val="auto"/>
              </w:rPr>
            </w:pPr>
            <w:r>
              <w:rPr>
                <w:rFonts w:ascii="Arial" w:cs="Arial" w:eastAsia="Arial" w:hAnsi="Arial"/>
                <w:sz w:val="16"/>
                <w:szCs w:val="16"/>
                <w:color w:val="auto"/>
              </w:rPr>
              <w:t>Revenue Growth</w:t>
            </w:r>
          </w:p>
        </w:tc>
        <w:tc>
          <w:tcPr>
            <w:tcW w:w="880" w:type="dxa"/>
            <w:vAlign w:val="bottom"/>
            <w:shd w:val="clear" w:color="auto" w:fill="EDEDED"/>
          </w:tcPr>
          <w:p>
            <w:pPr>
              <w:jc w:val="right"/>
              <w:ind w:right="82"/>
              <w:spacing w:after="0"/>
              <w:rPr>
                <w:sz w:val="20"/>
                <w:szCs w:val="20"/>
                <w:color w:val="auto"/>
              </w:rPr>
            </w:pPr>
            <w:r>
              <w:rPr>
                <w:rFonts w:ascii="Arial" w:cs="Arial" w:eastAsia="Arial" w:hAnsi="Arial"/>
                <w:sz w:val="16"/>
                <w:szCs w:val="16"/>
                <w:color w:val="auto"/>
              </w:rPr>
              <w:t>50.0%</w:t>
            </w:r>
          </w:p>
        </w:tc>
        <w:tc>
          <w:tcPr>
            <w:tcW w:w="1020" w:type="dxa"/>
            <w:vAlign w:val="bottom"/>
            <w:shd w:val="clear" w:color="auto" w:fill="EDEDED"/>
          </w:tcPr>
          <w:p>
            <w:pPr>
              <w:jc w:val="right"/>
              <w:ind w:right="44"/>
              <w:spacing w:after="0"/>
              <w:rPr>
                <w:sz w:val="20"/>
                <w:szCs w:val="20"/>
                <w:color w:val="auto"/>
              </w:rPr>
            </w:pPr>
            <w:r>
              <w:rPr>
                <w:rFonts w:ascii="Arial" w:cs="Arial" w:eastAsia="Arial" w:hAnsi="Arial"/>
                <w:sz w:val="16"/>
                <w:szCs w:val="16"/>
                <w:color w:val="auto"/>
              </w:rPr>
              <w:t>$4,981.80</w:t>
            </w:r>
          </w:p>
        </w:tc>
        <w:tc>
          <w:tcPr>
            <w:tcW w:w="960" w:type="dxa"/>
            <w:vAlign w:val="bottom"/>
            <w:shd w:val="clear" w:color="auto" w:fill="EDEDED"/>
          </w:tcPr>
          <w:p>
            <w:pPr>
              <w:jc w:val="right"/>
              <w:ind w:right="24"/>
              <w:spacing w:after="0"/>
              <w:rPr>
                <w:sz w:val="20"/>
                <w:szCs w:val="20"/>
                <w:color w:val="auto"/>
              </w:rPr>
            </w:pPr>
            <w:r>
              <w:rPr>
                <w:rFonts w:ascii="Arial" w:cs="Arial" w:eastAsia="Arial" w:hAnsi="Arial"/>
                <w:sz w:val="16"/>
                <w:szCs w:val="16"/>
                <w:color w:val="auto"/>
              </w:rPr>
              <w:t>$5,244.00</w:t>
            </w:r>
          </w:p>
        </w:tc>
        <w:tc>
          <w:tcPr>
            <w:tcW w:w="840" w:type="dxa"/>
            <w:vAlign w:val="bottom"/>
            <w:shd w:val="clear" w:color="auto" w:fill="EDEDED"/>
          </w:tcPr>
          <w:p>
            <w:pPr>
              <w:jc w:val="center"/>
              <w:ind w:left="3"/>
              <w:spacing w:after="0"/>
              <w:rPr>
                <w:sz w:val="20"/>
                <w:szCs w:val="20"/>
                <w:color w:val="auto"/>
              </w:rPr>
            </w:pPr>
            <w:r>
              <w:rPr>
                <w:rFonts w:ascii="Arial" w:cs="Arial" w:eastAsia="Arial" w:hAnsi="Arial"/>
                <w:sz w:val="16"/>
                <w:szCs w:val="16"/>
                <w:color w:val="auto"/>
              </w:rPr>
              <w:t>$5,700.20</w:t>
            </w:r>
          </w:p>
        </w:tc>
        <w:tc>
          <w:tcPr>
            <w:tcW w:w="960" w:type="dxa"/>
            <w:vAlign w:val="bottom"/>
            <w:shd w:val="clear" w:color="auto" w:fill="EDEDED"/>
          </w:tcPr>
          <w:p>
            <w:pPr>
              <w:jc w:val="right"/>
              <w:ind w:right="24"/>
              <w:spacing w:after="0"/>
              <w:rPr>
                <w:sz w:val="20"/>
                <w:szCs w:val="20"/>
                <w:color w:val="auto"/>
              </w:rPr>
            </w:pPr>
            <w:r>
              <w:rPr>
                <w:rFonts w:ascii="Arial" w:cs="Arial" w:eastAsia="Arial" w:hAnsi="Arial"/>
                <w:sz w:val="16"/>
                <w:szCs w:val="16"/>
                <w:color w:val="auto"/>
              </w:rPr>
              <w:t>$5,059.10</w:t>
            </w:r>
          </w:p>
        </w:tc>
        <w:tc>
          <w:tcPr>
            <w:tcW w:w="740" w:type="dxa"/>
            <w:vAlign w:val="bottom"/>
            <w:shd w:val="clear" w:color="auto" w:fill="EDEDED"/>
          </w:tcPr>
          <w:p>
            <w:pPr>
              <w:ind w:left="100"/>
              <w:spacing w:after="0"/>
              <w:rPr>
                <w:sz w:val="20"/>
                <w:szCs w:val="20"/>
                <w:color w:val="auto"/>
              </w:rPr>
            </w:pPr>
            <w:r>
              <w:rPr>
                <w:rFonts w:ascii="Arial" w:cs="Arial" w:eastAsia="Arial" w:hAnsi="Arial"/>
                <w:sz w:val="16"/>
                <w:szCs w:val="16"/>
                <w:color w:val="auto"/>
              </w:rPr>
              <w:t>64.74%</w:t>
            </w:r>
          </w:p>
        </w:tc>
      </w:tr>
      <w:tr>
        <w:trPr>
          <w:trHeight w:val="237"/>
        </w:trPr>
        <w:tc>
          <w:tcPr>
            <w:tcW w:w="56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EBITDA Margin</w:t>
            </w:r>
          </w:p>
        </w:tc>
        <w:tc>
          <w:tcPr>
            <w:tcW w:w="8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50.0%</w:t>
            </w:r>
          </w:p>
        </w:tc>
        <w:tc>
          <w:tcPr>
            <w:tcW w:w="1020" w:type="dxa"/>
            <w:vAlign w:val="bottom"/>
            <w:tcBorders>
              <w:bottom w:val="single" w:sz="8" w:color="auto"/>
            </w:tcBorders>
          </w:tcPr>
          <w:p>
            <w:pPr>
              <w:jc w:val="right"/>
              <w:ind w:right="164"/>
              <w:spacing w:after="0"/>
              <w:rPr>
                <w:sz w:val="20"/>
                <w:szCs w:val="20"/>
                <w:color w:val="auto"/>
              </w:rPr>
            </w:pPr>
            <w:r>
              <w:rPr>
                <w:rFonts w:ascii="Arial" w:cs="Arial" w:eastAsia="Arial" w:hAnsi="Arial"/>
                <w:sz w:val="16"/>
                <w:szCs w:val="16"/>
                <w:color w:val="auto"/>
              </w:rPr>
              <w:t>1.80%</w:t>
            </w:r>
          </w:p>
        </w:tc>
        <w:tc>
          <w:tcPr>
            <w:tcW w:w="960" w:type="dxa"/>
            <w:vAlign w:val="bottom"/>
            <w:tcBorders>
              <w:bottom w:val="single" w:sz="8" w:color="auto"/>
            </w:tcBorders>
          </w:tcPr>
          <w:p>
            <w:pPr>
              <w:jc w:val="right"/>
              <w:ind w:right="164"/>
              <w:spacing w:after="0"/>
              <w:rPr>
                <w:sz w:val="20"/>
                <w:szCs w:val="20"/>
                <w:color w:val="auto"/>
              </w:rPr>
            </w:pPr>
            <w:r>
              <w:rPr>
                <w:rFonts w:ascii="Arial" w:cs="Arial" w:eastAsia="Arial" w:hAnsi="Arial"/>
                <w:sz w:val="16"/>
                <w:szCs w:val="16"/>
                <w:color w:val="auto"/>
              </w:rPr>
              <w:t>2.46%</w:t>
            </w:r>
          </w:p>
        </w:tc>
        <w:tc>
          <w:tcPr>
            <w:tcW w:w="840" w:type="dxa"/>
            <w:vAlign w:val="bottom"/>
            <w:tcBorders>
              <w:bottom w:val="single" w:sz="8" w:color="auto"/>
            </w:tcBorders>
          </w:tcPr>
          <w:p>
            <w:pPr>
              <w:jc w:val="center"/>
              <w:ind w:left="3"/>
              <w:spacing w:after="0"/>
              <w:rPr>
                <w:sz w:val="20"/>
                <w:szCs w:val="20"/>
                <w:color w:val="auto"/>
              </w:rPr>
            </w:pPr>
            <w:r>
              <w:rPr>
                <w:rFonts w:ascii="Arial" w:cs="Arial" w:eastAsia="Arial" w:hAnsi="Arial"/>
                <w:sz w:val="16"/>
                <w:szCs w:val="16"/>
                <w:color w:val="auto"/>
                <w:w w:val="96"/>
              </w:rPr>
              <w:t>3.00%</w:t>
            </w:r>
          </w:p>
        </w:tc>
        <w:tc>
          <w:tcPr>
            <w:tcW w:w="960" w:type="dxa"/>
            <w:vAlign w:val="bottom"/>
            <w:tcBorders>
              <w:bottom w:val="single" w:sz="8" w:color="auto"/>
            </w:tcBorders>
          </w:tcPr>
          <w:p>
            <w:pPr>
              <w:jc w:val="right"/>
              <w:ind w:right="164"/>
              <w:spacing w:after="0"/>
              <w:rPr>
                <w:sz w:val="20"/>
                <w:szCs w:val="20"/>
                <w:color w:val="auto"/>
              </w:rPr>
            </w:pPr>
            <w:r>
              <w:rPr>
                <w:rFonts w:ascii="Arial" w:cs="Arial" w:eastAsia="Arial" w:hAnsi="Arial"/>
                <w:sz w:val="16"/>
                <w:szCs w:val="16"/>
                <w:color w:val="auto"/>
              </w:rPr>
              <w:t>2.18%</w:t>
            </w: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78.96%</w:t>
            </w:r>
          </w:p>
        </w:tc>
      </w:tr>
      <w:tr>
        <w:trPr>
          <w:trHeight w:val="215"/>
        </w:trPr>
        <w:tc>
          <w:tcPr>
            <w:tcW w:w="5620" w:type="dxa"/>
            <w:vAlign w:val="bottom"/>
          </w:tcPr>
          <w:p>
            <w:pPr>
              <w:ind w:left="80"/>
              <w:spacing w:after="0"/>
              <w:rPr>
                <w:sz w:val="20"/>
                <w:szCs w:val="20"/>
                <w:color w:val="auto"/>
              </w:rPr>
            </w:pPr>
            <w:r>
              <w:rPr>
                <w:rFonts w:ascii="Arial" w:cs="Arial" w:eastAsia="Arial" w:hAnsi="Arial"/>
                <w:sz w:val="16"/>
                <w:szCs w:val="16"/>
                <w:i w:val="1"/>
                <w:iCs w:val="1"/>
                <w:color w:val="auto"/>
              </w:rPr>
              <w:t>$ in millions</w:t>
            </w: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0" w:type="dxa"/>
            <w:vAlign w:val="bottom"/>
            <w:gridSpan w:val="2"/>
          </w:tcPr>
          <w:p>
            <w:pPr>
              <w:ind w:left="440"/>
              <w:spacing w:after="0"/>
              <w:rPr>
                <w:sz w:val="20"/>
                <w:szCs w:val="20"/>
                <w:color w:val="auto"/>
              </w:rPr>
            </w:pPr>
            <w:r>
              <w:rPr>
                <w:rFonts w:ascii="Arial" w:cs="Arial" w:eastAsia="Arial" w:hAnsi="Arial"/>
                <w:sz w:val="16"/>
                <w:szCs w:val="16"/>
                <w:color w:val="auto"/>
              </w:rPr>
              <w:t>Weighted Payout:</w:t>
            </w:r>
          </w:p>
        </w:tc>
        <w:tc>
          <w:tcPr>
            <w:tcW w:w="740" w:type="dxa"/>
            <w:vAlign w:val="bottom"/>
          </w:tcPr>
          <w:p>
            <w:pPr>
              <w:ind w:left="120"/>
              <w:spacing w:after="0"/>
              <w:rPr>
                <w:sz w:val="20"/>
                <w:szCs w:val="20"/>
                <w:color w:val="auto"/>
              </w:rPr>
            </w:pPr>
            <w:r>
              <w:rPr>
                <w:rFonts w:ascii="Arial" w:cs="Arial" w:eastAsia="Arial" w:hAnsi="Arial"/>
                <w:sz w:val="16"/>
                <w:szCs w:val="16"/>
                <w:color w:val="auto"/>
              </w:rPr>
              <w:t>71.85%</w:t>
            </w:r>
          </w:p>
        </w:tc>
      </w:tr>
    </w:tbl>
    <w:p>
      <w:pPr>
        <w:spacing w:after="0" w:line="118" w:lineRule="exact"/>
        <w:rPr>
          <w:sz w:val="20"/>
          <w:szCs w:val="20"/>
          <w:color w:val="auto"/>
        </w:rPr>
      </w:pPr>
    </w:p>
    <w:p>
      <w:pPr>
        <w:ind w:left="440" w:right="420" w:hanging="324"/>
        <w:spacing w:after="0" w:line="196" w:lineRule="auto"/>
        <w:tabs>
          <w:tab w:leader="none" w:pos="440" w:val="left"/>
        </w:tabs>
        <w:numPr>
          <w:ilvl w:val="0"/>
          <w:numId w:val="47"/>
        </w:numPr>
        <w:rPr>
          <w:rFonts w:ascii="Arial" w:cs="Arial" w:eastAsia="Arial" w:hAnsi="Arial"/>
          <w:sz w:val="19"/>
          <w:szCs w:val="19"/>
          <w:color w:val="auto"/>
          <w:vertAlign w:val="superscript"/>
        </w:rPr>
      </w:pPr>
      <w:r>
        <w:rPr>
          <w:rFonts w:ascii="Arial" w:cs="Arial" w:eastAsia="Arial" w:hAnsi="Arial"/>
          <w:sz w:val="13"/>
          <w:szCs w:val="13"/>
          <w:color w:val="auto"/>
        </w:rPr>
        <w:t>2022 performance amount includes adjustments for goodwill impairment charge, loss on the disposal of Kelly’s Russian operations, gains on the sale of assets, and other considerations approved by the Committee.</w:t>
      </w:r>
    </w:p>
    <w:p>
      <w:pPr>
        <w:spacing w:after="0" w:line="189"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As a result of the above level of achievement for each of the performance measures for year 2 of the 2021-2023 LTI award, the Committee approved the following number of earned performance shares for each named executive officer.</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00AF41"/>
              </w:rPr>
              <w:t>Financial Measure:</w:t>
            </w:r>
          </w:p>
        </w:tc>
        <w:tc>
          <w:tcPr>
            <w:tcW w:w="2500" w:type="dxa"/>
            <w:vAlign w:val="bottom"/>
            <w:gridSpan w:val="2"/>
          </w:tcPr>
          <w:p>
            <w:pPr>
              <w:jc w:val="center"/>
              <w:spacing w:after="0"/>
              <w:rPr>
                <w:sz w:val="20"/>
                <w:szCs w:val="20"/>
                <w:color w:val="auto"/>
              </w:rPr>
            </w:pPr>
            <w:r>
              <w:rPr>
                <w:rFonts w:ascii="Arial" w:cs="Arial" w:eastAsia="Arial" w:hAnsi="Arial"/>
                <w:sz w:val="14"/>
                <w:szCs w:val="14"/>
                <w:b w:val="1"/>
                <w:bCs w:val="1"/>
                <w:color w:val="00AF41"/>
              </w:rPr>
              <w:t>Financial Measure:</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00AF41"/>
              </w:rPr>
              <w:t>Revenue Growth</w:t>
            </w:r>
          </w:p>
        </w:tc>
        <w:tc>
          <w:tcPr>
            <w:tcW w:w="480" w:type="dxa"/>
            <w:vAlign w:val="bottom"/>
          </w:tcPr>
          <w:p>
            <w:pPr>
              <w:spacing w:after="0"/>
              <w:rPr>
                <w:sz w:val="14"/>
                <w:szCs w:val="14"/>
                <w:color w:val="auto"/>
              </w:rPr>
            </w:pPr>
          </w:p>
        </w:tc>
        <w:tc>
          <w:tcPr>
            <w:tcW w:w="2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00AF41"/>
              </w:rPr>
              <w:t>EBITDA Margin</w:t>
            </w:r>
          </w:p>
        </w:tc>
        <w:tc>
          <w:tcPr>
            <w:tcW w:w="1500" w:type="dxa"/>
            <w:vAlign w:val="bottom"/>
            <w:vMerge w:val="restart"/>
          </w:tcPr>
          <w:p>
            <w:pPr>
              <w:jc w:val="center"/>
              <w:ind w:left="404"/>
              <w:spacing w:after="0"/>
              <w:rPr>
                <w:sz w:val="20"/>
                <w:szCs w:val="20"/>
                <w:color w:val="auto"/>
              </w:rPr>
            </w:pPr>
            <w:r>
              <w:rPr>
                <w:rFonts w:ascii="Arial" w:cs="Arial" w:eastAsia="Arial" w:hAnsi="Arial"/>
                <w:sz w:val="14"/>
                <w:szCs w:val="14"/>
                <w:b w:val="1"/>
                <w:bCs w:val="1"/>
                <w:color w:val="00AF41"/>
                <w:w w:val="99"/>
              </w:rPr>
              <w:t>Total # of</w:t>
            </w:r>
          </w:p>
        </w:tc>
        <w:tc>
          <w:tcPr>
            <w:tcW w:w="0" w:type="dxa"/>
            <w:vAlign w:val="bottom"/>
          </w:tcPr>
          <w:p>
            <w:pPr>
              <w:spacing w:after="0"/>
              <w:rPr>
                <w:sz w:val="1"/>
                <w:szCs w:val="1"/>
                <w:color w:val="auto"/>
              </w:rPr>
            </w:pPr>
          </w:p>
        </w:tc>
      </w:tr>
      <w:tr>
        <w:trPr>
          <w:trHeight w:val="52"/>
        </w:trPr>
        <w:tc>
          <w:tcPr>
            <w:tcW w:w="3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500" w:type="dxa"/>
            <w:vAlign w:val="bottom"/>
            <w:gridSpan w:val="2"/>
            <w:vMerge w:val="restart"/>
          </w:tcPr>
          <w:p>
            <w:pPr>
              <w:jc w:val="center"/>
              <w:spacing w:after="0" w:line="155" w:lineRule="exact"/>
              <w:rPr>
                <w:sz w:val="20"/>
                <w:szCs w:val="20"/>
                <w:color w:val="auto"/>
              </w:rPr>
            </w:pPr>
            <w:r>
              <w:rPr>
                <w:rFonts w:ascii="Arial" w:cs="Arial" w:eastAsia="Arial" w:hAnsi="Arial"/>
                <w:sz w:val="14"/>
                <w:szCs w:val="14"/>
                <w:b w:val="1"/>
                <w:bCs w:val="1"/>
                <w:color w:val="00AF41"/>
              </w:rPr>
              <w:t>Payout as % of Target: 64.74%</w:t>
            </w:r>
          </w:p>
        </w:tc>
        <w:tc>
          <w:tcPr>
            <w:tcW w:w="480" w:type="dxa"/>
            <w:vAlign w:val="bottom"/>
            <w:vMerge w:val="restart"/>
          </w:tcPr>
          <w:p>
            <w:pPr>
              <w:spacing w:after="0"/>
              <w:rPr>
                <w:sz w:val="4"/>
                <w:szCs w:val="4"/>
                <w:color w:val="auto"/>
              </w:rPr>
            </w:pPr>
          </w:p>
        </w:tc>
        <w:tc>
          <w:tcPr>
            <w:tcW w:w="2500" w:type="dxa"/>
            <w:vAlign w:val="bottom"/>
            <w:gridSpan w:val="2"/>
            <w:vMerge w:val="restart"/>
          </w:tcPr>
          <w:p>
            <w:pPr>
              <w:jc w:val="center"/>
              <w:spacing w:after="0" w:line="155" w:lineRule="exact"/>
              <w:rPr>
                <w:sz w:val="20"/>
                <w:szCs w:val="20"/>
                <w:color w:val="auto"/>
              </w:rPr>
            </w:pPr>
            <w:r>
              <w:rPr>
                <w:rFonts w:ascii="Arial" w:cs="Arial" w:eastAsia="Arial" w:hAnsi="Arial"/>
                <w:sz w:val="14"/>
                <w:szCs w:val="14"/>
                <w:b w:val="1"/>
                <w:bCs w:val="1"/>
                <w:color w:val="00AF41"/>
              </w:rPr>
              <w:t>Payout as % of Target: 78.96%</w:t>
            </w: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3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500" w:type="dxa"/>
            <w:vAlign w:val="bottom"/>
            <w:tcBorders>
              <w:bottom w:val="single" w:sz="8" w:color="auto"/>
            </w:tcBorders>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500" w:type="dxa"/>
            <w:vAlign w:val="bottom"/>
            <w:tcBorders>
              <w:bottom w:val="single" w:sz="8" w:color="auto"/>
            </w:tcBorders>
            <w:gridSpan w:val="2"/>
            <w:vMerge w:val="continue"/>
          </w:tcPr>
          <w:p>
            <w:pPr>
              <w:spacing w:after="0"/>
              <w:rPr>
                <w:sz w:val="9"/>
                <w:szCs w:val="9"/>
                <w:color w:val="auto"/>
              </w:rPr>
            </w:pPr>
          </w:p>
        </w:tc>
        <w:tc>
          <w:tcPr>
            <w:tcW w:w="1500" w:type="dxa"/>
            <w:vAlign w:val="bottom"/>
            <w:vMerge w:val="restart"/>
          </w:tcPr>
          <w:p>
            <w:pPr>
              <w:jc w:val="center"/>
              <w:ind w:left="404"/>
              <w:spacing w:after="0"/>
              <w:rPr>
                <w:sz w:val="20"/>
                <w:szCs w:val="20"/>
                <w:color w:val="auto"/>
              </w:rPr>
            </w:pPr>
            <w:r>
              <w:rPr>
                <w:rFonts w:ascii="Arial" w:cs="Arial" w:eastAsia="Arial" w:hAnsi="Arial"/>
                <w:sz w:val="14"/>
                <w:szCs w:val="14"/>
                <w:b w:val="1"/>
                <w:bCs w:val="1"/>
                <w:color w:val="00AF41"/>
                <w:w w:val="99"/>
              </w:rPr>
              <w:t>Year 2</w:t>
            </w:r>
          </w:p>
        </w:tc>
        <w:tc>
          <w:tcPr>
            <w:tcW w:w="0" w:type="dxa"/>
            <w:vAlign w:val="bottom"/>
          </w:tcPr>
          <w:p>
            <w:pPr>
              <w:spacing w:after="0"/>
              <w:rPr>
                <w:sz w:val="1"/>
                <w:szCs w:val="1"/>
                <w:color w:val="auto"/>
              </w:rPr>
            </w:pPr>
          </w:p>
        </w:tc>
      </w:tr>
      <w:tr>
        <w:trPr>
          <w:trHeight w:val="38"/>
        </w:trPr>
        <w:tc>
          <w:tcPr>
            <w:tcW w:w="3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60" w:type="dxa"/>
            <w:vAlign w:val="bottom"/>
            <w:vMerge w:val="restart"/>
          </w:tcPr>
          <w:p>
            <w:pPr>
              <w:jc w:val="center"/>
              <w:ind w:right="168"/>
              <w:spacing w:after="0" w:line="147" w:lineRule="exact"/>
              <w:rPr>
                <w:sz w:val="20"/>
                <w:szCs w:val="20"/>
                <w:color w:val="auto"/>
              </w:rPr>
            </w:pPr>
            <w:r>
              <w:rPr>
                <w:rFonts w:ascii="Arial" w:cs="Arial" w:eastAsia="Arial" w:hAnsi="Arial"/>
                <w:sz w:val="14"/>
                <w:szCs w:val="14"/>
                <w:b w:val="1"/>
                <w:bCs w:val="1"/>
                <w:color w:val="00AF41"/>
              </w:rPr>
              <w:t>Year 2 Target #</w:t>
            </w:r>
          </w:p>
        </w:tc>
        <w:tc>
          <w:tcPr>
            <w:tcW w:w="1720" w:type="dxa"/>
            <w:vAlign w:val="bottom"/>
            <w:gridSpan w:val="2"/>
            <w:vMerge w:val="restart"/>
          </w:tcPr>
          <w:p>
            <w:pPr>
              <w:jc w:val="center"/>
              <w:ind w:right="240"/>
              <w:spacing w:after="0" w:line="147" w:lineRule="exact"/>
              <w:rPr>
                <w:sz w:val="20"/>
                <w:szCs w:val="20"/>
                <w:color w:val="auto"/>
              </w:rPr>
            </w:pPr>
            <w:r>
              <w:rPr>
                <w:rFonts w:ascii="Arial" w:cs="Arial" w:eastAsia="Arial" w:hAnsi="Arial"/>
                <w:sz w:val="14"/>
                <w:szCs w:val="14"/>
                <w:b w:val="1"/>
                <w:bCs w:val="1"/>
                <w:color w:val="00AF41"/>
              </w:rPr>
              <w:t>Year 2 # of</w:t>
            </w:r>
          </w:p>
        </w:tc>
        <w:tc>
          <w:tcPr>
            <w:tcW w:w="1260" w:type="dxa"/>
            <w:vAlign w:val="bottom"/>
            <w:vMerge w:val="restart"/>
          </w:tcPr>
          <w:p>
            <w:pPr>
              <w:jc w:val="center"/>
              <w:ind w:right="164"/>
              <w:spacing w:after="0" w:line="147" w:lineRule="exact"/>
              <w:rPr>
                <w:sz w:val="20"/>
                <w:szCs w:val="20"/>
                <w:color w:val="auto"/>
              </w:rPr>
            </w:pPr>
            <w:r>
              <w:rPr>
                <w:rFonts w:ascii="Arial" w:cs="Arial" w:eastAsia="Arial" w:hAnsi="Arial"/>
                <w:sz w:val="14"/>
                <w:szCs w:val="14"/>
                <w:b w:val="1"/>
                <w:bCs w:val="1"/>
                <w:color w:val="00AF41"/>
              </w:rPr>
              <w:t>Year 2 Target #</w:t>
            </w:r>
          </w:p>
        </w:tc>
        <w:tc>
          <w:tcPr>
            <w:tcW w:w="1240" w:type="dxa"/>
            <w:vAlign w:val="bottom"/>
            <w:vMerge w:val="restart"/>
          </w:tcPr>
          <w:p>
            <w:pPr>
              <w:jc w:val="center"/>
              <w:ind w:left="162"/>
              <w:spacing w:after="0" w:line="147" w:lineRule="exact"/>
              <w:rPr>
                <w:sz w:val="20"/>
                <w:szCs w:val="20"/>
                <w:color w:val="auto"/>
              </w:rPr>
            </w:pPr>
            <w:r>
              <w:rPr>
                <w:rFonts w:ascii="Arial" w:cs="Arial" w:eastAsia="Arial" w:hAnsi="Arial"/>
                <w:sz w:val="14"/>
                <w:szCs w:val="14"/>
                <w:b w:val="1"/>
                <w:bCs w:val="1"/>
                <w:color w:val="00AF41"/>
              </w:rPr>
              <w:t>Year 2 # of</w:t>
            </w:r>
          </w:p>
        </w:tc>
        <w:tc>
          <w:tcPr>
            <w:tcW w:w="15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8"/>
        </w:trPr>
        <w:tc>
          <w:tcPr>
            <w:tcW w:w="3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500" w:type="dxa"/>
            <w:vAlign w:val="bottom"/>
            <w:vMerge w:val="restart"/>
          </w:tcPr>
          <w:p>
            <w:pPr>
              <w:jc w:val="center"/>
              <w:ind w:left="384"/>
              <w:spacing w:after="0"/>
              <w:rPr>
                <w:sz w:val="20"/>
                <w:szCs w:val="20"/>
                <w:color w:val="auto"/>
              </w:rPr>
            </w:pPr>
            <w:r>
              <w:rPr>
                <w:rFonts w:ascii="Arial" w:cs="Arial" w:eastAsia="Arial" w:hAnsi="Arial"/>
                <w:sz w:val="14"/>
                <w:szCs w:val="14"/>
                <w:b w:val="1"/>
                <w:bCs w:val="1"/>
                <w:color w:val="00AF41"/>
              </w:rPr>
              <w:t>Performance</w:t>
            </w:r>
          </w:p>
        </w:tc>
        <w:tc>
          <w:tcPr>
            <w:tcW w:w="0" w:type="dxa"/>
            <w:vAlign w:val="bottom"/>
          </w:tcPr>
          <w:p>
            <w:pPr>
              <w:spacing w:after="0"/>
              <w:rPr>
                <w:sz w:val="1"/>
                <w:szCs w:val="1"/>
                <w:color w:val="auto"/>
              </w:rPr>
            </w:pPr>
          </w:p>
        </w:tc>
      </w:tr>
      <w:tr>
        <w:trPr>
          <w:trHeight w:val="54"/>
        </w:trPr>
        <w:tc>
          <w:tcPr>
            <w:tcW w:w="3560" w:type="dxa"/>
            <w:vAlign w:val="bottom"/>
            <w:vMerge w:val="restart"/>
          </w:tcPr>
          <w:p>
            <w:pPr>
              <w:ind w:left="140"/>
              <w:spacing w:after="0"/>
              <w:rPr>
                <w:sz w:val="20"/>
                <w:szCs w:val="20"/>
                <w:color w:val="auto"/>
              </w:rPr>
            </w:pPr>
            <w:r>
              <w:rPr>
                <w:rFonts w:ascii="Arial" w:cs="Arial" w:eastAsia="Arial" w:hAnsi="Arial"/>
                <w:sz w:val="14"/>
                <w:szCs w:val="14"/>
                <w:b w:val="1"/>
                <w:bCs w:val="1"/>
                <w:color w:val="00AF41"/>
              </w:rPr>
              <w:t>Name</w:t>
            </w:r>
          </w:p>
        </w:tc>
        <w:tc>
          <w:tcPr>
            <w:tcW w:w="480" w:type="dxa"/>
            <w:vAlign w:val="bottom"/>
          </w:tcPr>
          <w:p>
            <w:pPr>
              <w:spacing w:after="0"/>
              <w:rPr>
                <w:sz w:val="4"/>
                <w:szCs w:val="4"/>
                <w:color w:val="auto"/>
              </w:rPr>
            </w:pPr>
          </w:p>
        </w:tc>
        <w:tc>
          <w:tcPr>
            <w:tcW w:w="126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00AF41"/>
              </w:rPr>
              <w:t>of Shares</w:t>
            </w:r>
          </w:p>
        </w:tc>
        <w:tc>
          <w:tcPr>
            <w:tcW w:w="1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00AF41"/>
              </w:rPr>
              <w:t>Shares Earned</w:t>
            </w:r>
          </w:p>
        </w:tc>
        <w:tc>
          <w:tcPr>
            <w:tcW w:w="126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00AF41"/>
              </w:rPr>
              <w:t>of Shares</w:t>
            </w:r>
          </w:p>
        </w:tc>
        <w:tc>
          <w:tcPr>
            <w:tcW w:w="1240" w:type="dxa"/>
            <w:vAlign w:val="bottom"/>
            <w:vMerge w:val="restart"/>
          </w:tcPr>
          <w:p>
            <w:pPr>
              <w:jc w:val="center"/>
              <w:ind w:left="162"/>
              <w:spacing w:after="0"/>
              <w:rPr>
                <w:sz w:val="20"/>
                <w:szCs w:val="20"/>
                <w:color w:val="auto"/>
              </w:rPr>
            </w:pPr>
            <w:r>
              <w:rPr>
                <w:rFonts w:ascii="Arial" w:cs="Arial" w:eastAsia="Arial" w:hAnsi="Arial"/>
                <w:sz w:val="14"/>
                <w:szCs w:val="14"/>
                <w:b w:val="1"/>
                <w:bCs w:val="1"/>
                <w:color w:val="00AF41"/>
              </w:rPr>
              <w:t>Shares Earned</w:t>
            </w: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356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500" w:type="dxa"/>
            <w:vAlign w:val="bottom"/>
            <w:vMerge w:val="restart"/>
          </w:tcPr>
          <w:p>
            <w:pPr>
              <w:jc w:val="center"/>
              <w:ind w:left="384"/>
              <w:spacing w:after="0"/>
              <w:rPr>
                <w:sz w:val="20"/>
                <w:szCs w:val="20"/>
                <w:color w:val="auto"/>
              </w:rPr>
            </w:pPr>
            <w:r>
              <w:rPr>
                <w:rFonts w:ascii="Arial" w:cs="Arial" w:eastAsia="Arial" w:hAnsi="Arial"/>
                <w:sz w:val="14"/>
                <w:szCs w:val="14"/>
                <w:b w:val="1"/>
                <w:bCs w:val="1"/>
                <w:color w:val="00AF41"/>
              </w:rPr>
              <w:t>Shares Earned</w:t>
            </w:r>
          </w:p>
        </w:tc>
        <w:tc>
          <w:tcPr>
            <w:tcW w:w="0" w:type="dxa"/>
            <w:vAlign w:val="bottom"/>
          </w:tcPr>
          <w:p>
            <w:pPr>
              <w:spacing w:after="0"/>
              <w:rPr>
                <w:sz w:val="1"/>
                <w:szCs w:val="1"/>
                <w:color w:val="auto"/>
              </w:rPr>
            </w:pPr>
          </w:p>
        </w:tc>
      </w:tr>
      <w:tr>
        <w:trPr>
          <w:trHeight w:val="29"/>
        </w:trPr>
        <w:tc>
          <w:tcPr>
            <w:tcW w:w="3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60" w:type="dxa"/>
            <w:vAlign w:val="bottom"/>
            <w:shd w:val="clear" w:color="auto" w:fill="EDEDED"/>
          </w:tcPr>
          <w:p>
            <w:pPr>
              <w:ind w:left="80"/>
              <w:spacing w:after="0"/>
              <w:rPr>
                <w:sz w:val="20"/>
                <w:szCs w:val="20"/>
                <w:color w:val="auto"/>
              </w:rPr>
            </w:pPr>
            <w:r>
              <w:rPr>
                <w:rFonts w:ascii="Arial" w:cs="Arial" w:eastAsia="Arial" w:hAnsi="Arial"/>
                <w:sz w:val="16"/>
                <w:szCs w:val="16"/>
                <w:b w:val="1"/>
                <w:bCs w:val="1"/>
                <w:color w:val="auto"/>
              </w:rPr>
              <w:t>Peter W. Quigley</w:t>
            </w:r>
          </w:p>
        </w:tc>
        <w:tc>
          <w:tcPr>
            <w:tcW w:w="1740" w:type="dxa"/>
            <w:vAlign w:val="bottom"/>
            <w:gridSpan w:val="2"/>
            <w:shd w:val="clear" w:color="auto" w:fill="EDEDED"/>
          </w:tcPr>
          <w:p>
            <w:pPr>
              <w:jc w:val="center"/>
              <w:ind w:left="139"/>
              <w:spacing w:after="0"/>
              <w:rPr>
                <w:sz w:val="20"/>
                <w:szCs w:val="20"/>
                <w:color w:val="auto"/>
              </w:rPr>
            </w:pPr>
            <w:r>
              <w:rPr>
                <w:rFonts w:ascii="Arial" w:cs="Arial" w:eastAsia="Arial" w:hAnsi="Arial"/>
                <w:sz w:val="16"/>
                <w:szCs w:val="16"/>
                <w:color w:val="auto"/>
                <w:w w:val="99"/>
              </w:rPr>
              <w:t>9,990</w:t>
            </w:r>
          </w:p>
        </w:tc>
        <w:tc>
          <w:tcPr>
            <w:tcW w:w="1240" w:type="dxa"/>
            <w:vAlign w:val="bottom"/>
            <w:shd w:val="clear" w:color="auto" w:fill="EDEDED"/>
          </w:tcPr>
          <w:p>
            <w:pPr>
              <w:jc w:val="center"/>
              <w:ind w:left="162"/>
              <w:spacing w:after="0"/>
              <w:rPr>
                <w:sz w:val="20"/>
                <w:szCs w:val="20"/>
                <w:color w:val="auto"/>
              </w:rPr>
            </w:pPr>
            <w:r>
              <w:rPr>
                <w:rFonts w:ascii="Arial" w:cs="Arial" w:eastAsia="Arial" w:hAnsi="Arial"/>
                <w:sz w:val="16"/>
                <w:szCs w:val="16"/>
                <w:color w:val="auto"/>
                <w:w w:val="99"/>
              </w:rPr>
              <w:t>6,468</w:t>
            </w:r>
          </w:p>
        </w:tc>
        <w:tc>
          <w:tcPr>
            <w:tcW w:w="480" w:type="dxa"/>
            <w:vAlign w:val="bottom"/>
            <w:shd w:val="clear" w:color="auto" w:fill="EDEDED"/>
          </w:tcPr>
          <w:p>
            <w:pPr>
              <w:spacing w:after="0"/>
              <w:rPr>
                <w:sz w:val="19"/>
                <w:szCs w:val="19"/>
                <w:color w:val="auto"/>
              </w:rPr>
            </w:pPr>
          </w:p>
        </w:tc>
        <w:tc>
          <w:tcPr>
            <w:tcW w:w="1260" w:type="dxa"/>
            <w:vAlign w:val="bottom"/>
            <w:shd w:val="clear" w:color="auto" w:fill="EDEDED"/>
          </w:tcPr>
          <w:p>
            <w:pPr>
              <w:jc w:val="center"/>
              <w:ind w:right="164"/>
              <w:spacing w:after="0"/>
              <w:rPr>
                <w:sz w:val="20"/>
                <w:szCs w:val="20"/>
                <w:color w:val="auto"/>
              </w:rPr>
            </w:pPr>
            <w:r>
              <w:rPr>
                <w:rFonts w:ascii="Arial" w:cs="Arial" w:eastAsia="Arial" w:hAnsi="Arial"/>
                <w:sz w:val="16"/>
                <w:szCs w:val="16"/>
                <w:color w:val="auto"/>
              </w:rPr>
              <w:t>9,990</w:t>
            </w:r>
          </w:p>
        </w:tc>
        <w:tc>
          <w:tcPr>
            <w:tcW w:w="1240" w:type="dxa"/>
            <w:vAlign w:val="bottom"/>
            <w:shd w:val="clear" w:color="auto" w:fill="EDEDED"/>
          </w:tcPr>
          <w:p>
            <w:pPr>
              <w:jc w:val="center"/>
              <w:ind w:left="162"/>
              <w:spacing w:after="0"/>
              <w:rPr>
                <w:sz w:val="20"/>
                <w:szCs w:val="20"/>
                <w:color w:val="auto"/>
              </w:rPr>
            </w:pPr>
            <w:r>
              <w:rPr>
                <w:rFonts w:ascii="Arial" w:cs="Arial" w:eastAsia="Arial" w:hAnsi="Arial"/>
                <w:sz w:val="16"/>
                <w:szCs w:val="16"/>
                <w:color w:val="auto"/>
                <w:w w:val="99"/>
              </w:rPr>
              <w:t>7,888</w:t>
            </w:r>
          </w:p>
        </w:tc>
        <w:tc>
          <w:tcPr>
            <w:tcW w:w="1500" w:type="dxa"/>
            <w:vAlign w:val="bottom"/>
            <w:shd w:val="clear" w:color="auto" w:fill="EDEDED"/>
          </w:tcPr>
          <w:p>
            <w:pPr>
              <w:jc w:val="center"/>
              <w:ind w:left="404"/>
              <w:spacing w:after="0"/>
              <w:rPr>
                <w:sz w:val="20"/>
                <w:szCs w:val="20"/>
                <w:color w:val="auto"/>
              </w:rPr>
            </w:pPr>
            <w:r>
              <w:rPr>
                <w:rFonts w:ascii="Arial" w:cs="Arial" w:eastAsia="Arial" w:hAnsi="Arial"/>
                <w:sz w:val="16"/>
                <w:szCs w:val="16"/>
                <w:color w:val="auto"/>
              </w:rPr>
              <w:t>14,356</w:t>
            </w:r>
          </w:p>
        </w:tc>
        <w:tc>
          <w:tcPr>
            <w:tcW w:w="0" w:type="dxa"/>
            <w:vAlign w:val="bottom"/>
          </w:tcPr>
          <w:p>
            <w:pPr>
              <w:spacing w:after="0"/>
              <w:rPr>
                <w:sz w:val="1"/>
                <w:szCs w:val="1"/>
                <w:color w:val="auto"/>
              </w:rPr>
            </w:pPr>
          </w:p>
        </w:tc>
      </w:tr>
      <w:tr>
        <w:trPr>
          <w:trHeight w:val="239"/>
        </w:trPr>
        <w:tc>
          <w:tcPr>
            <w:tcW w:w="3560" w:type="dxa"/>
            <w:vAlign w:val="bottom"/>
          </w:tcPr>
          <w:p>
            <w:pPr>
              <w:ind w:left="80"/>
              <w:spacing w:after="0"/>
              <w:rPr>
                <w:sz w:val="20"/>
                <w:szCs w:val="20"/>
                <w:color w:val="auto"/>
              </w:rPr>
            </w:pPr>
            <w:r>
              <w:rPr>
                <w:rFonts w:ascii="Arial" w:cs="Arial" w:eastAsia="Arial" w:hAnsi="Arial"/>
                <w:sz w:val="16"/>
                <w:szCs w:val="16"/>
                <w:b w:val="1"/>
                <w:bCs w:val="1"/>
                <w:color w:val="auto"/>
              </w:rPr>
              <w:t>Olivier G. Thirot</w:t>
            </w:r>
          </w:p>
        </w:tc>
        <w:tc>
          <w:tcPr>
            <w:tcW w:w="1740" w:type="dxa"/>
            <w:vAlign w:val="bottom"/>
            <w:gridSpan w:val="2"/>
          </w:tcPr>
          <w:p>
            <w:pPr>
              <w:jc w:val="center"/>
              <w:ind w:left="139"/>
              <w:spacing w:after="0"/>
              <w:rPr>
                <w:sz w:val="20"/>
                <w:szCs w:val="20"/>
                <w:color w:val="auto"/>
              </w:rPr>
            </w:pPr>
            <w:r>
              <w:rPr>
                <w:rFonts w:ascii="Arial" w:cs="Arial" w:eastAsia="Arial" w:hAnsi="Arial"/>
                <w:sz w:val="16"/>
                <w:szCs w:val="16"/>
                <w:color w:val="auto"/>
                <w:w w:val="99"/>
              </w:rPr>
              <w:t>5,054</w:t>
            </w:r>
          </w:p>
        </w:tc>
        <w:tc>
          <w:tcPr>
            <w:tcW w:w="1240" w:type="dxa"/>
            <w:vAlign w:val="bottom"/>
          </w:tcPr>
          <w:p>
            <w:pPr>
              <w:jc w:val="center"/>
              <w:ind w:left="162"/>
              <w:spacing w:after="0"/>
              <w:rPr>
                <w:sz w:val="20"/>
                <w:szCs w:val="20"/>
                <w:color w:val="auto"/>
              </w:rPr>
            </w:pPr>
            <w:r>
              <w:rPr>
                <w:rFonts w:ascii="Arial" w:cs="Arial" w:eastAsia="Arial" w:hAnsi="Arial"/>
                <w:sz w:val="16"/>
                <w:szCs w:val="16"/>
                <w:color w:val="auto"/>
                <w:w w:val="99"/>
              </w:rPr>
              <w:t>3,272</w:t>
            </w:r>
          </w:p>
        </w:tc>
        <w:tc>
          <w:tcPr>
            <w:tcW w:w="480" w:type="dxa"/>
            <w:vAlign w:val="bottom"/>
          </w:tcPr>
          <w:p>
            <w:pPr>
              <w:spacing w:after="0"/>
              <w:rPr>
                <w:sz w:val="20"/>
                <w:szCs w:val="20"/>
                <w:color w:val="auto"/>
              </w:rPr>
            </w:pPr>
          </w:p>
        </w:tc>
        <w:tc>
          <w:tcPr>
            <w:tcW w:w="1260" w:type="dxa"/>
            <w:vAlign w:val="bottom"/>
          </w:tcPr>
          <w:p>
            <w:pPr>
              <w:jc w:val="center"/>
              <w:ind w:right="164"/>
              <w:spacing w:after="0"/>
              <w:rPr>
                <w:sz w:val="20"/>
                <w:szCs w:val="20"/>
                <w:color w:val="auto"/>
              </w:rPr>
            </w:pPr>
            <w:r>
              <w:rPr>
                <w:rFonts w:ascii="Arial" w:cs="Arial" w:eastAsia="Arial" w:hAnsi="Arial"/>
                <w:sz w:val="16"/>
                <w:szCs w:val="16"/>
                <w:color w:val="auto"/>
              </w:rPr>
              <w:t>5,054</w:t>
            </w:r>
          </w:p>
        </w:tc>
        <w:tc>
          <w:tcPr>
            <w:tcW w:w="1240" w:type="dxa"/>
            <w:vAlign w:val="bottom"/>
          </w:tcPr>
          <w:p>
            <w:pPr>
              <w:jc w:val="center"/>
              <w:ind w:left="162"/>
              <w:spacing w:after="0"/>
              <w:rPr>
                <w:sz w:val="20"/>
                <w:szCs w:val="20"/>
                <w:color w:val="auto"/>
              </w:rPr>
            </w:pPr>
            <w:r>
              <w:rPr>
                <w:rFonts w:ascii="Arial" w:cs="Arial" w:eastAsia="Arial" w:hAnsi="Arial"/>
                <w:sz w:val="16"/>
                <w:szCs w:val="16"/>
                <w:color w:val="auto"/>
                <w:w w:val="99"/>
              </w:rPr>
              <w:t>3,991</w:t>
            </w:r>
          </w:p>
        </w:tc>
        <w:tc>
          <w:tcPr>
            <w:tcW w:w="1500" w:type="dxa"/>
            <w:vAlign w:val="bottom"/>
          </w:tcPr>
          <w:p>
            <w:pPr>
              <w:jc w:val="center"/>
              <w:ind w:left="384"/>
              <w:spacing w:after="0"/>
              <w:rPr>
                <w:sz w:val="20"/>
                <w:szCs w:val="20"/>
                <w:color w:val="auto"/>
              </w:rPr>
            </w:pPr>
            <w:r>
              <w:rPr>
                <w:rFonts w:ascii="Arial" w:cs="Arial" w:eastAsia="Arial" w:hAnsi="Arial"/>
                <w:sz w:val="16"/>
                <w:szCs w:val="16"/>
                <w:color w:val="auto"/>
                <w:w w:val="99"/>
              </w:rPr>
              <w:t>7,263</w:t>
            </w:r>
          </w:p>
        </w:tc>
        <w:tc>
          <w:tcPr>
            <w:tcW w:w="0" w:type="dxa"/>
            <w:vAlign w:val="bottom"/>
          </w:tcPr>
          <w:p>
            <w:pPr>
              <w:spacing w:after="0"/>
              <w:rPr>
                <w:sz w:val="1"/>
                <w:szCs w:val="1"/>
                <w:color w:val="auto"/>
              </w:rPr>
            </w:pPr>
          </w:p>
        </w:tc>
      </w:tr>
      <w:tr>
        <w:trPr>
          <w:trHeight w:val="247"/>
        </w:trPr>
        <w:tc>
          <w:tcPr>
            <w:tcW w:w="3560" w:type="dxa"/>
            <w:vAlign w:val="bottom"/>
            <w:shd w:val="clear" w:color="auto" w:fill="EDEDED"/>
          </w:tcPr>
          <w:p>
            <w:pPr>
              <w:ind w:left="80"/>
              <w:spacing w:after="0"/>
              <w:rPr>
                <w:sz w:val="20"/>
                <w:szCs w:val="20"/>
                <w:color w:val="auto"/>
              </w:rPr>
            </w:pPr>
            <w:r>
              <w:rPr>
                <w:rFonts w:ascii="Arial" w:cs="Arial" w:eastAsia="Arial" w:hAnsi="Arial"/>
                <w:sz w:val="16"/>
                <w:szCs w:val="16"/>
                <w:b w:val="1"/>
                <w:bCs w:val="1"/>
                <w:color w:val="auto"/>
              </w:rPr>
              <w:t>Dinette Koolhaas</w:t>
            </w:r>
          </w:p>
        </w:tc>
        <w:tc>
          <w:tcPr>
            <w:tcW w:w="1740" w:type="dxa"/>
            <w:vAlign w:val="bottom"/>
            <w:gridSpan w:val="2"/>
            <w:shd w:val="clear" w:color="auto" w:fill="EDEDED"/>
          </w:tcPr>
          <w:p>
            <w:pPr>
              <w:jc w:val="center"/>
              <w:ind w:left="139"/>
              <w:spacing w:after="0"/>
              <w:rPr>
                <w:sz w:val="20"/>
                <w:szCs w:val="20"/>
                <w:color w:val="auto"/>
              </w:rPr>
            </w:pPr>
            <w:r>
              <w:rPr>
                <w:rFonts w:ascii="Arial" w:cs="Arial" w:eastAsia="Arial" w:hAnsi="Arial"/>
                <w:sz w:val="16"/>
                <w:szCs w:val="16"/>
                <w:color w:val="auto"/>
                <w:w w:val="99"/>
              </w:rPr>
              <w:t>1,596</w:t>
            </w:r>
          </w:p>
        </w:tc>
        <w:tc>
          <w:tcPr>
            <w:tcW w:w="1240" w:type="dxa"/>
            <w:vAlign w:val="bottom"/>
            <w:shd w:val="clear" w:color="auto" w:fill="EDEDED"/>
          </w:tcPr>
          <w:p>
            <w:pPr>
              <w:jc w:val="center"/>
              <w:ind w:left="162"/>
              <w:spacing w:after="0"/>
              <w:rPr>
                <w:sz w:val="20"/>
                <w:szCs w:val="20"/>
                <w:color w:val="auto"/>
              </w:rPr>
            </w:pPr>
            <w:r>
              <w:rPr>
                <w:rFonts w:ascii="Arial" w:cs="Arial" w:eastAsia="Arial" w:hAnsi="Arial"/>
                <w:sz w:val="16"/>
                <w:szCs w:val="16"/>
                <w:color w:val="auto"/>
                <w:w w:val="99"/>
              </w:rPr>
              <w:t>1,033</w:t>
            </w:r>
          </w:p>
        </w:tc>
        <w:tc>
          <w:tcPr>
            <w:tcW w:w="480" w:type="dxa"/>
            <w:vAlign w:val="bottom"/>
            <w:shd w:val="clear" w:color="auto" w:fill="EDEDED"/>
          </w:tcPr>
          <w:p>
            <w:pPr>
              <w:spacing w:after="0"/>
              <w:rPr>
                <w:sz w:val="21"/>
                <w:szCs w:val="21"/>
                <w:color w:val="auto"/>
              </w:rPr>
            </w:pPr>
          </w:p>
        </w:tc>
        <w:tc>
          <w:tcPr>
            <w:tcW w:w="1260" w:type="dxa"/>
            <w:vAlign w:val="bottom"/>
            <w:shd w:val="clear" w:color="auto" w:fill="EDEDED"/>
          </w:tcPr>
          <w:p>
            <w:pPr>
              <w:jc w:val="center"/>
              <w:ind w:right="164"/>
              <w:spacing w:after="0"/>
              <w:rPr>
                <w:sz w:val="20"/>
                <w:szCs w:val="20"/>
                <w:color w:val="auto"/>
              </w:rPr>
            </w:pPr>
            <w:r>
              <w:rPr>
                <w:rFonts w:ascii="Arial" w:cs="Arial" w:eastAsia="Arial" w:hAnsi="Arial"/>
                <w:sz w:val="16"/>
                <w:szCs w:val="16"/>
                <w:color w:val="auto"/>
              </w:rPr>
              <w:t>1,596</w:t>
            </w:r>
          </w:p>
        </w:tc>
        <w:tc>
          <w:tcPr>
            <w:tcW w:w="1240" w:type="dxa"/>
            <w:vAlign w:val="bottom"/>
            <w:shd w:val="clear" w:color="auto" w:fill="EDEDED"/>
          </w:tcPr>
          <w:p>
            <w:pPr>
              <w:jc w:val="center"/>
              <w:ind w:left="162"/>
              <w:spacing w:after="0"/>
              <w:rPr>
                <w:sz w:val="20"/>
                <w:szCs w:val="20"/>
                <w:color w:val="auto"/>
              </w:rPr>
            </w:pPr>
            <w:r>
              <w:rPr>
                <w:rFonts w:ascii="Arial" w:cs="Arial" w:eastAsia="Arial" w:hAnsi="Arial"/>
                <w:sz w:val="16"/>
                <w:szCs w:val="16"/>
                <w:color w:val="auto"/>
                <w:w w:val="99"/>
              </w:rPr>
              <w:t>1,260</w:t>
            </w:r>
          </w:p>
        </w:tc>
        <w:tc>
          <w:tcPr>
            <w:tcW w:w="1500" w:type="dxa"/>
            <w:vAlign w:val="bottom"/>
            <w:shd w:val="clear" w:color="auto" w:fill="EDEDED"/>
          </w:tcPr>
          <w:p>
            <w:pPr>
              <w:jc w:val="center"/>
              <w:ind w:left="384"/>
              <w:spacing w:after="0"/>
              <w:rPr>
                <w:sz w:val="20"/>
                <w:szCs w:val="20"/>
                <w:color w:val="auto"/>
              </w:rPr>
            </w:pPr>
            <w:r>
              <w:rPr>
                <w:rFonts w:ascii="Arial" w:cs="Arial" w:eastAsia="Arial" w:hAnsi="Arial"/>
                <w:sz w:val="16"/>
                <w:szCs w:val="16"/>
                <w:color w:val="auto"/>
                <w:w w:val="99"/>
              </w:rPr>
              <w:t>2,293</w:t>
            </w:r>
          </w:p>
        </w:tc>
        <w:tc>
          <w:tcPr>
            <w:tcW w:w="0" w:type="dxa"/>
            <w:vAlign w:val="bottom"/>
          </w:tcPr>
          <w:p>
            <w:pPr>
              <w:spacing w:after="0"/>
              <w:rPr>
                <w:sz w:val="1"/>
                <w:szCs w:val="1"/>
                <w:color w:val="auto"/>
              </w:rPr>
            </w:pPr>
          </w:p>
        </w:tc>
      </w:tr>
      <w:tr>
        <w:trPr>
          <w:trHeight w:val="239"/>
        </w:trPr>
        <w:tc>
          <w:tcPr>
            <w:tcW w:w="35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Vanessa P. Williams</w:t>
            </w:r>
          </w:p>
        </w:tc>
        <w:tc>
          <w:tcPr>
            <w:tcW w:w="1740" w:type="dxa"/>
            <w:vAlign w:val="bottom"/>
            <w:tcBorders>
              <w:bottom w:val="single" w:sz="8" w:color="auto"/>
            </w:tcBorders>
            <w:gridSpan w:val="2"/>
          </w:tcPr>
          <w:p>
            <w:pPr>
              <w:jc w:val="center"/>
              <w:ind w:left="139"/>
              <w:spacing w:after="0"/>
              <w:rPr>
                <w:sz w:val="20"/>
                <w:szCs w:val="20"/>
                <w:color w:val="auto"/>
              </w:rPr>
            </w:pPr>
            <w:r>
              <w:rPr>
                <w:rFonts w:ascii="Arial" w:cs="Arial" w:eastAsia="Arial" w:hAnsi="Arial"/>
                <w:sz w:val="16"/>
                <w:szCs w:val="16"/>
                <w:color w:val="auto"/>
                <w:w w:val="99"/>
              </w:rPr>
              <w:t>2,082</w:t>
            </w:r>
          </w:p>
        </w:tc>
        <w:tc>
          <w:tcPr>
            <w:tcW w:w="1240" w:type="dxa"/>
            <w:vAlign w:val="bottom"/>
            <w:tcBorders>
              <w:bottom w:val="single" w:sz="8" w:color="auto"/>
            </w:tcBorders>
          </w:tcPr>
          <w:p>
            <w:pPr>
              <w:jc w:val="center"/>
              <w:ind w:left="162"/>
              <w:spacing w:after="0"/>
              <w:rPr>
                <w:sz w:val="20"/>
                <w:szCs w:val="20"/>
                <w:color w:val="auto"/>
              </w:rPr>
            </w:pPr>
            <w:r>
              <w:rPr>
                <w:rFonts w:ascii="Arial" w:cs="Arial" w:eastAsia="Arial" w:hAnsi="Arial"/>
                <w:sz w:val="16"/>
                <w:szCs w:val="16"/>
                <w:color w:val="auto"/>
                <w:w w:val="99"/>
              </w:rPr>
              <w:t>1,348</w:t>
            </w:r>
          </w:p>
        </w:tc>
        <w:tc>
          <w:tcPr>
            <w:tcW w:w="4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64"/>
              <w:spacing w:after="0"/>
              <w:rPr>
                <w:sz w:val="20"/>
                <w:szCs w:val="20"/>
                <w:color w:val="auto"/>
              </w:rPr>
            </w:pPr>
            <w:r>
              <w:rPr>
                <w:rFonts w:ascii="Arial" w:cs="Arial" w:eastAsia="Arial" w:hAnsi="Arial"/>
                <w:sz w:val="16"/>
                <w:szCs w:val="16"/>
                <w:color w:val="auto"/>
              </w:rPr>
              <w:t>2,082</w:t>
            </w:r>
          </w:p>
        </w:tc>
        <w:tc>
          <w:tcPr>
            <w:tcW w:w="1240" w:type="dxa"/>
            <w:vAlign w:val="bottom"/>
            <w:tcBorders>
              <w:bottom w:val="single" w:sz="8" w:color="auto"/>
            </w:tcBorders>
          </w:tcPr>
          <w:p>
            <w:pPr>
              <w:jc w:val="center"/>
              <w:ind w:left="162"/>
              <w:spacing w:after="0"/>
              <w:rPr>
                <w:sz w:val="20"/>
                <w:szCs w:val="20"/>
                <w:color w:val="auto"/>
              </w:rPr>
            </w:pPr>
            <w:r>
              <w:rPr>
                <w:rFonts w:ascii="Arial" w:cs="Arial" w:eastAsia="Arial" w:hAnsi="Arial"/>
                <w:sz w:val="16"/>
                <w:szCs w:val="16"/>
                <w:color w:val="auto"/>
                <w:w w:val="99"/>
              </w:rPr>
              <w:t>1,644</w:t>
            </w:r>
          </w:p>
        </w:tc>
        <w:tc>
          <w:tcPr>
            <w:tcW w:w="1500" w:type="dxa"/>
            <w:vAlign w:val="bottom"/>
            <w:tcBorders>
              <w:bottom w:val="single" w:sz="8" w:color="auto"/>
            </w:tcBorders>
          </w:tcPr>
          <w:p>
            <w:pPr>
              <w:jc w:val="center"/>
              <w:ind w:left="384"/>
              <w:spacing w:after="0"/>
              <w:rPr>
                <w:sz w:val="20"/>
                <w:szCs w:val="20"/>
                <w:color w:val="auto"/>
              </w:rPr>
            </w:pPr>
            <w:r>
              <w:rPr>
                <w:rFonts w:ascii="Arial" w:cs="Arial" w:eastAsia="Arial" w:hAnsi="Arial"/>
                <w:sz w:val="16"/>
                <w:szCs w:val="16"/>
                <w:color w:val="auto"/>
                <w:w w:val="99"/>
              </w:rPr>
              <w:t>2,992</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2022-2024 Long-Term Incentive Performance Results – Year 1</w:t>
      </w:r>
    </w:p>
    <w:p>
      <w:pPr>
        <w:spacing w:after="0" w:line="111" w:lineRule="exact"/>
        <w:rPr>
          <w:sz w:val="20"/>
          <w:szCs w:val="20"/>
          <w:color w:val="auto"/>
        </w:rPr>
      </w:pPr>
    </w:p>
    <w:p>
      <w:pPr>
        <w:ind w:left="120" w:right="160"/>
        <w:spacing w:after="0" w:line="254" w:lineRule="auto"/>
        <w:rPr>
          <w:sz w:val="20"/>
          <w:szCs w:val="20"/>
          <w:color w:val="auto"/>
        </w:rPr>
      </w:pPr>
      <w:r>
        <w:rPr>
          <w:rFonts w:ascii="Arial" w:cs="Arial" w:eastAsia="Arial" w:hAnsi="Arial"/>
          <w:sz w:val="16"/>
          <w:szCs w:val="16"/>
          <w:color w:val="auto"/>
        </w:rPr>
        <w:t>As described above, the 2022-2024 performance shares have two financial measures, revenue growth and EBITDA margin, which have three one-year goals set in the beginning of each performance year. In February 2022, the Committee approved goals at threshold, target, and maximum levels of performance for each of the measures for the 2022 portion of the award opportunity. During its February 14, 2023 meeting, the Committee approved the results for the 2022 performance year. Earned shares will vest 100% upon the third anniversary of the grant (February 2025). Aggregate funding for all performance measures during the 2022 performance year was 71.85% of target. The final performance results for the 2022 performance year are provided in the following chart:</w:t>
      </w: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98"/>
        </w:trPr>
        <w:tc>
          <w:tcPr>
            <w:tcW w:w="5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00AF41"/>
              </w:rPr>
              <w:t>2022 Performance Goals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AF41"/>
              </w:rPr>
              <w:t>2022 Year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00AF41"/>
              </w:rPr>
              <w:t>Payout</w:t>
            </w:r>
          </w:p>
        </w:tc>
      </w:tr>
      <w:tr>
        <w:trPr>
          <w:trHeight w:val="129"/>
        </w:trPr>
        <w:tc>
          <w:tcPr>
            <w:tcW w:w="5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jc w:val="center"/>
              <w:spacing w:after="0" w:line="129" w:lineRule="exact"/>
              <w:rPr>
                <w:sz w:val="20"/>
                <w:szCs w:val="20"/>
                <w:color w:val="auto"/>
              </w:rPr>
            </w:pPr>
            <w:r>
              <w:rPr>
                <w:rFonts w:ascii="Arial" w:cs="Arial" w:eastAsia="Arial" w:hAnsi="Arial"/>
                <w:sz w:val="14"/>
                <w:szCs w:val="14"/>
                <w:b w:val="1"/>
                <w:bCs w:val="1"/>
                <w:color w:val="00AF41"/>
              </w:rPr>
              <w:t>Threshold</w:t>
            </w:r>
          </w:p>
        </w:tc>
        <w:tc>
          <w:tcPr>
            <w:tcW w:w="980" w:type="dxa"/>
            <w:vAlign w:val="bottom"/>
          </w:tcPr>
          <w:p>
            <w:pPr>
              <w:jc w:val="center"/>
              <w:spacing w:after="0" w:line="129" w:lineRule="exact"/>
              <w:rPr>
                <w:sz w:val="20"/>
                <w:szCs w:val="20"/>
                <w:color w:val="auto"/>
              </w:rPr>
            </w:pPr>
            <w:r>
              <w:rPr>
                <w:rFonts w:ascii="Arial" w:cs="Arial" w:eastAsia="Arial" w:hAnsi="Arial"/>
                <w:sz w:val="14"/>
                <w:szCs w:val="14"/>
                <w:b w:val="1"/>
                <w:bCs w:val="1"/>
                <w:color w:val="00AF41"/>
              </w:rPr>
              <w:t>Target</w:t>
            </w:r>
          </w:p>
        </w:tc>
        <w:tc>
          <w:tcPr>
            <w:tcW w:w="860" w:type="dxa"/>
            <w:vAlign w:val="bottom"/>
          </w:tcPr>
          <w:p>
            <w:pPr>
              <w:ind w:left="140"/>
              <w:spacing w:after="0" w:line="129" w:lineRule="exact"/>
              <w:rPr>
                <w:sz w:val="20"/>
                <w:szCs w:val="20"/>
                <w:color w:val="auto"/>
              </w:rPr>
            </w:pPr>
            <w:r>
              <w:rPr>
                <w:rFonts w:ascii="Arial" w:cs="Arial" w:eastAsia="Arial" w:hAnsi="Arial"/>
                <w:sz w:val="14"/>
                <w:szCs w:val="14"/>
                <w:b w:val="1"/>
                <w:bCs w:val="1"/>
                <w:color w:val="00AF41"/>
              </w:rPr>
              <w:t>Maximum</w:t>
            </w: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00AF41"/>
              </w:rPr>
              <w:t>1 Actual</w:t>
            </w: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00AF41"/>
              </w:rPr>
              <w:t>as % of</w:t>
            </w:r>
          </w:p>
        </w:tc>
      </w:tr>
      <w:tr>
        <w:trPr>
          <w:trHeight w:val="216"/>
        </w:trPr>
        <w:tc>
          <w:tcPr>
            <w:tcW w:w="5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AF41"/>
              </w:rPr>
              <w:t>Financial Performance Measures</w:t>
            </w: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00AF41"/>
              </w:rPr>
              <w:t>Weighting</w:t>
            </w:r>
          </w:p>
        </w:tc>
        <w:tc>
          <w:tcPr>
            <w:tcW w:w="104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00AF41"/>
              </w:rPr>
              <w:t>50%</w:t>
            </w:r>
          </w:p>
        </w:tc>
        <w:tc>
          <w:tcPr>
            <w:tcW w:w="98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00AF41"/>
              </w:rPr>
              <w:t>100%</w:t>
            </w:r>
          </w:p>
        </w:tc>
        <w:tc>
          <w:tcPr>
            <w:tcW w:w="860" w:type="dxa"/>
            <w:vAlign w:val="bottom"/>
            <w:tcBorders>
              <w:bottom w:val="single" w:sz="8" w:color="auto"/>
            </w:tcBorders>
          </w:tcPr>
          <w:p>
            <w:pPr>
              <w:jc w:val="center"/>
              <w:ind w:left="23"/>
              <w:spacing w:after="0"/>
              <w:rPr>
                <w:sz w:val="20"/>
                <w:szCs w:val="20"/>
                <w:color w:val="auto"/>
              </w:rPr>
            </w:pPr>
            <w:r>
              <w:rPr>
                <w:rFonts w:ascii="Arial" w:cs="Arial" w:eastAsia="Arial" w:hAnsi="Arial"/>
                <w:sz w:val="14"/>
                <w:szCs w:val="14"/>
                <w:b w:val="1"/>
                <w:bCs w:val="1"/>
                <w:color w:val="00AF41"/>
              </w:rPr>
              <w:t>200%</w:t>
            </w:r>
          </w:p>
        </w:tc>
        <w:tc>
          <w:tcPr>
            <w:tcW w:w="9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4"/>
                <w:szCs w:val="14"/>
                <w:b w:val="1"/>
                <w:bCs w:val="1"/>
                <w:color w:val="00AF41"/>
                <w:w w:val="97"/>
              </w:rPr>
              <w:t>Results</w:t>
            </w:r>
            <w:r>
              <w:rPr>
                <w:rFonts w:ascii="Arial" w:cs="Arial" w:eastAsia="Arial" w:hAnsi="Arial"/>
                <w:sz w:val="21"/>
                <w:szCs w:val="21"/>
                <w:b w:val="1"/>
                <w:bCs w:val="1"/>
                <w:color w:val="00AF41"/>
                <w:w w:val="97"/>
                <w:vertAlign w:val="superscript"/>
              </w:rPr>
              <w:t>(1)</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AF41"/>
                <w:w w:val="98"/>
              </w:rPr>
              <w:t>Target</w:t>
            </w:r>
          </w:p>
        </w:tc>
      </w:tr>
      <w:tr>
        <w:trPr>
          <w:trHeight w:val="223"/>
        </w:trPr>
        <w:tc>
          <w:tcPr>
            <w:tcW w:w="5620" w:type="dxa"/>
            <w:vAlign w:val="bottom"/>
            <w:shd w:val="clear" w:color="auto" w:fill="EDEDED"/>
          </w:tcPr>
          <w:p>
            <w:pPr>
              <w:ind w:left="80"/>
              <w:spacing w:after="0"/>
              <w:rPr>
                <w:sz w:val="20"/>
                <w:szCs w:val="20"/>
                <w:color w:val="auto"/>
              </w:rPr>
            </w:pPr>
            <w:r>
              <w:rPr>
                <w:rFonts w:ascii="Arial" w:cs="Arial" w:eastAsia="Arial" w:hAnsi="Arial"/>
                <w:sz w:val="16"/>
                <w:szCs w:val="16"/>
                <w:color w:val="auto"/>
              </w:rPr>
              <w:t>Revenue Growth</w:t>
            </w:r>
          </w:p>
        </w:tc>
        <w:tc>
          <w:tcPr>
            <w:tcW w:w="900" w:type="dxa"/>
            <w:vAlign w:val="bottom"/>
            <w:shd w:val="clear" w:color="auto" w:fill="EDEDED"/>
          </w:tcPr>
          <w:p>
            <w:pPr>
              <w:jc w:val="right"/>
              <w:ind w:right="82"/>
              <w:spacing w:after="0"/>
              <w:rPr>
                <w:sz w:val="20"/>
                <w:szCs w:val="20"/>
                <w:color w:val="auto"/>
              </w:rPr>
            </w:pPr>
            <w:r>
              <w:rPr>
                <w:rFonts w:ascii="Arial" w:cs="Arial" w:eastAsia="Arial" w:hAnsi="Arial"/>
                <w:sz w:val="16"/>
                <w:szCs w:val="16"/>
                <w:color w:val="auto"/>
                <w:shd w:val="clear" w:color="auto" w:fill="EDEDED"/>
              </w:rPr>
              <w:t>50.0%</w:t>
            </w:r>
          </w:p>
        </w:tc>
        <w:tc>
          <w:tcPr>
            <w:tcW w:w="1040" w:type="dxa"/>
            <w:vAlign w:val="bottom"/>
            <w:shd w:val="clear" w:color="auto" w:fill="EDEDED"/>
          </w:tcPr>
          <w:p>
            <w:pPr>
              <w:jc w:val="right"/>
              <w:ind w:right="44"/>
              <w:spacing w:after="0"/>
              <w:rPr>
                <w:sz w:val="20"/>
                <w:szCs w:val="20"/>
                <w:color w:val="auto"/>
              </w:rPr>
            </w:pPr>
            <w:r>
              <w:rPr>
                <w:rFonts w:ascii="Arial" w:cs="Arial" w:eastAsia="Arial" w:hAnsi="Arial"/>
                <w:sz w:val="16"/>
                <w:szCs w:val="16"/>
                <w:color w:val="auto"/>
                <w:shd w:val="clear" w:color="auto" w:fill="EDEDED"/>
              </w:rPr>
              <w:t>$4,981.80</w:t>
            </w:r>
          </w:p>
        </w:tc>
        <w:tc>
          <w:tcPr>
            <w:tcW w:w="980" w:type="dxa"/>
            <w:vAlign w:val="bottom"/>
            <w:shd w:val="clear" w:color="auto" w:fill="EDEDED"/>
          </w:tcPr>
          <w:p>
            <w:pPr>
              <w:jc w:val="right"/>
              <w:ind w:right="44"/>
              <w:spacing w:after="0"/>
              <w:rPr>
                <w:sz w:val="20"/>
                <w:szCs w:val="20"/>
                <w:color w:val="auto"/>
              </w:rPr>
            </w:pPr>
            <w:r>
              <w:rPr>
                <w:rFonts w:ascii="Arial" w:cs="Arial" w:eastAsia="Arial" w:hAnsi="Arial"/>
                <w:sz w:val="16"/>
                <w:szCs w:val="16"/>
                <w:color w:val="auto"/>
                <w:shd w:val="clear" w:color="auto" w:fill="EDEDED"/>
              </w:rPr>
              <w:t>$5,244.00</w:t>
            </w:r>
          </w:p>
        </w:tc>
        <w:tc>
          <w:tcPr>
            <w:tcW w:w="860" w:type="dxa"/>
            <w:vAlign w:val="bottom"/>
            <w:shd w:val="clear" w:color="auto" w:fill="EDEDED"/>
          </w:tcPr>
          <w:p>
            <w:pPr>
              <w:jc w:val="center"/>
              <w:ind w:left="23"/>
              <w:spacing w:after="0"/>
              <w:rPr>
                <w:sz w:val="20"/>
                <w:szCs w:val="20"/>
                <w:color w:val="auto"/>
              </w:rPr>
            </w:pPr>
            <w:r>
              <w:rPr>
                <w:rFonts w:ascii="Arial" w:cs="Arial" w:eastAsia="Arial" w:hAnsi="Arial"/>
                <w:sz w:val="16"/>
                <w:szCs w:val="16"/>
                <w:color w:val="auto"/>
                <w:shd w:val="clear" w:color="auto" w:fill="EDEDED"/>
              </w:rPr>
              <w:t>$5,700.20</w:t>
            </w:r>
          </w:p>
        </w:tc>
        <w:tc>
          <w:tcPr>
            <w:tcW w:w="960" w:type="dxa"/>
            <w:vAlign w:val="bottom"/>
            <w:shd w:val="clear" w:color="auto" w:fill="EDEDED"/>
          </w:tcPr>
          <w:p>
            <w:pPr>
              <w:jc w:val="right"/>
              <w:ind w:right="24"/>
              <w:spacing w:after="0"/>
              <w:rPr>
                <w:sz w:val="20"/>
                <w:szCs w:val="20"/>
                <w:color w:val="auto"/>
              </w:rPr>
            </w:pPr>
            <w:r>
              <w:rPr>
                <w:rFonts w:ascii="Arial" w:cs="Arial" w:eastAsia="Arial" w:hAnsi="Arial"/>
                <w:sz w:val="16"/>
                <w:szCs w:val="16"/>
                <w:color w:val="auto"/>
                <w:shd w:val="clear" w:color="auto" w:fill="EDEDED"/>
              </w:rPr>
              <w:t>$5,059.10</w:t>
            </w:r>
          </w:p>
        </w:tc>
        <w:tc>
          <w:tcPr>
            <w:tcW w:w="660" w:type="dxa"/>
            <w:vAlign w:val="bottom"/>
            <w:shd w:val="clear" w:color="auto" w:fill="EDEDED"/>
          </w:tcPr>
          <w:p>
            <w:pPr>
              <w:jc w:val="center"/>
              <w:spacing w:after="0"/>
              <w:rPr>
                <w:sz w:val="20"/>
                <w:szCs w:val="20"/>
                <w:color w:val="auto"/>
              </w:rPr>
            </w:pPr>
            <w:r>
              <w:rPr>
                <w:rFonts w:ascii="Arial" w:cs="Arial" w:eastAsia="Arial" w:hAnsi="Arial"/>
                <w:sz w:val="16"/>
                <w:szCs w:val="16"/>
                <w:color w:val="auto"/>
                <w:w w:val="99"/>
                <w:shd w:val="clear" w:color="auto" w:fill="EDEDED"/>
              </w:rPr>
              <w:t>64.74%</w:t>
            </w:r>
          </w:p>
        </w:tc>
      </w:tr>
      <w:tr>
        <w:trPr>
          <w:trHeight w:val="236"/>
        </w:trPr>
        <w:tc>
          <w:tcPr>
            <w:tcW w:w="56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EBITDA Margin</w:t>
            </w:r>
          </w:p>
        </w:tc>
        <w:tc>
          <w:tcPr>
            <w:tcW w:w="9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50.0%</w:t>
            </w:r>
          </w:p>
        </w:tc>
        <w:tc>
          <w:tcPr>
            <w:tcW w:w="1040" w:type="dxa"/>
            <w:vAlign w:val="bottom"/>
            <w:tcBorders>
              <w:bottom w:val="single" w:sz="8" w:color="auto"/>
            </w:tcBorders>
          </w:tcPr>
          <w:p>
            <w:pPr>
              <w:jc w:val="right"/>
              <w:ind w:right="184"/>
              <w:spacing w:after="0"/>
              <w:rPr>
                <w:sz w:val="20"/>
                <w:szCs w:val="20"/>
                <w:color w:val="auto"/>
              </w:rPr>
            </w:pPr>
            <w:r>
              <w:rPr>
                <w:rFonts w:ascii="Arial" w:cs="Arial" w:eastAsia="Arial" w:hAnsi="Arial"/>
                <w:sz w:val="16"/>
                <w:szCs w:val="16"/>
                <w:color w:val="auto"/>
              </w:rPr>
              <w:t>1.80%</w:t>
            </w:r>
          </w:p>
        </w:tc>
        <w:tc>
          <w:tcPr>
            <w:tcW w:w="980" w:type="dxa"/>
            <w:vAlign w:val="bottom"/>
            <w:tcBorders>
              <w:bottom w:val="single" w:sz="8" w:color="auto"/>
            </w:tcBorders>
          </w:tcPr>
          <w:p>
            <w:pPr>
              <w:jc w:val="right"/>
              <w:ind w:right="164"/>
              <w:spacing w:after="0"/>
              <w:rPr>
                <w:sz w:val="20"/>
                <w:szCs w:val="20"/>
                <w:color w:val="auto"/>
              </w:rPr>
            </w:pPr>
            <w:r>
              <w:rPr>
                <w:rFonts w:ascii="Arial" w:cs="Arial" w:eastAsia="Arial" w:hAnsi="Arial"/>
                <w:sz w:val="16"/>
                <w:szCs w:val="16"/>
                <w:color w:val="auto"/>
              </w:rPr>
              <w:t>2.46%</w:t>
            </w:r>
          </w:p>
        </w:tc>
        <w:tc>
          <w:tcPr>
            <w:tcW w:w="860" w:type="dxa"/>
            <w:vAlign w:val="bottom"/>
            <w:tcBorders>
              <w:bottom w:val="single" w:sz="8" w:color="auto"/>
            </w:tcBorders>
          </w:tcPr>
          <w:p>
            <w:pPr>
              <w:jc w:val="center"/>
              <w:ind w:left="3"/>
              <w:spacing w:after="0"/>
              <w:rPr>
                <w:sz w:val="20"/>
                <w:szCs w:val="20"/>
                <w:color w:val="auto"/>
              </w:rPr>
            </w:pPr>
            <w:r>
              <w:rPr>
                <w:rFonts w:ascii="Arial" w:cs="Arial" w:eastAsia="Arial" w:hAnsi="Arial"/>
                <w:sz w:val="16"/>
                <w:szCs w:val="16"/>
                <w:color w:val="auto"/>
              </w:rPr>
              <w:t>3.00%</w:t>
            </w:r>
          </w:p>
        </w:tc>
        <w:tc>
          <w:tcPr>
            <w:tcW w:w="96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color w:val="auto"/>
              </w:rPr>
              <w:t>2.18%</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78.96%</w:t>
            </w:r>
          </w:p>
        </w:tc>
      </w:tr>
      <w:tr>
        <w:trPr>
          <w:trHeight w:val="215"/>
        </w:trPr>
        <w:tc>
          <w:tcPr>
            <w:tcW w:w="5620" w:type="dxa"/>
            <w:vAlign w:val="bottom"/>
          </w:tcPr>
          <w:p>
            <w:pPr>
              <w:ind w:left="80"/>
              <w:spacing w:after="0"/>
              <w:rPr>
                <w:sz w:val="20"/>
                <w:szCs w:val="20"/>
                <w:color w:val="auto"/>
              </w:rPr>
            </w:pPr>
            <w:r>
              <w:rPr>
                <w:rFonts w:ascii="Arial" w:cs="Arial" w:eastAsia="Arial" w:hAnsi="Arial"/>
                <w:sz w:val="16"/>
                <w:szCs w:val="16"/>
                <w:i w:val="1"/>
                <w:iCs w:val="1"/>
                <w:color w:val="auto"/>
              </w:rPr>
              <w:t>$ in millions</w:t>
            </w: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20" w:type="dxa"/>
            <w:vAlign w:val="bottom"/>
            <w:gridSpan w:val="2"/>
          </w:tcPr>
          <w:p>
            <w:pPr>
              <w:ind w:left="480"/>
              <w:spacing w:after="0"/>
              <w:rPr>
                <w:sz w:val="20"/>
                <w:szCs w:val="20"/>
                <w:color w:val="auto"/>
              </w:rPr>
            </w:pPr>
            <w:r>
              <w:rPr>
                <w:rFonts w:ascii="Arial" w:cs="Arial" w:eastAsia="Arial" w:hAnsi="Arial"/>
                <w:sz w:val="16"/>
                <w:szCs w:val="16"/>
                <w:color w:val="auto"/>
              </w:rPr>
              <w:t>Weighted Payout:</w:t>
            </w:r>
          </w:p>
        </w:tc>
        <w:tc>
          <w:tcPr>
            <w:tcW w:w="660" w:type="dxa"/>
            <w:vAlign w:val="bottom"/>
          </w:tcPr>
          <w:p>
            <w:pPr>
              <w:jc w:val="center"/>
              <w:spacing w:after="0"/>
              <w:rPr>
                <w:sz w:val="20"/>
                <w:szCs w:val="20"/>
                <w:color w:val="auto"/>
              </w:rPr>
            </w:pPr>
            <w:r>
              <w:rPr>
                <w:rFonts w:ascii="Arial" w:cs="Arial" w:eastAsia="Arial" w:hAnsi="Arial"/>
                <w:sz w:val="16"/>
                <w:szCs w:val="16"/>
                <w:color w:val="auto"/>
                <w:w w:val="99"/>
              </w:rPr>
              <w:t>71.85%</w:t>
            </w:r>
          </w:p>
        </w:tc>
      </w:tr>
    </w:tbl>
    <w:p>
      <w:pPr>
        <w:spacing w:after="0" w:line="118" w:lineRule="exact"/>
        <w:rPr>
          <w:sz w:val="20"/>
          <w:szCs w:val="20"/>
          <w:color w:val="auto"/>
        </w:rPr>
      </w:pPr>
    </w:p>
    <w:p>
      <w:pPr>
        <w:ind w:left="440" w:right="420" w:hanging="324"/>
        <w:spacing w:after="0" w:line="196" w:lineRule="auto"/>
        <w:tabs>
          <w:tab w:leader="none" w:pos="440" w:val="left"/>
        </w:tabs>
        <w:numPr>
          <w:ilvl w:val="0"/>
          <w:numId w:val="48"/>
        </w:numPr>
        <w:rPr>
          <w:rFonts w:ascii="Arial" w:cs="Arial" w:eastAsia="Arial" w:hAnsi="Arial"/>
          <w:sz w:val="19"/>
          <w:szCs w:val="19"/>
          <w:color w:val="auto"/>
          <w:vertAlign w:val="superscript"/>
        </w:rPr>
      </w:pPr>
      <w:r>
        <w:rPr>
          <w:rFonts w:ascii="Arial" w:cs="Arial" w:eastAsia="Arial" w:hAnsi="Arial"/>
          <w:sz w:val="13"/>
          <w:szCs w:val="13"/>
          <w:color w:val="auto"/>
        </w:rPr>
        <w:t>2022 performance amount includes adjustments for goodwill impairment charge, loss on the disposal of Kelly’s Russian operations, gains on the sale of assets, and other considerations approved by the Committee.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77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-142875</wp:posOffset>
            </wp:positionV>
            <wp:extent cx="411480" cy="1968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8220"/>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43"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As a result of the above level of achievement for each of the performance measures for year 1 of the 2022-2024 LTI award, the Committee approved the following number of earned performance shares for each named executive officer.</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00AF41"/>
              </w:rPr>
              <w:t>Financial Measure:</w:t>
            </w:r>
          </w:p>
        </w:tc>
        <w:tc>
          <w:tcPr>
            <w:tcW w:w="2500" w:type="dxa"/>
            <w:vAlign w:val="bottom"/>
            <w:gridSpan w:val="2"/>
          </w:tcPr>
          <w:p>
            <w:pPr>
              <w:jc w:val="center"/>
              <w:spacing w:after="0"/>
              <w:rPr>
                <w:sz w:val="20"/>
                <w:szCs w:val="20"/>
                <w:color w:val="auto"/>
              </w:rPr>
            </w:pPr>
            <w:r>
              <w:rPr>
                <w:rFonts w:ascii="Arial" w:cs="Arial" w:eastAsia="Arial" w:hAnsi="Arial"/>
                <w:sz w:val="14"/>
                <w:szCs w:val="14"/>
                <w:b w:val="1"/>
                <w:bCs w:val="1"/>
                <w:color w:val="00AF41"/>
              </w:rPr>
              <w:t>Financial Measure:</w:t>
            </w: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00AF41"/>
              </w:rPr>
              <w:t>Revenue Growth</w:t>
            </w:r>
          </w:p>
        </w:tc>
        <w:tc>
          <w:tcPr>
            <w:tcW w:w="480" w:type="dxa"/>
            <w:vAlign w:val="bottom"/>
          </w:tcPr>
          <w:p>
            <w:pPr>
              <w:spacing w:after="0"/>
              <w:rPr>
                <w:sz w:val="14"/>
                <w:szCs w:val="14"/>
                <w:color w:val="auto"/>
              </w:rPr>
            </w:pPr>
          </w:p>
        </w:tc>
        <w:tc>
          <w:tcPr>
            <w:tcW w:w="2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00AF41"/>
              </w:rPr>
              <w:t>EBITDA Margin</w:t>
            </w:r>
          </w:p>
        </w:tc>
        <w:tc>
          <w:tcPr>
            <w:tcW w:w="1500" w:type="dxa"/>
            <w:vAlign w:val="bottom"/>
            <w:vMerge w:val="restart"/>
          </w:tcPr>
          <w:p>
            <w:pPr>
              <w:jc w:val="center"/>
              <w:ind w:left="403"/>
              <w:spacing w:after="0"/>
              <w:rPr>
                <w:sz w:val="20"/>
                <w:szCs w:val="20"/>
                <w:color w:val="auto"/>
              </w:rPr>
            </w:pPr>
            <w:r>
              <w:rPr>
                <w:rFonts w:ascii="Arial" w:cs="Arial" w:eastAsia="Arial" w:hAnsi="Arial"/>
                <w:sz w:val="14"/>
                <w:szCs w:val="14"/>
                <w:b w:val="1"/>
                <w:bCs w:val="1"/>
                <w:color w:val="00AF41"/>
                <w:w w:val="99"/>
              </w:rPr>
              <w:t>Total # of</w:t>
            </w:r>
          </w:p>
        </w:tc>
        <w:tc>
          <w:tcPr>
            <w:tcW w:w="0" w:type="dxa"/>
            <w:vAlign w:val="bottom"/>
          </w:tcPr>
          <w:p>
            <w:pPr>
              <w:spacing w:after="0"/>
              <w:rPr>
                <w:sz w:val="1"/>
                <w:szCs w:val="1"/>
                <w:color w:val="auto"/>
              </w:rPr>
            </w:pPr>
          </w:p>
        </w:tc>
      </w:tr>
      <w:tr>
        <w:trPr>
          <w:trHeight w:val="52"/>
        </w:trPr>
        <w:tc>
          <w:tcPr>
            <w:tcW w:w="3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500" w:type="dxa"/>
            <w:vAlign w:val="bottom"/>
            <w:gridSpan w:val="2"/>
            <w:vMerge w:val="restart"/>
          </w:tcPr>
          <w:p>
            <w:pPr>
              <w:jc w:val="center"/>
              <w:spacing w:after="0" w:line="155" w:lineRule="exact"/>
              <w:rPr>
                <w:sz w:val="20"/>
                <w:szCs w:val="20"/>
                <w:color w:val="auto"/>
              </w:rPr>
            </w:pPr>
            <w:r>
              <w:rPr>
                <w:rFonts w:ascii="Arial" w:cs="Arial" w:eastAsia="Arial" w:hAnsi="Arial"/>
                <w:sz w:val="14"/>
                <w:szCs w:val="14"/>
                <w:b w:val="1"/>
                <w:bCs w:val="1"/>
                <w:color w:val="00AF41"/>
              </w:rPr>
              <w:t>Payout as % of Target: 64.74%</w:t>
            </w:r>
          </w:p>
        </w:tc>
        <w:tc>
          <w:tcPr>
            <w:tcW w:w="480" w:type="dxa"/>
            <w:vAlign w:val="bottom"/>
            <w:vMerge w:val="restart"/>
          </w:tcPr>
          <w:p>
            <w:pPr>
              <w:spacing w:after="0"/>
              <w:rPr>
                <w:sz w:val="4"/>
                <w:szCs w:val="4"/>
                <w:color w:val="auto"/>
              </w:rPr>
            </w:pPr>
          </w:p>
        </w:tc>
        <w:tc>
          <w:tcPr>
            <w:tcW w:w="2500" w:type="dxa"/>
            <w:vAlign w:val="bottom"/>
            <w:gridSpan w:val="2"/>
            <w:vMerge w:val="restart"/>
          </w:tcPr>
          <w:p>
            <w:pPr>
              <w:jc w:val="center"/>
              <w:spacing w:after="0" w:line="155" w:lineRule="exact"/>
              <w:rPr>
                <w:sz w:val="20"/>
                <w:szCs w:val="20"/>
                <w:color w:val="auto"/>
              </w:rPr>
            </w:pPr>
            <w:r>
              <w:rPr>
                <w:rFonts w:ascii="Arial" w:cs="Arial" w:eastAsia="Arial" w:hAnsi="Arial"/>
                <w:sz w:val="14"/>
                <w:szCs w:val="14"/>
                <w:b w:val="1"/>
                <w:bCs w:val="1"/>
                <w:color w:val="00AF41"/>
              </w:rPr>
              <w:t>Payout as % of Target: 78.96%</w:t>
            </w: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3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500" w:type="dxa"/>
            <w:vAlign w:val="bottom"/>
            <w:tcBorders>
              <w:bottom w:val="single" w:sz="8" w:color="auto"/>
            </w:tcBorders>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500" w:type="dxa"/>
            <w:vAlign w:val="bottom"/>
            <w:tcBorders>
              <w:bottom w:val="single" w:sz="8" w:color="auto"/>
            </w:tcBorders>
            <w:gridSpan w:val="2"/>
            <w:vMerge w:val="continue"/>
          </w:tcPr>
          <w:p>
            <w:pPr>
              <w:spacing w:after="0"/>
              <w:rPr>
                <w:sz w:val="9"/>
                <w:szCs w:val="9"/>
                <w:color w:val="auto"/>
              </w:rPr>
            </w:pPr>
          </w:p>
        </w:tc>
        <w:tc>
          <w:tcPr>
            <w:tcW w:w="1500" w:type="dxa"/>
            <w:vAlign w:val="bottom"/>
            <w:vMerge w:val="restart"/>
          </w:tcPr>
          <w:p>
            <w:pPr>
              <w:jc w:val="center"/>
              <w:ind w:left="403"/>
              <w:spacing w:after="0"/>
              <w:rPr>
                <w:sz w:val="20"/>
                <w:szCs w:val="20"/>
                <w:color w:val="auto"/>
              </w:rPr>
            </w:pPr>
            <w:r>
              <w:rPr>
                <w:rFonts w:ascii="Arial" w:cs="Arial" w:eastAsia="Arial" w:hAnsi="Arial"/>
                <w:sz w:val="14"/>
                <w:szCs w:val="14"/>
                <w:b w:val="1"/>
                <w:bCs w:val="1"/>
                <w:color w:val="00AF41"/>
                <w:w w:val="99"/>
              </w:rPr>
              <w:t>Year 1</w:t>
            </w:r>
          </w:p>
        </w:tc>
        <w:tc>
          <w:tcPr>
            <w:tcW w:w="0" w:type="dxa"/>
            <w:vAlign w:val="bottom"/>
          </w:tcPr>
          <w:p>
            <w:pPr>
              <w:spacing w:after="0"/>
              <w:rPr>
                <w:sz w:val="1"/>
                <w:szCs w:val="1"/>
                <w:color w:val="auto"/>
              </w:rPr>
            </w:pPr>
          </w:p>
        </w:tc>
      </w:tr>
      <w:tr>
        <w:trPr>
          <w:trHeight w:val="38"/>
        </w:trPr>
        <w:tc>
          <w:tcPr>
            <w:tcW w:w="3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60" w:type="dxa"/>
            <w:vAlign w:val="bottom"/>
            <w:vMerge w:val="restart"/>
          </w:tcPr>
          <w:p>
            <w:pPr>
              <w:jc w:val="center"/>
              <w:ind w:right="168"/>
              <w:spacing w:after="0" w:line="147" w:lineRule="exact"/>
              <w:rPr>
                <w:sz w:val="20"/>
                <w:szCs w:val="20"/>
                <w:color w:val="auto"/>
              </w:rPr>
            </w:pPr>
            <w:r>
              <w:rPr>
                <w:rFonts w:ascii="Arial" w:cs="Arial" w:eastAsia="Arial" w:hAnsi="Arial"/>
                <w:sz w:val="14"/>
                <w:szCs w:val="14"/>
                <w:b w:val="1"/>
                <w:bCs w:val="1"/>
                <w:color w:val="00AF41"/>
              </w:rPr>
              <w:t>Year 1 Target #</w:t>
            </w:r>
          </w:p>
        </w:tc>
        <w:tc>
          <w:tcPr>
            <w:tcW w:w="1720" w:type="dxa"/>
            <w:vAlign w:val="bottom"/>
            <w:gridSpan w:val="2"/>
            <w:vMerge w:val="restart"/>
          </w:tcPr>
          <w:p>
            <w:pPr>
              <w:jc w:val="center"/>
              <w:ind w:right="240"/>
              <w:spacing w:after="0" w:line="147" w:lineRule="exact"/>
              <w:rPr>
                <w:sz w:val="20"/>
                <w:szCs w:val="20"/>
                <w:color w:val="auto"/>
              </w:rPr>
            </w:pPr>
            <w:r>
              <w:rPr>
                <w:rFonts w:ascii="Arial" w:cs="Arial" w:eastAsia="Arial" w:hAnsi="Arial"/>
                <w:sz w:val="14"/>
                <w:szCs w:val="14"/>
                <w:b w:val="1"/>
                <w:bCs w:val="1"/>
                <w:color w:val="00AF41"/>
              </w:rPr>
              <w:t>Year 1 # of</w:t>
            </w:r>
          </w:p>
        </w:tc>
        <w:tc>
          <w:tcPr>
            <w:tcW w:w="1260" w:type="dxa"/>
            <w:vAlign w:val="bottom"/>
            <w:vMerge w:val="restart"/>
          </w:tcPr>
          <w:p>
            <w:pPr>
              <w:jc w:val="center"/>
              <w:ind w:right="164"/>
              <w:spacing w:after="0" w:line="147" w:lineRule="exact"/>
              <w:rPr>
                <w:sz w:val="20"/>
                <w:szCs w:val="20"/>
                <w:color w:val="auto"/>
              </w:rPr>
            </w:pPr>
            <w:r>
              <w:rPr>
                <w:rFonts w:ascii="Arial" w:cs="Arial" w:eastAsia="Arial" w:hAnsi="Arial"/>
                <w:sz w:val="14"/>
                <w:szCs w:val="14"/>
                <w:b w:val="1"/>
                <w:bCs w:val="1"/>
                <w:color w:val="00AF41"/>
              </w:rPr>
              <w:t>Year 1 Target #</w:t>
            </w:r>
          </w:p>
        </w:tc>
        <w:tc>
          <w:tcPr>
            <w:tcW w:w="1240" w:type="dxa"/>
            <w:vAlign w:val="bottom"/>
            <w:vMerge w:val="restart"/>
          </w:tcPr>
          <w:p>
            <w:pPr>
              <w:jc w:val="center"/>
              <w:ind w:left="162"/>
              <w:spacing w:after="0" w:line="147" w:lineRule="exact"/>
              <w:rPr>
                <w:sz w:val="20"/>
                <w:szCs w:val="20"/>
                <w:color w:val="auto"/>
              </w:rPr>
            </w:pPr>
            <w:r>
              <w:rPr>
                <w:rFonts w:ascii="Arial" w:cs="Arial" w:eastAsia="Arial" w:hAnsi="Arial"/>
                <w:sz w:val="14"/>
                <w:szCs w:val="14"/>
                <w:b w:val="1"/>
                <w:bCs w:val="1"/>
                <w:color w:val="00AF41"/>
              </w:rPr>
              <w:t>Year 1 # of</w:t>
            </w:r>
          </w:p>
        </w:tc>
        <w:tc>
          <w:tcPr>
            <w:tcW w:w="15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8"/>
        </w:trPr>
        <w:tc>
          <w:tcPr>
            <w:tcW w:w="3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500" w:type="dxa"/>
            <w:vAlign w:val="bottom"/>
            <w:vMerge w:val="restart"/>
          </w:tcPr>
          <w:p>
            <w:pPr>
              <w:jc w:val="center"/>
              <w:ind w:left="383"/>
              <w:spacing w:after="0"/>
              <w:rPr>
                <w:sz w:val="20"/>
                <w:szCs w:val="20"/>
                <w:color w:val="auto"/>
              </w:rPr>
            </w:pPr>
            <w:r>
              <w:rPr>
                <w:rFonts w:ascii="Arial" w:cs="Arial" w:eastAsia="Arial" w:hAnsi="Arial"/>
                <w:sz w:val="14"/>
                <w:szCs w:val="14"/>
                <w:b w:val="1"/>
                <w:bCs w:val="1"/>
                <w:color w:val="00AF41"/>
              </w:rPr>
              <w:t>Performance</w:t>
            </w:r>
          </w:p>
        </w:tc>
        <w:tc>
          <w:tcPr>
            <w:tcW w:w="0" w:type="dxa"/>
            <w:vAlign w:val="bottom"/>
          </w:tcPr>
          <w:p>
            <w:pPr>
              <w:spacing w:after="0"/>
              <w:rPr>
                <w:sz w:val="1"/>
                <w:szCs w:val="1"/>
                <w:color w:val="auto"/>
              </w:rPr>
            </w:pPr>
          </w:p>
        </w:tc>
      </w:tr>
      <w:tr>
        <w:trPr>
          <w:trHeight w:val="54"/>
        </w:trPr>
        <w:tc>
          <w:tcPr>
            <w:tcW w:w="3560" w:type="dxa"/>
            <w:vAlign w:val="bottom"/>
            <w:vMerge w:val="restart"/>
          </w:tcPr>
          <w:p>
            <w:pPr>
              <w:ind w:left="140"/>
              <w:spacing w:after="0"/>
              <w:rPr>
                <w:sz w:val="20"/>
                <w:szCs w:val="20"/>
                <w:color w:val="auto"/>
              </w:rPr>
            </w:pPr>
            <w:r>
              <w:rPr>
                <w:rFonts w:ascii="Arial" w:cs="Arial" w:eastAsia="Arial" w:hAnsi="Arial"/>
                <w:sz w:val="14"/>
                <w:szCs w:val="14"/>
                <w:b w:val="1"/>
                <w:bCs w:val="1"/>
                <w:color w:val="00AF41"/>
              </w:rPr>
              <w:t>Name</w:t>
            </w:r>
          </w:p>
        </w:tc>
        <w:tc>
          <w:tcPr>
            <w:tcW w:w="480" w:type="dxa"/>
            <w:vAlign w:val="bottom"/>
          </w:tcPr>
          <w:p>
            <w:pPr>
              <w:spacing w:after="0"/>
              <w:rPr>
                <w:sz w:val="4"/>
                <w:szCs w:val="4"/>
                <w:color w:val="auto"/>
              </w:rPr>
            </w:pPr>
          </w:p>
        </w:tc>
        <w:tc>
          <w:tcPr>
            <w:tcW w:w="126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00AF41"/>
              </w:rPr>
              <w:t>of Shares</w:t>
            </w:r>
          </w:p>
        </w:tc>
        <w:tc>
          <w:tcPr>
            <w:tcW w:w="17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00AF41"/>
              </w:rPr>
              <w:t>Shares Earned</w:t>
            </w:r>
          </w:p>
        </w:tc>
        <w:tc>
          <w:tcPr>
            <w:tcW w:w="1260" w:type="dxa"/>
            <w:vAlign w:val="bottom"/>
            <w:vMerge w:val="restart"/>
          </w:tcPr>
          <w:p>
            <w:pPr>
              <w:jc w:val="center"/>
              <w:ind w:right="164"/>
              <w:spacing w:after="0"/>
              <w:rPr>
                <w:sz w:val="20"/>
                <w:szCs w:val="20"/>
                <w:color w:val="auto"/>
              </w:rPr>
            </w:pPr>
            <w:r>
              <w:rPr>
                <w:rFonts w:ascii="Arial" w:cs="Arial" w:eastAsia="Arial" w:hAnsi="Arial"/>
                <w:sz w:val="14"/>
                <w:szCs w:val="14"/>
                <w:b w:val="1"/>
                <w:bCs w:val="1"/>
                <w:color w:val="00AF41"/>
              </w:rPr>
              <w:t>of Shares</w:t>
            </w:r>
          </w:p>
        </w:tc>
        <w:tc>
          <w:tcPr>
            <w:tcW w:w="1240" w:type="dxa"/>
            <w:vAlign w:val="bottom"/>
            <w:vMerge w:val="restart"/>
          </w:tcPr>
          <w:p>
            <w:pPr>
              <w:jc w:val="center"/>
              <w:ind w:left="162"/>
              <w:spacing w:after="0"/>
              <w:rPr>
                <w:sz w:val="20"/>
                <w:szCs w:val="20"/>
                <w:color w:val="auto"/>
              </w:rPr>
            </w:pPr>
            <w:r>
              <w:rPr>
                <w:rFonts w:ascii="Arial" w:cs="Arial" w:eastAsia="Arial" w:hAnsi="Arial"/>
                <w:sz w:val="14"/>
                <w:szCs w:val="14"/>
                <w:b w:val="1"/>
                <w:bCs w:val="1"/>
                <w:color w:val="00AF41"/>
              </w:rPr>
              <w:t>Shares Earned</w:t>
            </w: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356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500" w:type="dxa"/>
            <w:vAlign w:val="bottom"/>
            <w:vMerge w:val="restart"/>
          </w:tcPr>
          <w:p>
            <w:pPr>
              <w:jc w:val="center"/>
              <w:ind w:left="383"/>
              <w:spacing w:after="0"/>
              <w:rPr>
                <w:sz w:val="20"/>
                <w:szCs w:val="20"/>
                <w:color w:val="auto"/>
              </w:rPr>
            </w:pPr>
            <w:r>
              <w:rPr>
                <w:rFonts w:ascii="Arial" w:cs="Arial" w:eastAsia="Arial" w:hAnsi="Arial"/>
                <w:sz w:val="14"/>
                <w:szCs w:val="14"/>
                <w:b w:val="1"/>
                <w:bCs w:val="1"/>
                <w:color w:val="00AF41"/>
              </w:rPr>
              <w:t>Shares Earned</w:t>
            </w:r>
          </w:p>
        </w:tc>
        <w:tc>
          <w:tcPr>
            <w:tcW w:w="0" w:type="dxa"/>
            <w:vAlign w:val="bottom"/>
          </w:tcPr>
          <w:p>
            <w:pPr>
              <w:spacing w:after="0"/>
              <w:rPr>
                <w:sz w:val="1"/>
                <w:szCs w:val="1"/>
                <w:color w:val="auto"/>
              </w:rPr>
            </w:pPr>
          </w:p>
        </w:tc>
      </w:tr>
      <w:tr>
        <w:trPr>
          <w:trHeight w:val="29"/>
        </w:trPr>
        <w:tc>
          <w:tcPr>
            <w:tcW w:w="3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560" w:type="dxa"/>
            <w:vAlign w:val="bottom"/>
            <w:shd w:val="clear" w:color="auto" w:fill="EDEDED"/>
          </w:tcPr>
          <w:p>
            <w:pPr>
              <w:ind w:left="80"/>
              <w:spacing w:after="0"/>
              <w:rPr>
                <w:sz w:val="20"/>
                <w:szCs w:val="20"/>
                <w:color w:val="auto"/>
              </w:rPr>
            </w:pPr>
            <w:r>
              <w:rPr>
                <w:rFonts w:ascii="Arial" w:cs="Arial" w:eastAsia="Arial" w:hAnsi="Arial"/>
                <w:sz w:val="16"/>
                <w:szCs w:val="16"/>
                <w:b w:val="1"/>
                <w:bCs w:val="1"/>
                <w:color w:val="auto"/>
              </w:rPr>
              <w:t>Peter W. Quigley</w:t>
            </w:r>
          </w:p>
        </w:tc>
        <w:tc>
          <w:tcPr>
            <w:tcW w:w="1740" w:type="dxa"/>
            <w:vAlign w:val="bottom"/>
            <w:gridSpan w:val="2"/>
            <w:shd w:val="clear" w:color="auto" w:fill="EDEDED"/>
          </w:tcPr>
          <w:p>
            <w:pPr>
              <w:jc w:val="center"/>
              <w:ind w:left="139"/>
              <w:spacing w:after="0"/>
              <w:rPr>
                <w:sz w:val="20"/>
                <w:szCs w:val="20"/>
                <w:color w:val="auto"/>
              </w:rPr>
            </w:pPr>
            <w:r>
              <w:rPr>
                <w:rFonts w:ascii="Arial" w:cs="Arial" w:eastAsia="Arial" w:hAnsi="Arial"/>
                <w:sz w:val="16"/>
                <w:szCs w:val="16"/>
                <w:color w:val="auto"/>
                <w:w w:val="98"/>
              </w:rPr>
              <w:t>10,611</w:t>
            </w:r>
          </w:p>
        </w:tc>
        <w:tc>
          <w:tcPr>
            <w:tcW w:w="1240" w:type="dxa"/>
            <w:vAlign w:val="bottom"/>
            <w:shd w:val="clear" w:color="auto" w:fill="EDEDED"/>
          </w:tcPr>
          <w:p>
            <w:pPr>
              <w:jc w:val="center"/>
              <w:ind w:left="162"/>
              <w:spacing w:after="0"/>
              <w:rPr>
                <w:sz w:val="20"/>
                <w:szCs w:val="20"/>
                <w:color w:val="auto"/>
              </w:rPr>
            </w:pPr>
            <w:r>
              <w:rPr>
                <w:rFonts w:ascii="Arial" w:cs="Arial" w:eastAsia="Arial" w:hAnsi="Arial"/>
                <w:sz w:val="16"/>
                <w:szCs w:val="16"/>
                <w:color w:val="auto"/>
                <w:w w:val="99"/>
              </w:rPr>
              <w:t>6,870</w:t>
            </w:r>
          </w:p>
        </w:tc>
        <w:tc>
          <w:tcPr>
            <w:tcW w:w="480" w:type="dxa"/>
            <w:vAlign w:val="bottom"/>
            <w:shd w:val="clear" w:color="auto" w:fill="EDEDED"/>
          </w:tcPr>
          <w:p>
            <w:pPr>
              <w:spacing w:after="0"/>
              <w:rPr>
                <w:sz w:val="19"/>
                <w:szCs w:val="19"/>
                <w:color w:val="auto"/>
              </w:rPr>
            </w:pPr>
          </w:p>
        </w:tc>
        <w:tc>
          <w:tcPr>
            <w:tcW w:w="1260" w:type="dxa"/>
            <w:vAlign w:val="bottom"/>
            <w:shd w:val="clear" w:color="auto" w:fill="EDEDED"/>
          </w:tcPr>
          <w:p>
            <w:pPr>
              <w:jc w:val="center"/>
              <w:ind w:right="164"/>
              <w:spacing w:after="0"/>
              <w:rPr>
                <w:sz w:val="20"/>
                <w:szCs w:val="20"/>
                <w:color w:val="auto"/>
              </w:rPr>
            </w:pPr>
            <w:r>
              <w:rPr>
                <w:rFonts w:ascii="Arial" w:cs="Arial" w:eastAsia="Arial" w:hAnsi="Arial"/>
                <w:sz w:val="16"/>
                <w:szCs w:val="16"/>
                <w:color w:val="auto"/>
              </w:rPr>
              <w:t>10,611</w:t>
            </w:r>
          </w:p>
        </w:tc>
        <w:tc>
          <w:tcPr>
            <w:tcW w:w="1240" w:type="dxa"/>
            <w:vAlign w:val="bottom"/>
            <w:shd w:val="clear" w:color="auto" w:fill="EDEDED"/>
          </w:tcPr>
          <w:p>
            <w:pPr>
              <w:jc w:val="center"/>
              <w:ind w:left="162"/>
              <w:spacing w:after="0"/>
              <w:rPr>
                <w:sz w:val="20"/>
                <w:szCs w:val="20"/>
                <w:color w:val="auto"/>
              </w:rPr>
            </w:pPr>
            <w:r>
              <w:rPr>
                <w:rFonts w:ascii="Arial" w:cs="Arial" w:eastAsia="Arial" w:hAnsi="Arial"/>
                <w:sz w:val="16"/>
                <w:szCs w:val="16"/>
                <w:color w:val="auto"/>
                <w:w w:val="99"/>
              </w:rPr>
              <w:t>8,378</w:t>
            </w:r>
          </w:p>
        </w:tc>
        <w:tc>
          <w:tcPr>
            <w:tcW w:w="1500" w:type="dxa"/>
            <w:vAlign w:val="bottom"/>
            <w:shd w:val="clear" w:color="auto" w:fill="EDEDED"/>
          </w:tcPr>
          <w:p>
            <w:pPr>
              <w:jc w:val="center"/>
              <w:ind w:left="403"/>
              <w:spacing w:after="0"/>
              <w:rPr>
                <w:sz w:val="20"/>
                <w:szCs w:val="20"/>
                <w:color w:val="auto"/>
              </w:rPr>
            </w:pPr>
            <w:r>
              <w:rPr>
                <w:rFonts w:ascii="Arial" w:cs="Arial" w:eastAsia="Arial" w:hAnsi="Arial"/>
                <w:sz w:val="16"/>
                <w:szCs w:val="16"/>
                <w:color w:val="auto"/>
              </w:rPr>
              <w:t>15,248</w:t>
            </w:r>
          </w:p>
        </w:tc>
        <w:tc>
          <w:tcPr>
            <w:tcW w:w="0" w:type="dxa"/>
            <w:vAlign w:val="bottom"/>
          </w:tcPr>
          <w:p>
            <w:pPr>
              <w:spacing w:after="0"/>
              <w:rPr>
                <w:sz w:val="1"/>
                <w:szCs w:val="1"/>
                <w:color w:val="auto"/>
              </w:rPr>
            </w:pPr>
          </w:p>
        </w:tc>
      </w:tr>
      <w:tr>
        <w:trPr>
          <w:trHeight w:val="239"/>
        </w:trPr>
        <w:tc>
          <w:tcPr>
            <w:tcW w:w="3560" w:type="dxa"/>
            <w:vAlign w:val="bottom"/>
          </w:tcPr>
          <w:p>
            <w:pPr>
              <w:ind w:left="80"/>
              <w:spacing w:after="0"/>
              <w:rPr>
                <w:sz w:val="20"/>
                <w:szCs w:val="20"/>
                <w:color w:val="auto"/>
              </w:rPr>
            </w:pPr>
            <w:r>
              <w:rPr>
                <w:rFonts w:ascii="Arial" w:cs="Arial" w:eastAsia="Arial" w:hAnsi="Arial"/>
                <w:sz w:val="16"/>
                <w:szCs w:val="16"/>
                <w:b w:val="1"/>
                <w:bCs w:val="1"/>
                <w:color w:val="auto"/>
              </w:rPr>
              <w:t>Olivier G. Thirot</w:t>
            </w:r>
          </w:p>
        </w:tc>
        <w:tc>
          <w:tcPr>
            <w:tcW w:w="1740" w:type="dxa"/>
            <w:vAlign w:val="bottom"/>
            <w:gridSpan w:val="2"/>
          </w:tcPr>
          <w:p>
            <w:pPr>
              <w:jc w:val="center"/>
              <w:ind w:left="139"/>
              <w:spacing w:after="0"/>
              <w:rPr>
                <w:sz w:val="20"/>
                <w:szCs w:val="20"/>
                <w:color w:val="auto"/>
              </w:rPr>
            </w:pPr>
            <w:r>
              <w:rPr>
                <w:rFonts w:ascii="Arial" w:cs="Arial" w:eastAsia="Arial" w:hAnsi="Arial"/>
                <w:sz w:val="16"/>
                <w:szCs w:val="16"/>
                <w:color w:val="auto"/>
                <w:w w:val="99"/>
              </w:rPr>
              <w:t>5,064</w:t>
            </w:r>
          </w:p>
        </w:tc>
        <w:tc>
          <w:tcPr>
            <w:tcW w:w="1240" w:type="dxa"/>
            <w:vAlign w:val="bottom"/>
          </w:tcPr>
          <w:p>
            <w:pPr>
              <w:jc w:val="center"/>
              <w:ind w:left="162"/>
              <w:spacing w:after="0"/>
              <w:rPr>
                <w:sz w:val="20"/>
                <w:szCs w:val="20"/>
                <w:color w:val="auto"/>
              </w:rPr>
            </w:pPr>
            <w:r>
              <w:rPr>
                <w:rFonts w:ascii="Arial" w:cs="Arial" w:eastAsia="Arial" w:hAnsi="Arial"/>
                <w:sz w:val="16"/>
                <w:szCs w:val="16"/>
                <w:color w:val="auto"/>
                <w:w w:val="99"/>
              </w:rPr>
              <w:t>3,278</w:t>
            </w:r>
          </w:p>
        </w:tc>
        <w:tc>
          <w:tcPr>
            <w:tcW w:w="480" w:type="dxa"/>
            <w:vAlign w:val="bottom"/>
          </w:tcPr>
          <w:p>
            <w:pPr>
              <w:spacing w:after="0"/>
              <w:rPr>
                <w:sz w:val="20"/>
                <w:szCs w:val="20"/>
                <w:color w:val="auto"/>
              </w:rPr>
            </w:pPr>
          </w:p>
        </w:tc>
        <w:tc>
          <w:tcPr>
            <w:tcW w:w="1260" w:type="dxa"/>
            <w:vAlign w:val="bottom"/>
          </w:tcPr>
          <w:p>
            <w:pPr>
              <w:jc w:val="center"/>
              <w:ind w:right="164"/>
              <w:spacing w:after="0"/>
              <w:rPr>
                <w:sz w:val="20"/>
                <w:szCs w:val="20"/>
                <w:color w:val="auto"/>
              </w:rPr>
            </w:pPr>
            <w:r>
              <w:rPr>
                <w:rFonts w:ascii="Arial" w:cs="Arial" w:eastAsia="Arial" w:hAnsi="Arial"/>
                <w:sz w:val="16"/>
                <w:szCs w:val="16"/>
                <w:color w:val="auto"/>
              </w:rPr>
              <w:t>5,064</w:t>
            </w:r>
          </w:p>
        </w:tc>
        <w:tc>
          <w:tcPr>
            <w:tcW w:w="1240" w:type="dxa"/>
            <w:vAlign w:val="bottom"/>
          </w:tcPr>
          <w:p>
            <w:pPr>
              <w:jc w:val="center"/>
              <w:ind w:left="162"/>
              <w:spacing w:after="0"/>
              <w:rPr>
                <w:sz w:val="20"/>
                <w:szCs w:val="20"/>
                <w:color w:val="auto"/>
              </w:rPr>
            </w:pPr>
            <w:r>
              <w:rPr>
                <w:rFonts w:ascii="Arial" w:cs="Arial" w:eastAsia="Arial" w:hAnsi="Arial"/>
                <w:sz w:val="16"/>
                <w:szCs w:val="16"/>
                <w:color w:val="auto"/>
                <w:w w:val="99"/>
              </w:rPr>
              <w:t>3,999</w:t>
            </w:r>
          </w:p>
        </w:tc>
        <w:tc>
          <w:tcPr>
            <w:tcW w:w="1500" w:type="dxa"/>
            <w:vAlign w:val="bottom"/>
          </w:tcPr>
          <w:p>
            <w:pPr>
              <w:jc w:val="center"/>
              <w:ind w:left="383"/>
              <w:spacing w:after="0"/>
              <w:rPr>
                <w:sz w:val="20"/>
                <w:szCs w:val="20"/>
                <w:color w:val="auto"/>
              </w:rPr>
            </w:pPr>
            <w:r>
              <w:rPr>
                <w:rFonts w:ascii="Arial" w:cs="Arial" w:eastAsia="Arial" w:hAnsi="Arial"/>
                <w:sz w:val="16"/>
                <w:szCs w:val="16"/>
                <w:color w:val="auto"/>
                <w:w w:val="99"/>
              </w:rPr>
              <w:t>7,277</w:t>
            </w:r>
          </w:p>
        </w:tc>
        <w:tc>
          <w:tcPr>
            <w:tcW w:w="0" w:type="dxa"/>
            <w:vAlign w:val="bottom"/>
          </w:tcPr>
          <w:p>
            <w:pPr>
              <w:spacing w:after="0"/>
              <w:rPr>
                <w:sz w:val="1"/>
                <w:szCs w:val="1"/>
                <w:color w:val="auto"/>
              </w:rPr>
            </w:pPr>
          </w:p>
        </w:tc>
      </w:tr>
      <w:tr>
        <w:trPr>
          <w:trHeight w:val="247"/>
        </w:trPr>
        <w:tc>
          <w:tcPr>
            <w:tcW w:w="3560" w:type="dxa"/>
            <w:vAlign w:val="bottom"/>
            <w:shd w:val="clear" w:color="auto" w:fill="EDEDED"/>
          </w:tcPr>
          <w:p>
            <w:pPr>
              <w:ind w:left="80"/>
              <w:spacing w:after="0"/>
              <w:rPr>
                <w:sz w:val="20"/>
                <w:szCs w:val="20"/>
                <w:color w:val="auto"/>
              </w:rPr>
            </w:pPr>
            <w:r>
              <w:rPr>
                <w:rFonts w:ascii="Arial" w:cs="Arial" w:eastAsia="Arial" w:hAnsi="Arial"/>
                <w:sz w:val="16"/>
                <w:szCs w:val="16"/>
                <w:b w:val="1"/>
                <w:bCs w:val="1"/>
                <w:color w:val="auto"/>
              </w:rPr>
              <w:t>Dinette Koolhaas</w:t>
            </w:r>
          </w:p>
        </w:tc>
        <w:tc>
          <w:tcPr>
            <w:tcW w:w="1740" w:type="dxa"/>
            <w:vAlign w:val="bottom"/>
            <w:gridSpan w:val="2"/>
            <w:shd w:val="clear" w:color="auto" w:fill="EDEDED"/>
          </w:tcPr>
          <w:p>
            <w:pPr>
              <w:jc w:val="center"/>
              <w:ind w:left="139"/>
              <w:spacing w:after="0"/>
              <w:rPr>
                <w:sz w:val="20"/>
                <w:szCs w:val="20"/>
                <w:color w:val="auto"/>
              </w:rPr>
            </w:pPr>
            <w:r>
              <w:rPr>
                <w:rFonts w:ascii="Arial" w:cs="Arial" w:eastAsia="Arial" w:hAnsi="Arial"/>
                <w:sz w:val="16"/>
                <w:szCs w:val="16"/>
                <w:color w:val="auto"/>
                <w:w w:val="99"/>
              </w:rPr>
              <w:t>2,159</w:t>
            </w:r>
          </w:p>
        </w:tc>
        <w:tc>
          <w:tcPr>
            <w:tcW w:w="1240" w:type="dxa"/>
            <w:vAlign w:val="bottom"/>
            <w:shd w:val="clear" w:color="auto" w:fill="EDEDED"/>
          </w:tcPr>
          <w:p>
            <w:pPr>
              <w:jc w:val="center"/>
              <w:ind w:left="162"/>
              <w:spacing w:after="0"/>
              <w:rPr>
                <w:sz w:val="20"/>
                <w:szCs w:val="20"/>
                <w:color w:val="auto"/>
              </w:rPr>
            </w:pPr>
            <w:r>
              <w:rPr>
                <w:rFonts w:ascii="Arial" w:cs="Arial" w:eastAsia="Arial" w:hAnsi="Arial"/>
                <w:sz w:val="16"/>
                <w:szCs w:val="16"/>
                <w:color w:val="auto"/>
                <w:w w:val="99"/>
              </w:rPr>
              <w:t>1,397</w:t>
            </w:r>
          </w:p>
        </w:tc>
        <w:tc>
          <w:tcPr>
            <w:tcW w:w="480" w:type="dxa"/>
            <w:vAlign w:val="bottom"/>
            <w:shd w:val="clear" w:color="auto" w:fill="EDEDED"/>
          </w:tcPr>
          <w:p>
            <w:pPr>
              <w:spacing w:after="0"/>
              <w:rPr>
                <w:sz w:val="21"/>
                <w:szCs w:val="21"/>
                <w:color w:val="auto"/>
              </w:rPr>
            </w:pPr>
          </w:p>
        </w:tc>
        <w:tc>
          <w:tcPr>
            <w:tcW w:w="1260" w:type="dxa"/>
            <w:vAlign w:val="bottom"/>
            <w:shd w:val="clear" w:color="auto" w:fill="EDEDED"/>
          </w:tcPr>
          <w:p>
            <w:pPr>
              <w:jc w:val="center"/>
              <w:ind w:right="164"/>
              <w:spacing w:after="0"/>
              <w:rPr>
                <w:sz w:val="20"/>
                <w:szCs w:val="20"/>
                <w:color w:val="auto"/>
              </w:rPr>
            </w:pPr>
            <w:r>
              <w:rPr>
                <w:rFonts w:ascii="Arial" w:cs="Arial" w:eastAsia="Arial" w:hAnsi="Arial"/>
                <w:sz w:val="16"/>
                <w:szCs w:val="16"/>
                <w:color w:val="auto"/>
              </w:rPr>
              <w:t>2,159</w:t>
            </w:r>
          </w:p>
        </w:tc>
        <w:tc>
          <w:tcPr>
            <w:tcW w:w="1240" w:type="dxa"/>
            <w:vAlign w:val="bottom"/>
            <w:shd w:val="clear" w:color="auto" w:fill="EDEDED"/>
          </w:tcPr>
          <w:p>
            <w:pPr>
              <w:jc w:val="center"/>
              <w:ind w:left="162"/>
              <w:spacing w:after="0"/>
              <w:rPr>
                <w:sz w:val="20"/>
                <w:szCs w:val="20"/>
                <w:color w:val="auto"/>
              </w:rPr>
            </w:pPr>
            <w:r>
              <w:rPr>
                <w:rFonts w:ascii="Arial" w:cs="Arial" w:eastAsia="Arial" w:hAnsi="Arial"/>
                <w:sz w:val="16"/>
                <w:szCs w:val="16"/>
                <w:color w:val="auto"/>
                <w:w w:val="99"/>
              </w:rPr>
              <w:t>1,705</w:t>
            </w:r>
          </w:p>
        </w:tc>
        <w:tc>
          <w:tcPr>
            <w:tcW w:w="1500" w:type="dxa"/>
            <w:vAlign w:val="bottom"/>
            <w:shd w:val="clear" w:color="auto" w:fill="EDEDED"/>
          </w:tcPr>
          <w:p>
            <w:pPr>
              <w:jc w:val="center"/>
              <w:ind w:left="383"/>
              <w:spacing w:after="0"/>
              <w:rPr>
                <w:sz w:val="20"/>
                <w:szCs w:val="20"/>
                <w:color w:val="auto"/>
              </w:rPr>
            </w:pPr>
            <w:r>
              <w:rPr>
                <w:rFonts w:ascii="Arial" w:cs="Arial" w:eastAsia="Arial" w:hAnsi="Arial"/>
                <w:sz w:val="16"/>
                <w:szCs w:val="16"/>
                <w:color w:val="auto"/>
                <w:w w:val="99"/>
              </w:rPr>
              <w:t>3,102</w:t>
            </w:r>
          </w:p>
        </w:tc>
        <w:tc>
          <w:tcPr>
            <w:tcW w:w="0" w:type="dxa"/>
            <w:vAlign w:val="bottom"/>
          </w:tcPr>
          <w:p>
            <w:pPr>
              <w:spacing w:after="0"/>
              <w:rPr>
                <w:sz w:val="1"/>
                <w:szCs w:val="1"/>
                <w:color w:val="auto"/>
              </w:rPr>
            </w:pPr>
          </w:p>
        </w:tc>
      </w:tr>
      <w:tr>
        <w:trPr>
          <w:trHeight w:val="239"/>
        </w:trPr>
        <w:tc>
          <w:tcPr>
            <w:tcW w:w="3560" w:type="dxa"/>
            <w:vAlign w:val="bottom"/>
          </w:tcPr>
          <w:p>
            <w:pPr>
              <w:ind w:left="80"/>
              <w:spacing w:after="0"/>
              <w:rPr>
                <w:sz w:val="20"/>
                <w:szCs w:val="20"/>
                <w:color w:val="auto"/>
              </w:rPr>
            </w:pPr>
            <w:r>
              <w:rPr>
                <w:rFonts w:ascii="Arial" w:cs="Arial" w:eastAsia="Arial" w:hAnsi="Arial"/>
                <w:sz w:val="16"/>
                <w:szCs w:val="16"/>
                <w:b w:val="1"/>
                <w:bCs w:val="1"/>
                <w:color w:val="auto"/>
              </w:rPr>
              <w:t>Vanessa P. Williams</w:t>
            </w:r>
          </w:p>
        </w:tc>
        <w:tc>
          <w:tcPr>
            <w:tcW w:w="1740" w:type="dxa"/>
            <w:vAlign w:val="bottom"/>
            <w:gridSpan w:val="2"/>
          </w:tcPr>
          <w:p>
            <w:pPr>
              <w:jc w:val="center"/>
              <w:ind w:left="139"/>
              <w:spacing w:after="0"/>
              <w:rPr>
                <w:sz w:val="20"/>
                <w:szCs w:val="20"/>
                <w:color w:val="auto"/>
              </w:rPr>
            </w:pPr>
            <w:r>
              <w:rPr>
                <w:rFonts w:ascii="Arial" w:cs="Arial" w:eastAsia="Arial" w:hAnsi="Arial"/>
                <w:sz w:val="16"/>
                <w:szCs w:val="16"/>
                <w:color w:val="auto"/>
                <w:w w:val="99"/>
              </w:rPr>
              <w:t>2,377</w:t>
            </w:r>
          </w:p>
        </w:tc>
        <w:tc>
          <w:tcPr>
            <w:tcW w:w="1240" w:type="dxa"/>
            <w:vAlign w:val="bottom"/>
          </w:tcPr>
          <w:p>
            <w:pPr>
              <w:jc w:val="center"/>
              <w:ind w:left="162"/>
              <w:spacing w:after="0"/>
              <w:rPr>
                <w:sz w:val="20"/>
                <w:szCs w:val="20"/>
                <w:color w:val="auto"/>
              </w:rPr>
            </w:pPr>
            <w:r>
              <w:rPr>
                <w:rFonts w:ascii="Arial" w:cs="Arial" w:eastAsia="Arial" w:hAnsi="Arial"/>
                <w:sz w:val="16"/>
                <w:szCs w:val="16"/>
                <w:color w:val="auto"/>
                <w:w w:val="99"/>
              </w:rPr>
              <w:t>1,539</w:t>
            </w:r>
          </w:p>
        </w:tc>
        <w:tc>
          <w:tcPr>
            <w:tcW w:w="480" w:type="dxa"/>
            <w:vAlign w:val="bottom"/>
          </w:tcPr>
          <w:p>
            <w:pPr>
              <w:spacing w:after="0"/>
              <w:rPr>
                <w:sz w:val="20"/>
                <w:szCs w:val="20"/>
                <w:color w:val="auto"/>
              </w:rPr>
            </w:pPr>
          </w:p>
        </w:tc>
        <w:tc>
          <w:tcPr>
            <w:tcW w:w="1260" w:type="dxa"/>
            <w:vAlign w:val="bottom"/>
          </w:tcPr>
          <w:p>
            <w:pPr>
              <w:jc w:val="center"/>
              <w:ind w:right="164"/>
              <w:spacing w:after="0"/>
              <w:rPr>
                <w:sz w:val="20"/>
                <w:szCs w:val="20"/>
                <w:color w:val="auto"/>
              </w:rPr>
            </w:pPr>
            <w:r>
              <w:rPr>
                <w:rFonts w:ascii="Arial" w:cs="Arial" w:eastAsia="Arial" w:hAnsi="Arial"/>
                <w:sz w:val="16"/>
                <w:szCs w:val="16"/>
                <w:color w:val="auto"/>
              </w:rPr>
              <w:t>2,377</w:t>
            </w:r>
          </w:p>
        </w:tc>
        <w:tc>
          <w:tcPr>
            <w:tcW w:w="1240" w:type="dxa"/>
            <w:vAlign w:val="bottom"/>
          </w:tcPr>
          <w:p>
            <w:pPr>
              <w:jc w:val="center"/>
              <w:ind w:left="162"/>
              <w:spacing w:after="0"/>
              <w:rPr>
                <w:sz w:val="20"/>
                <w:szCs w:val="20"/>
                <w:color w:val="auto"/>
              </w:rPr>
            </w:pPr>
            <w:r>
              <w:rPr>
                <w:rFonts w:ascii="Arial" w:cs="Arial" w:eastAsia="Arial" w:hAnsi="Arial"/>
                <w:sz w:val="16"/>
                <w:szCs w:val="16"/>
                <w:color w:val="auto"/>
                <w:w w:val="99"/>
              </w:rPr>
              <w:t>1,877</w:t>
            </w:r>
          </w:p>
        </w:tc>
        <w:tc>
          <w:tcPr>
            <w:tcW w:w="1500" w:type="dxa"/>
            <w:vAlign w:val="bottom"/>
          </w:tcPr>
          <w:p>
            <w:pPr>
              <w:jc w:val="center"/>
              <w:ind w:left="383"/>
              <w:spacing w:after="0"/>
              <w:rPr>
                <w:sz w:val="20"/>
                <w:szCs w:val="20"/>
                <w:color w:val="auto"/>
              </w:rPr>
            </w:pPr>
            <w:r>
              <w:rPr>
                <w:rFonts w:ascii="Arial" w:cs="Arial" w:eastAsia="Arial" w:hAnsi="Arial"/>
                <w:sz w:val="16"/>
                <w:szCs w:val="16"/>
                <w:color w:val="auto"/>
                <w:w w:val="99"/>
              </w:rPr>
              <w:t>3,416</w:t>
            </w:r>
          </w:p>
        </w:tc>
        <w:tc>
          <w:tcPr>
            <w:tcW w:w="0" w:type="dxa"/>
            <w:vAlign w:val="bottom"/>
          </w:tcPr>
          <w:p>
            <w:pPr>
              <w:spacing w:after="0"/>
              <w:rPr>
                <w:sz w:val="1"/>
                <w:szCs w:val="1"/>
                <w:color w:val="auto"/>
              </w:rPr>
            </w:pPr>
          </w:p>
        </w:tc>
      </w:tr>
      <w:tr>
        <w:trPr>
          <w:trHeight w:val="243"/>
        </w:trPr>
        <w:tc>
          <w:tcPr>
            <w:tcW w:w="3560" w:type="dxa"/>
            <w:vAlign w:val="bottom"/>
            <w:tcBorders>
              <w:bottom w:val="single" w:sz="8" w:color="auto"/>
            </w:tcBorders>
            <w:shd w:val="clear" w:color="auto" w:fill="EDEDED"/>
          </w:tcPr>
          <w:p>
            <w:pPr>
              <w:ind w:left="80"/>
              <w:spacing w:after="0"/>
              <w:rPr>
                <w:sz w:val="20"/>
                <w:szCs w:val="20"/>
                <w:color w:val="auto"/>
              </w:rPr>
            </w:pPr>
            <w:r>
              <w:rPr>
                <w:rFonts w:ascii="Arial" w:cs="Arial" w:eastAsia="Arial" w:hAnsi="Arial"/>
                <w:sz w:val="16"/>
                <w:szCs w:val="16"/>
                <w:b w:val="1"/>
                <w:bCs w:val="1"/>
                <w:color w:val="auto"/>
              </w:rPr>
              <w:t>Darren L. Simons</w:t>
            </w:r>
          </w:p>
        </w:tc>
        <w:tc>
          <w:tcPr>
            <w:tcW w:w="1740" w:type="dxa"/>
            <w:vAlign w:val="bottom"/>
            <w:tcBorders>
              <w:bottom w:val="single" w:sz="8" w:color="auto"/>
            </w:tcBorders>
            <w:gridSpan w:val="2"/>
            <w:shd w:val="clear" w:color="auto" w:fill="EDEDED"/>
          </w:tcPr>
          <w:p>
            <w:pPr>
              <w:jc w:val="center"/>
              <w:ind w:left="139"/>
              <w:spacing w:after="0"/>
              <w:rPr>
                <w:sz w:val="20"/>
                <w:szCs w:val="20"/>
                <w:color w:val="auto"/>
              </w:rPr>
            </w:pPr>
            <w:r>
              <w:rPr>
                <w:rFonts w:ascii="Arial" w:cs="Arial" w:eastAsia="Arial" w:hAnsi="Arial"/>
                <w:sz w:val="16"/>
                <w:szCs w:val="16"/>
                <w:color w:val="auto"/>
                <w:w w:val="99"/>
              </w:rPr>
              <w:t>1,515</w:t>
            </w:r>
          </w:p>
        </w:tc>
        <w:tc>
          <w:tcPr>
            <w:tcW w:w="1240" w:type="dxa"/>
            <w:vAlign w:val="bottom"/>
            <w:tcBorders>
              <w:bottom w:val="single" w:sz="8" w:color="auto"/>
            </w:tcBorders>
            <w:shd w:val="clear" w:color="auto" w:fill="EDEDED"/>
          </w:tcPr>
          <w:p>
            <w:pPr>
              <w:jc w:val="center"/>
              <w:ind w:left="162"/>
              <w:spacing w:after="0"/>
              <w:rPr>
                <w:sz w:val="20"/>
                <w:szCs w:val="20"/>
                <w:color w:val="auto"/>
              </w:rPr>
            </w:pPr>
            <w:r>
              <w:rPr>
                <w:rFonts w:ascii="Arial" w:cs="Arial" w:eastAsia="Arial" w:hAnsi="Arial"/>
                <w:sz w:val="16"/>
                <w:szCs w:val="16"/>
                <w:color w:val="auto"/>
              </w:rPr>
              <w:t>981</w:t>
            </w:r>
          </w:p>
        </w:tc>
        <w:tc>
          <w:tcPr>
            <w:tcW w:w="480" w:type="dxa"/>
            <w:vAlign w:val="bottom"/>
            <w:tcBorders>
              <w:bottom w:val="single" w:sz="8" w:color="auto"/>
            </w:tcBorders>
            <w:shd w:val="clear" w:color="auto" w:fill="EDEDED"/>
          </w:tcPr>
          <w:p>
            <w:pPr>
              <w:spacing w:after="0"/>
              <w:rPr>
                <w:sz w:val="21"/>
                <w:szCs w:val="21"/>
                <w:color w:val="auto"/>
              </w:rPr>
            </w:pPr>
          </w:p>
        </w:tc>
        <w:tc>
          <w:tcPr>
            <w:tcW w:w="1260" w:type="dxa"/>
            <w:vAlign w:val="bottom"/>
            <w:tcBorders>
              <w:bottom w:val="single" w:sz="8" w:color="auto"/>
            </w:tcBorders>
            <w:shd w:val="clear" w:color="auto" w:fill="EDEDED"/>
          </w:tcPr>
          <w:p>
            <w:pPr>
              <w:jc w:val="center"/>
              <w:ind w:right="164"/>
              <w:spacing w:after="0"/>
              <w:rPr>
                <w:sz w:val="20"/>
                <w:szCs w:val="20"/>
                <w:color w:val="auto"/>
              </w:rPr>
            </w:pPr>
            <w:r>
              <w:rPr>
                <w:rFonts w:ascii="Arial" w:cs="Arial" w:eastAsia="Arial" w:hAnsi="Arial"/>
                <w:sz w:val="16"/>
                <w:szCs w:val="16"/>
                <w:color w:val="auto"/>
              </w:rPr>
              <w:t>1,515</w:t>
            </w:r>
          </w:p>
        </w:tc>
        <w:tc>
          <w:tcPr>
            <w:tcW w:w="1240" w:type="dxa"/>
            <w:vAlign w:val="bottom"/>
            <w:tcBorders>
              <w:bottom w:val="single" w:sz="8" w:color="auto"/>
            </w:tcBorders>
            <w:shd w:val="clear" w:color="auto" w:fill="EDEDED"/>
          </w:tcPr>
          <w:p>
            <w:pPr>
              <w:jc w:val="center"/>
              <w:ind w:left="162"/>
              <w:spacing w:after="0"/>
              <w:rPr>
                <w:sz w:val="20"/>
                <w:szCs w:val="20"/>
                <w:color w:val="auto"/>
              </w:rPr>
            </w:pPr>
            <w:r>
              <w:rPr>
                <w:rFonts w:ascii="Arial" w:cs="Arial" w:eastAsia="Arial" w:hAnsi="Arial"/>
                <w:sz w:val="16"/>
                <w:szCs w:val="16"/>
                <w:color w:val="auto"/>
                <w:w w:val="99"/>
              </w:rPr>
              <w:t>1,196</w:t>
            </w:r>
          </w:p>
        </w:tc>
        <w:tc>
          <w:tcPr>
            <w:tcW w:w="1500" w:type="dxa"/>
            <w:vAlign w:val="bottom"/>
            <w:tcBorders>
              <w:bottom w:val="single" w:sz="8" w:color="auto"/>
            </w:tcBorders>
            <w:shd w:val="clear" w:color="auto" w:fill="EDEDED"/>
          </w:tcPr>
          <w:p>
            <w:pPr>
              <w:jc w:val="center"/>
              <w:ind w:left="383"/>
              <w:spacing w:after="0"/>
              <w:rPr>
                <w:sz w:val="20"/>
                <w:szCs w:val="20"/>
                <w:color w:val="auto"/>
              </w:rPr>
            </w:pPr>
            <w:r>
              <w:rPr>
                <w:rFonts w:ascii="Arial" w:cs="Arial" w:eastAsia="Arial" w:hAnsi="Arial"/>
                <w:sz w:val="16"/>
                <w:szCs w:val="16"/>
                <w:color w:val="auto"/>
                <w:w w:val="99"/>
              </w:rPr>
              <w:t>2,177</w:t>
            </w:r>
          </w:p>
        </w:tc>
        <w:tc>
          <w:tcPr>
            <w:tcW w:w="0" w:type="dxa"/>
            <w:vAlign w:val="bottom"/>
          </w:tcPr>
          <w:p>
            <w:pPr>
              <w:spacing w:after="0"/>
              <w:rPr>
                <w:sz w:val="1"/>
                <w:szCs w:val="1"/>
                <w:color w:val="auto"/>
              </w:rPr>
            </w:pPr>
          </w:p>
        </w:tc>
      </w:tr>
    </w:tbl>
    <w:p>
      <w:pPr>
        <w:spacing w:after="0" w:line="312"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Restricted Stock</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Committee considers restricted stock to be an effective vehicle to support the Company’s long-term compensation objectives:</w:t>
      </w:r>
    </w:p>
    <w:p>
      <w:pPr>
        <w:spacing w:after="0" w:line="86"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alignment with shareholder interests;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facilitate retention through an extended pro rata vesting structure; and</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support meaningful stock ownership.</w:t>
      </w:r>
    </w:p>
    <w:p>
      <w:pPr>
        <w:spacing w:after="0" w:line="221" w:lineRule="exact"/>
        <w:rPr>
          <w:sz w:val="20"/>
          <w:szCs w:val="20"/>
          <w:color w:val="auto"/>
        </w:rPr>
      </w:pPr>
    </w:p>
    <w:p>
      <w:pPr>
        <w:ind w:left="120" w:right="200"/>
        <w:spacing w:after="0" w:line="253" w:lineRule="auto"/>
        <w:rPr>
          <w:sz w:val="20"/>
          <w:szCs w:val="20"/>
          <w:color w:val="auto"/>
        </w:rPr>
      </w:pPr>
      <w:r>
        <w:rPr>
          <w:rFonts w:ascii="Arial" w:cs="Arial" w:eastAsia="Arial" w:hAnsi="Arial"/>
          <w:sz w:val="16"/>
          <w:szCs w:val="16"/>
          <w:color w:val="auto"/>
        </w:rPr>
        <w:t>At its February 15, 2022 meeting, the Committee approved restricted stock grants for senior officers, including the named executive officers, which vest ratably over four years, as detailed in the Summary Compensation Table and the Grants of Plan Based Awards Table. This grant of restricted shares represents 25% of each senior officer’s target long-term incentive grant. The Company believes that restricted stock is an important component of total compensation for our named executive officers and the four-year, pro rata vesting feature supports the Company’s retention objective. Any remaining unvested portion of restricted stock awards is forfeited upon voluntary termination, normal retirement, and involuntary termination for cause or not for cause, unless termination not for cause is in connection with a change in control. In the case of termination not for cause in connection with a change in control, all restricted stock shares or units vest immediately. Restricted stock is prorated in the event of termination due to death or disability.</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Special Awards</w:t>
      </w:r>
    </w:p>
    <w:p>
      <w:pPr>
        <w:spacing w:after="0" w:line="111" w:lineRule="exact"/>
        <w:rPr>
          <w:sz w:val="20"/>
          <w:szCs w:val="20"/>
          <w:color w:val="auto"/>
        </w:rPr>
      </w:pPr>
    </w:p>
    <w:p>
      <w:pPr>
        <w:ind w:left="120" w:right="40"/>
        <w:spacing w:after="0" w:line="249" w:lineRule="auto"/>
        <w:rPr>
          <w:sz w:val="20"/>
          <w:szCs w:val="20"/>
          <w:color w:val="auto"/>
        </w:rPr>
      </w:pPr>
      <w:r>
        <w:rPr>
          <w:rFonts w:ascii="Arial" w:cs="Arial" w:eastAsia="Arial" w:hAnsi="Arial"/>
          <w:sz w:val="16"/>
          <w:szCs w:val="16"/>
          <w:color w:val="auto"/>
        </w:rPr>
        <w:t>During their December 17, 2021 special session, the Committee approved performance contingent restricted stock grants (KEEP Awards) for senior officers, including the named executive officers, and certain other senior leaders. These grants of restricted stock units have three financial measure hurdles that must be achieved in order for shares to become earned and eligible for vesting. The grants are split evenly between Company conversion rate, specialty gross profit mix, and Company gross profit and can be earned independently on each measure. The measures were selected to reflect goals that when achieved will reflect improved earnings and business mix positioning relative to our peers. Achievement of the goals requires sustained growth and must be achieved for two consecutive quarters. In January 2023, the Committee approved an adjustment in the vesting for the Company gross profit portion of this award to 50% upon certification and the remaining 50% six months after certification. The gross profit goal was achieved in 2022 and as a result during its February 14, 2023 meeting, the Committee approved the shares for vesting. The conversion rate and specialty gross profit mix milestones have the potential to cliff vest three years after results are certified by the Committee. Any remaining unvested portion of restricted stock units are forfeited upon voluntary termination, normal retirement, and involuntary termination for cause, unless termination not for cause is in connection with a change in control. In the case of termination not for cause in connection with a change in control, all restricted stock awards or units vest immediately. This award opportunity is prorated in the event of termination due to death or disability, or if employed at least one year after grant date, following involuntary termination without cause.</w:t>
      </w:r>
    </w:p>
    <w:p>
      <w:pPr>
        <w:spacing w:after="0" w:line="112" w:lineRule="exact"/>
        <w:rPr>
          <w:sz w:val="20"/>
          <w:szCs w:val="20"/>
          <w:color w:val="auto"/>
        </w:rPr>
      </w:pPr>
    </w:p>
    <w:p>
      <w:pPr>
        <w:ind w:left="10820"/>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1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-142875</wp:posOffset>
            </wp:positionV>
            <wp:extent cx="411480" cy="1968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4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360" w:type="dxa"/>
            <w:vAlign w:val="bottom"/>
          </w:tcPr>
          <w:p>
            <w:pPr>
              <w:jc w:val="center"/>
              <w:ind w:left="142"/>
              <w:spacing w:after="0"/>
              <w:rPr>
                <w:sz w:val="20"/>
                <w:szCs w:val="20"/>
                <w:color w:val="auto"/>
              </w:rPr>
            </w:pPr>
            <w:r>
              <w:rPr>
                <w:rFonts w:ascii="Arial" w:cs="Arial" w:eastAsia="Arial" w:hAnsi="Arial"/>
                <w:sz w:val="14"/>
                <w:szCs w:val="14"/>
                <w:b w:val="1"/>
                <w:bCs w:val="1"/>
                <w:color w:val="00AF41"/>
              </w:rPr>
              <w:t>Financial Measure:</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00AF41"/>
              </w:rPr>
              <w:t>Financial Measure:</w:t>
            </w:r>
          </w:p>
        </w:tc>
        <w:tc>
          <w:tcPr>
            <w:tcW w:w="1700" w:type="dxa"/>
            <w:vAlign w:val="bottom"/>
          </w:tcPr>
          <w:p>
            <w:pPr>
              <w:jc w:val="center"/>
              <w:ind w:left="202"/>
              <w:spacing w:after="0"/>
              <w:rPr>
                <w:sz w:val="20"/>
                <w:szCs w:val="20"/>
                <w:color w:val="auto"/>
              </w:rPr>
            </w:pPr>
            <w:r>
              <w:rPr>
                <w:rFonts w:ascii="Arial" w:cs="Arial" w:eastAsia="Arial" w:hAnsi="Arial"/>
                <w:sz w:val="14"/>
                <w:szCs w:val="14"/>
                <w:b w:val="1"/>
                <w:bCs w:val="1"/>
                <w:color w:val="00AF41"/>
              </w:rPr>
              <w:t>Financial Measure:</w:t>
            </w:r>
          </w:p>
        </w:tc>
      </w:tr>
      <w:tr>
        <w:trPr>
          <w:trHeight w:val="162"/>
        </w:trPr>
        <w:tc>
          <w:tcPr>
            <w:tcW w:w="5040" w:type="dxa"/>
            <w:vAlign w:val="bottom"/>
          </w:tcPr>
          <w:p>
            <w:pPr>
              <w:spacing w:after="0"/>
              <w:rPr>
                <w:sz w:val="14"/>
                <w:szCs w:val="14"/>
                <w:color w:val="auto"/>
              </w:rPr>
            </w:pPr>
          </w:p>
        </w:tc>
        <w:tc>
          <w:tcPr>
            <w:tcW w:w="2360" w:type="dxa"/>
            <w:vAlign w:val="bottom"/>
          </w:tcPr>
          <w:p>
            <w:pPr>
              <w:jc w:val="center"/>
              <w:ind w:left="142"/>
              <w:spacing w:after="0"/>
              <w:rPr>
                <w:sz w:val="20"/>
                <w:szCs w:val="20"/>
                <w:color w:val="auto"/>
              </w:rPr>
            </w:pPr>
            <w:r>
              <w:rPr>
                <w:rFonts w:ascii="Arial" w:cs="Arial" w:eastAsia="Arial" w:hAnsi="Arial"/>
                <w:sz w:val="14"/>
                <w:szCs w:val="14"/>
                <w:b w:val="1"/>
                <w:bCs w:val="1"/>
                <w:color w:val="00AF41"/>
              </w:rPr>
              <w:t>Specialty Gross Profit</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00AF41"/>
              </w:rPr>
              <w:t>Conversion Rate</w:t>
            </w:r>
          </w:p>
        </w:tc>
        <w:tc>
          <w:tcPr>
            <w:tcW w:w="1700" w:type="dxa"/>
            <w:vAlign w:val="bottom"/>
          </w:tcPr>
          <w:p>
            <w:pPr>
              <w:jc w:val="center"/>
              <w:ind w:left="222"/>
              <w:spacing w:after="0"/>
              <w:rPr>
                <w:sz w:val="20"/>
                <w:szCs w:val="20"/>
                <w:color w:val="auto"/>
              </w:rPr>
            </w:pPr>
            <w:r>
              <w:rPr>
                <w:rFonts w:ascii="Arial" w:cs="Arial" w:eastAsia="Arial" w:hAnsi="Arial"/>
                <w:sz w:val="14"/>
                <w:szCs w:val="14"/>
                <w:b w:val="1"/>
                <w:bCs w:val="1"/>
                <w:color w:val="00AF41"/>
              </w:rPr>
              <w:t>Gross Profit</w:t>
            </w:r>
          </w:p>
        </w:tc>
      </w:tr>
      <w:tr>
        <w:trPr>
          <w:trHeight w:val="197"/>
        </w:trPr>
        <w:tc>
          <w:tcPr>
            <w:tcW w:w="50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AF41"/>
              </w:rPr>
              <w:t>Name</w:t>
            </w:r>
          </w:p>
        </w:tc>
        <w:tc>
          <w:tcPr>
            <w:tcW w:w="236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00AF41"/>
              </w:rPr>
              <w:t>Target # of Shares</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AF41"/>
              </w:rPr>
              <w:t>Target # of Shares</w:t>
            </w:r>
          </w:p>
        </w:tc>
        <w:tc>
          <w:tcPr>
            <w:tcW w:w="1700" w:type="dxa"/>
            <w:vAlign w:val="bottom"/>
            <w:tcBorders>
              <w:bottom w:val="single" w:sz="8" w:color="auto"/>
            </w:tcBorders>
          </w:tcPr>
          <w:p>
            <w:pPr>
              <w:jc w:val="center"/>
              <w:ind w:left="202"/>
              <w:spacing w:after="0"/>
              <w:rPr>
                <w:sz w:val="20"/>
                <w:szCs w:val="20"/>
                <w:color w:val="auto"/>
              </w:rPr>
            </w:pPr>
            <w:r>
              <w:rPr>
                <w:rFonts w:ascii="Arial" w:cs="Arial" w:eastAsia="Arial" w:hAnsi="Arial"/>
                <w:sz w:val="14"/>
                <w:szCs w:val="14"/>
                <w:b w:val="1"/>
                <w:bCs w:val="1"/>
                <w:color w:val="00AF41"/>
              </w:rPr>
              <w:t>Total Shares Earned</w:t>
            </w:r>
          </w:p>
        </w:tc>
      </w:tr>
      <w:tr>
        <w:trPr>
          <w:trHeight w:val="224"/>
        </w:trPr>
        <w:tc>
          <w:tcPr>
            <w:tcW w:w="5040" w:type="dxa"/>
            <w:vAlign w:val="bottom"/>
            <w:shd w:val="clear" w:color="auto" w:fill="EDEDED"/>
          </w:tcPr>
          <w:p>
            <w:pPr>
              <w:ind w:left="80"/>
              <w:spacing w:after="0"/>
              <w:rPr>
                <w:sz w:val="20"/>
                <w:szCs w:val="20"/>
                <w:color w:val="auto"/>
              </w:rPr>
            </w:pPr>
            <w:r>
              <w:rPr>
                <w:rFonts w:ascii="Arial" w:cs="Arial" w:eastAsia="Arial" w:hAnsi="Arial"/>
                <w:sz w:val="16"/>
                <w:szCs w:val="16"/>
                <w:b w:val="1"/>
                <w:bCs w:val="1"/>
                <w:color w:val="auto"/>
              </w:rPr>
              <w:t>Peter W. Quigley</w:t>
            </w:r>
          </w:p>
        </w:tc>
        <w:tc>
          <w:tcPr>
            <w:tcW w:w="2360" w:type="dxa"/>
            <w:vAlign w:val="bottom"/>
            <w:shd w:val="clear" w:color="auto" w:fill="EDEDED"/>
          </w:tcPr>
          <w:p>
            <w:pPr>
              <w:jc w:val="center"/>
              <w:ind w:left="142"/>
              <w:spacing w:after="0"/>
              <w:rPr>
                <w:sz w:val="20"/>
                <w:szCs w:val="20"/>
                <w:color w:val="auto"/>
              </w:rPr>
            </w:pPr>
            <w:r>
              <w:rPr>
                <w:rFonts w:ascii="Arial" w:cs="Arial" w:eastAsia="Arial" w:hAnsi="Arial"/>
                <w:sz w:val="16"/>
                <w:szCs w:val="16"/>
                <w:color w:val="auto"/>
              </w:rPr>
              <w:t>21,857</w:t>
            </w:r>
          </w:p>
        </w:tc>
        <w:tc>
          <w:tcPr>
            <w:tcW w:w="192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21,857</w:t>
            </w:r>
          </w:p>
        </w:tc>
        <w:tc>
          <w:tcPr>
            <w:tcW w:w="1700" w:type="dxa"/>
            <w:vAlign w:val="bottom"/>
            <w:shd w:val="clear" w:color="auto" w:fill="EDEDED"/>
          </w:tcPr>
          <w:p>
            <w:pPr>
              <w:jc w:val="center"/>
              <w:ind w:left="202"/>
              <w:spacing w:after="0"/>
              <w:rPr>
                <w:sz w:val="20"/>
                <w:szCs w:val="20"/>
                <w:color w:val="auto"/>
              </w:rPr>
            </w:pPr>
            <w:r>
              <w:rPr>
                <w:rFonts w:ascii="Arial" w:cs="Arial" w:eastAsia="Arial" w:hAnsi="Arial"/>
                <w:sz w:val="16"/>
                <w:szCs w:val="16"/>
                <w:color w:val="auto"/>
              </w:rPr>
              <w:t>21,922</w:t>
            </w:r>
          </w:p>
        </w:tc>
      </w:tr>
      <w:tr>
        <w:trPr>
          <w:trHeight w:val="239"/>
        </w:trPr>
        <w:tc>
          <w:tcPr>
            <w:tcW w:w="5040" w:type="dxa"/>
            <w:vAlign w:val="bottom"/>
          </w:tcPr>
          <w:p>
            <w:pPr>
              <w:ind w:left="80"/>
              <w:spacing w:after="0"/>
              <w:rPr>
                <w:sz w:val="20"/>
                <w:szCs w:val="20"/>
                <w:color w:val="auto"/>
              </w:rPr>
            </w:pPr>
            <w:r>
              <w:rPr>
                <w:rFonts w:ascii="Arial" w:cs="Arial" w:eastAsia="Arial" w:hAnsi="Arial"/>
                <w:sz w:val="16"/>
                <w:szCs w:val="16"/>
                <w:b w:val="1"/>
                <w:bCs w:val="1"/>
                <w:color w:val="auto"/>
              </w:rPr>
              <w:t>Olivier G. Thirot</w:t>
            </w:r>
          </w:p>
        </w:tc>
        <w:tc>
          <w:tcPr>
            <w:tcW w:w="2360" w:type="dxa"/>
            <w:vAlign w:val="bottom"/>
          </w:tcPr>
          <w:p>
            <w:pPr>
              <w:jc w:val="center"/>
              <w:ind w:left="142"/>
              <w:spacing w:after="0"/>
              <w:rPr>
                <w:sz w:val="20"/>
                <w:szCs w:val="20"/>
                <w:color w:val="auto"/>
              </w:rPr>
            </w:pPr>
            <w:r>
              <w:rPr>
                <w:rFonts w:ascii="Arial" w:cs="Arial" w:eastAsia="Arial" w:hAnsi="Arial"/>
                <w:sz w:val="16"/>
                <w:szCs w:val="16"/>
                <w:color w:val="auto"/>
              </w:rPr>
              <w:t>17,971</w:t>
            </w:r>
          </w:p>
        </w:tc>
        <w:tc>
          <w:tcPr>
            <w:tcW w:w="1920" w:type="dxa"/>
            <w:vAlign w:val="bottom"/>
          </w:tcPr>
          <w:p>
            <w:pPr>
              <w:jc w:val="center"/>
              <w:spacing w:after="0"/>
              <w:rPr>
                <w:sz w:val="20"/>
                <w:szCs w:val="20"/>
                <w:color w:val="auto"/>
              </w:rPr>
            </w:pPr>
            <w:r>
              <w:rPr>
                <w:rFonts w:ascii="Arial" w:cs="Arial" w:eastAsia="Arial" w:hAnsi="Arial"/>
                <w:sz w:val="16"/>
                <w:szCs w:val="16"/>
                <w:color w:val="auto"/>
              </w:rPr>
              <w:t>17,971</w:t>
            </w:r>
          </w:p>
        </w:tc>
        <w:tc>
          <w:tcPr>
            <w:tcW w:w="1700" w:type="dxa"/>
            <w:vAlign w:val="bottom"/>
          </w:tcPr>
          <w:p>
            <w:pPr>
              <w:jc w:val="center"/>
              <w:ind w:left="202"/>
              <w:spacing w:after="0"/>
              <w:rPr>
                <w:sz w:val="20"/>
                <w:szCs w:val="20"/>
                <w:color w:val="auto"/>
              </w:rPr>
            </w:pPr>
            <w:r>
              <w:rPr>
                <w:rFonts w:ascii="Arial" w:cs="Arial" w:eastAsia="Arial" w:hAnsi="Arial"/>
                <w:sz w:val="16"/>
                <w:szCs w:val="16"/>
                <w:color w:val="auto"/>
              </w:rPr>
              <w:t>18,025</w:t>
            </w:r>
          </w:p>
        </w:tc>
      </w:tr>
      <w:tr>
        <w:trPr>
          <w:trHeight w:val="247"/>
        </w:trPr>
        <w:tc>
          <w:tcPr>
            <w:tcW w:w="5040" w:type="dxa"/>
            <w:vAlign w:val="bottom"/>
            <w:shd w:val="clear" w:color="auto" w:fill="EDEDED"/>
          </w:tcPr>
          <w:p>
            <w:pPr>
              <w:ind w:left="80"/>
              <w:spacing w:after="0"/>
              <w:rPr>
                <w:sz w:val="20"/>
                <w:szCs w:val="20"/>
                <w:color w:val="auto"/>
              </w:rPr>
            </w:pPr>
            <w:r>
              <w:rPr>
                <w:rFonts w:ascii="Arial" w:cs="Arial" w:eastAsia="Arial" w:hAnsi="Arial"/>
                <w:sz w:val="16"/>
                <w:szCs w:val="16"/>
                <w:b w:val="1"/>
                <w:bCs w:val="1"/>
                <w:color w:val="auto"/>
              </w:rPr>
              <w:t>Dinette Koolhaas</w:t>
            </w:r>
          </w:p>
        </w:tc>
        <w:tc>
          <w:tcPr>
            <w:tcW w:w="2360" w:type="dxa"/>
            <w:vAlign w:val="bottom"/>
            <w:shd w:val="clear" w:color="auto" w:fill="EDEDED"/>
          </w:tcPr>
          <w:p>
            <w:pPr>
              <w:jc w:val="center"/>
              <w:ind w:left="142"/>
              <w:spacing w:after="0"/>
              <w:rPr>
                <w:sz w:val="20"/>
                <w:szCs w:val="20"/>
                <w:color w:val="auto"/>
              </w:rPr>
            </w:pPr>
            <w:r>
              <w:rPr>
                <w:rFonts w:ascii="Arial" w:cs="Arial" w:eastAsia="Arial" w:hAnsi="Arial"/>
                <w:sz w:val="16"/>
                <w:szCs w:val="16"/>
                <w:color w:val="auto"/>
              </w:rPr>
              <w:t>4,856</w:t>
            </w:r>
          </w:p>
        </w:tc>
        <w:tc>
          <w:tcPr>
            <w:tcW w:w="192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4,856</w:t>
            </w:r>
          </w:p>
        </w:tc>
        <w:tc>
          <w:tcPr>
            <w:tcW w:w="1700" w:type="dxa"/>
            <w:vAlign w:val="bottom"/>
            <w:shd w:val="clear" w:color="auto" w:fill="EDEDED"/>
          </w:tcPr>
          <w:p>
            <w:pPr>
              <w:jc w:val="center"/>
              <w:ind w:left="222"/>
              <w:spacing w:after="0"/>
              <w:rPr>
                <w:sz w:val="20"/>
                <w:szCs w:val="20"/>
                <w:color w:val="auto"/>
              </w:rPr>
            </w:pPr>
            <w:r>
              <w:rPr>
                <w:rFonts w:ascii="Arial" w:cs="Arial" w:eastAsia="Arial" w:hAnsi="Arial"/>
                <w:sz w:val="16"/>
                <w:szCs w:val="16"/>
                <w:color w:val="auto"/>
                <w:w w:val="99"/>
              </w:rPr>
              <w:t>4,873</w:t>
            </w:r>
          </w:p>
        </w:tc>
      </w:tr>
      <w:tr>
        <w:trPr>
          <w:trHeight w:val="239"/>
        </w:trPr>
        <w:tc>
          <w:tcPr>
            <w:tcW w:w="5040" w:type="dxa"/>
            <w:vAlign w:val="bottom"/>
          </w:tcPr>
          <w:p>
            <w:pPr>
              <w:ind w:left="80"/>
              <w:spacing w:after="0"/>
              <w:rPr>
                <w:sz w:val="20"/>
                <w:szCs w:val="20"/>
                <w:color w:val="auto"/>
              </w:rPr>
            </w:pPr>
            <w:r>
              <w:rPr>
                <w:rFonts w:ascii="Arial" w:cs="Arial" w:eastAsia="Arial" w:hAnsi="Arial"/>
                <w:sz w:val="16"/>
                <w:szCs w:val="16"/>
                <w:b w:val="1"/>
                <w:bCs w:val="1"/>
                <w:color w:val="auto"/>
              </w:rPr>
              <w:t>Vanessa P. Williams</w:t>
            </w:r>
          </w:p>
        </w:tc>
        <w:tc>
          <w:tcPr>
            <w:tcW w:w="2360" w:type="dxa"/>
            <w:vAlign w:val="bottom"/>
          </w:tcPr>
          <w:p>
            <w:pPr>
              <w:jc w:val="center"/>
              <w:ind w:left="142"/>
              <w:spacing w:after="0"/>
              <w:rPr>
                <w:sz w:val="20"/>
                <w:szCs w:val="20"/>
                <w:color w:val="auto"/>
              </w:rPr>
            </w:pPr>
            <w:r>
              <w:rPr>
                <w:rFonts w:ascii="Arial" w:cs="Arial" w:eastAsia="Arial" w:hAnsi="Arial"/>
                <w:sz w:val="16"/>
                <w:szCs w:val="16"/>
                <w:color w:val="auto"/>
              </w:rPr>
              <w:t>5,343</w:t>
            </w:r>
          </w:p>
        </w:tc>
        <w:tc>
          <w:tcPr>
            <w:tcW w:w="1920" w:type="dxa"/>
            <w:vAlign w:val="bottom"/>
          </w:tcPr>
          <w:p>
            <w:pPr>
              <w:jc w:val="center"/>
              <w:spacing w:after="0"/>
              <w:rPr>
                <w:sz w:val="20"/>
                <w:szCs w:val="20"/>
                <w:color w:val="auto"/>
              </w:rPr>
            </w:pPr>
            <w:r>
              <w:rPr>
                <w:rFonts w:ascii="Arial" w:cs="Arial" w:eastAsia="Arial" w:hAnsi="Arial"/>
                <w:sz w:val="16"/>
                <w:szCs w:val="16"/>
                <w:color w:val="auto"/>
              </w:rPr>
              <w:t>5,343</w:t>
            </w:r>
          </w:p>
        </w:tc>
        <w:tc>
          <w:tcPr>
            <w:tcW w:w="1700" w:type="dxa"/>
            <w:vAlign w:val="bottom"/>
          </w:tcPr>
          <w:p>
            <w:pPr>
              <w:jc w:val="center"/>
              <w:ind w:left="222"/>
              <w:spacing w:after="0"/>
              <w:rPr>
                <w:sz w:val="20"/>
                <w:szCs w:val="20"/>
                <w:color w:val="auto"/>
              </w:rPr>
            </w:pPr>
            <w:r>
              <w:rPr>
                <w:rFonts w:ascii="Arial" w:cs="Arial" w:eastAsia="Arial" w:hAnsi="Arial"/>
                <w:sz w:val="16"/>
                <w:szCs w:val="16"/>
                <w:color w:val="auto"/>
                <w:w w:val="99"/>
              </w:rPr>
              <w:t>5,359</w:t>
            </w:r>
          </w:p>
        </w:tc>
      </w:tr>
      <w:tr>
        <w:trPr>
          <w:trHeight w:val="243"/>
        </w:trPr>
        <w:tc>
          <w:tcPr>
            <w:tcW w:w="5040" w:type="dxa"/>
            <w:vAlign w:val="bottom"/>
            <w:tcBorders>
              <w:bottom w:val="single" w:sz="8" w:color="auto"/>
            </w:tcBorders>
            <w:shd w:val="clear" w:color="auto" w:fill="EDEDED"/>
          </w:tcPr>
          <w:p>
            <w:pPr>
              <w:ind w:left="80"/>
              <w:spacing w:after="0"/>
              <w:rPr>
                <w:sz w:val="20"/>
                <w:szCs w:val="20"/>
                <w:color w:val="auto"/>
              </w:rPr>
            </w:pPr>
            <w:r>
              <w:rPr>
                <w:rFonts w:ascii="Arial" w:cs="Arial" w:eastAsia="Arial" w:hAnsi="Arial"/>
                <w:sz w:val="16"/>
                <w:szCs w:val="16"/>
                <w:b w:val="1"/>
                <w:bCs w:val="1"/>
                <w:color w:val="auto"/>
              </w:rPr>
              <w:t>Darren L. Simons</w:t>
            </w:r>
          </w:p>
        </w:tc>
        <w:tc>
          <w:tcPr>
            <w:tcW w:w="2360" w:type="dxa"/>
            <w:vAlign w:val="bottom"/>
            <w:tcBorders>
              <w:bottom w:val="single" w:sz="8" w:color="auto"/>
            </w:tcBorders>
            <w:shd w:val="clear" w:color="auto" w:fill="EDEDED"/>
          </w:tcPr>
          <w:p>
            <w:pPr>
              <w:jc w:val="center"/>
              <w:ind w:left="142"/>
              <w:spacing w:after="0"/>
              <w:rPr>
                <w:sz w:val="20"/>
                <w:szCs w:val="20"/>
                <w:color w:val="auto"/>
              </w:rPr>
            </w:pPr>
            <w:r>
              <w:rPr>
                <w:rFonts w:ascii="Arial" w:cs="Arial" w:eastAsia="Arial" w:hAnsi="Arial"/>
                <w:sz w:val="16"/>
                <w:szCs w:val="16"/>
                <w:color w:val="auto"/>
              </w:rPr>
              <w:t>7,771</w:t>
            </w:r>
          </w:p>
        </w:tc>
        <w:tc>
          <w:tcPr>
            <w:tcW w:w="1920" w:type="dxa"/>
            <w:vAlign w:val="bottom"/>
            <w:tcBorders>
              <w:bottom w:val="single" w:sz="8" w:color="auto"/>
            </w:tcBorders>
            <w:shd w:val="clear" w:color="auto" w:fill="EDEDED"/>
          </w:tcPr>
          <w:p>
            <w:pPr>
              <w:jc w:val="center"/>
              <w:spacing w:after="0"/>
              <w:rPr>
                <w:sz w:val="20"/>
                <w:szCs w:val="20"/>
                <w:color w:val="auto"/>
              </w:rPr>
            </w:pPr>
            <w:r>
              <w:rPr>
                <w:rFonts w:ascii="Arial" w:cs="Arial" w:eastAsia="Arial" w:hAnsi="Arial"/>
                <w:sz w:val="16"/>
                <w:szCs w:val="16"/>
                <w:color w:val="auto"/>
              </w:rPr>
              <w:t>7,771</w:t>
            </w:r>
          </w:p>
        </w:tc>
        <w:tc>
          <w:tcPr>
            <w:tcW w:w="1700" w:type="dxa"/>
            <w:vAlign w:val="bottom"/>
            <w:tcBorders>
              <w:bottom w:val="single" w:sz="8" w:color="auto"/>
            </w:tcBorders>
            <w:shd w:val="clear" w:color="auto" w:fill="EDEDED"/>
          </w:tcPr>
          <w:p>
            <w:pPr>
              <w:jc w:val="center"/>
              <w:ind w:left="222"/>
              <w:spacing w:after="0"/>
              <w:rPr>
                <w:sz w:val="20"/>
                <w:szCs w:val="20"/>
                <w:color w:val="auto"/>
              </w:rPr>
            </w:pPr>
            <w:r>
              <w:rPr>
                <w:rFonts w:ascii="Arial" w:cs="Arial" w:eastAsia="Arial" w:hAnsi="Arial"/>
                <w:sz w:val="16"/>
                <w:szCs w:val="16"/>
                <w:color w:val="auto"/>
                <w:w w:val="99"/>
              </w:rPr>
              <w:t>7,795</w:t>
            </w:r>
          </w:p>
        </w:tc>
      </w:tr>
    </w:tbl>
    <w:p>
      <w:pPr>
        <w:spacing w:after="0" w:line="202"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In 2022, there was a special recognition grant made to Mr. Simons. The Committee approved a grant of restricted stock valued at approximately $200,000 for Mr. Simons as noted in the Grants of Plan-Based Awards Table. These shares will cliff vest on the second anniversary date of the grant, which was made on June 15, 2022.</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Retirement Benefits</w:t>
      </w:r>
    </w:p>
    <w:p>
      <w:pPr>
        <w:spacing w:after="0" w:line="111" w:lineRule="exact"/>
        <w:rPr>
          <w:sz w:val="20"/>
          <w:szCs w:val="20"/>
          <w:color w:val="auto"/>
        </w:rPr>
      </w:pPr>
    </w:p>
    <w:p>
      <w:pPr>
        <w:ind w:left="120" w:right="80"/>
        <w:spacing w:after="0" w:line="250" w:lineRule="auto"/>
        <w:rPr>
          <w:sz w:val="20"/>
          <w:szCs w:val="20"/>
          <w:color w:val="auto"/>
        </w:rPr>
      </w:pPr>
      <w:r>
        <w:rPr>
          <w:rFonts w:ascii="Arial" w:cs="Arial" w:eastAsia="Arial" w:hAnsi="Arial"/>
          <w:sz w:val="16"/>
          <w:szCs w:val="16"/>
          <w:color w:val="auto"/>
        </w:rPr>
        <w:t>Highly compensated employees in the U.S. are not eligible to participate in the Company’s qualified 401(k) plan. In order to provide a competitive total compensation package, the Company has established the Management Retirement Plan (the “MRP”). The MRP is a U.S. nonqualified defined contribution/deferred compensation plan available to all highly compensated employees, including the named executive officers, as outlined by Section 414(q)(1)(B)(i) of the Code. Employees who are working in the U.S. while on an international assignment are not eligible to participate in the MRP. All participants in the MRP can elect to defer from 2% to 25% of their annual base earnings and 2% to 50% of their annual cash incentive earnings. Matching contributions by the Company equal 50% of the first 10% of base salary and annual cash incentives deferred by a participant. Other than the MRP, there are no other retirement income plans available to the Company’s highly compensated employees in the U.S. The MRP provides all participants, including the named executive officers, with a tax gross-up of Medicare taxes incurred on contributions to the plan. The Medicare tax gross-up provides for parity with other employees who are eligible to participate in the Company’s tax-qualified 401(k) plan and therefore do not pay Medicare tax on Company contributions.</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Mr. Thirot’s Retirement Benefits</w:t>
      </w:r>
    </w:p>
    <w:p>
      <w:pPr>
        <w:spacing w:after="0" w:line="111"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6"/>
          <w:szCs w:val="16"/>
          <w:color w:val="auto"/>
        </w:rPr>
        <w:t>As a resident of Switzerland, Mr. Thirot participates in the Swiss Social Insurance System (“Swiss System”) that provides retirement, disability, and death benefits. His Swiss retirement benefit includes contributions that he makes to the fund, as well as Company contributions that are made to the fund on his behalf. Mr. Thirot participated in the MRP during the period 2017-2021 while he was localized in the U.S. and retains a benefit from both his contributions and contributions the Company made on his behalf to that plan.</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Ms. Koolhaas’ Retirement Benefits</w:t>
      </w:r>
    </w:p>
    <w:p>
      <w:pPr>
        <w:spacing w:after="0" w:line="111" w:lineRule="exact"/>
        <w:rPr>
          <w:sz w:val="20"/>
          <w:szCs w:val="20"/>
          <w:color w:val="auto"/>
        </w:rPr>
      </w:pPr>
    </w:p>
    <w:p>
      <w:pPr>
        <w:jc w:val="both"/>
        <w:ind w:left="120" w:right="160"/>
        <w:spacing w:after="0" w:line="266" w:lineRule="auto"/>
        <w:rPr>
          <w:sz w:val="20"/>
          <w:szCs w:val="20"/>
          <w:color w:val="auto"/>
        </w:rPr>
      </w:pPr>
      <w:r>
        <w:rPr>
          <w:rFonts w:ascii="Arial" w:cs="Arial" w:eastAsia="Arial" w:hAnsi="Arial"/>
          <w:sz w:val="16"/>
          <w:szCs w:val="16"/>
          <w:color w:val="auto"/>
        </w:rPr>
        <w:t>As a resident of Switzerland, Ms. Koolhaas also participates in the Swiss System that provides retirement, disability, and death benefits. Her retirement benefit includes contributions that she makes to the fund, as well as Company contributions that are made to the fund on her behalf. Ms. Koolhaas does not participate in any U.S.- based retirement plans.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Health and Welfare Benefits</w:t>
      </w:r>
    </w:p>
    <w:p>
      <w:pPr>
        <w:spacing w:after="0" w:line="111"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The health and welfare plans, including Company-provided life insurance, provided to U.S.-based named executive officers are the same plans available to all regular staff employees.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Mr. Thirot’s Health and Welfare Benefits</w:t>
      </w:r>
    </w:p>
    <w:p>
      <w:pPr>
        <w:spacing w:after="0" w:line="111" w:lineRule="exact"/>
        <w:rPr>
          <w:sz w:val="20"/>
          <w:szCs w:val="20"/>
          <w:color w:val="auto"/>
        </w:rPr>
      </w:pPr>
    </w:p>
    <w:p>
      <w:pPr>
        <w:ind w:left="120" w:right="240"/>
        <w:spacing w:after="0" w:line="266" w:lineRule="auto"/>
        <w:rPr>
          <w:sz w:val="20"/>
          <w:szCs w:val="20"/>
          <w:color w:val="auto"/>
        </w:rPr>
      </w:pPr>
      <w:r>
        <w:rPr>
          <w:rFonts w:ascii="Arial" w:cs="Arial" w:eastAsia="Arial" w:hAnsi="Arial"/>
          <w:sz w:val="16"/>
          <w:szCs w:val="16"/>
          <w:color w:val="auto"/>
        </w:rPr>
        <w:t>Mr. Thirot is required by Swiss law to carry health care coverage. However, the Company’s Swiss entity does not provide health care coverage to its employees, nor do we provide Mr. Thirot with a health care allowance. Under the Swiss System, Mr. Thirot’s spouse is eligible to receive benefits in the event of his death from sickness or accident. He no longer participates in any U.S. health and welfare benefit programs.</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77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-142875</wp:posOffset>
            </wp:positionV>
            <wp:extent cx="411480" cy="1968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Ms. Koolhaas’ Health and Welfare Benefits</w:t>
      </w:r>
    </w:p>
    <w:p>
      <w:pPr>
        <w:spacing w:after="0" w:line="111"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auto"/>
        </w:rPr>
        <w:t>Ms. Koolhaas receives a health care allowance as part of her Swiss compensation that is intended to help defray the cost of obtaining health care coverage for herself and her family in Switzerland. Residents in Switzerland are required to carry health care coverage, however it is not common for Swiss companies to provide this benefit to their employees. The Company’s Swiss entity does not provide health care coverage to its employees. Under the Swiss System, Ms. Koolhaas’ spouse is eligible to receive benefits in the event of her death from sickness or accident. She is not a participant in any U.S. health and welfare benefit programs.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Perquisites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modest level of perquisites is available to named executive officers:</w:t>
      </w:r>
    </w:p>
    <w:p>
      <w:pPr>
        <w:spacing w:after="0" w:line="253" w:lineRule="exact"/>
        <w:rPr>
          <w:sz w:val="20"/>
          <w:szCs w:val="20"/>
          <w:color w:val="auto"/>
        </w:rPr>
      </w:pPr>
    </w:p>
    <w:p>
      <w:pPr>
        <w:ind w:left="260"/>
        <w:spacing w:after="0"/>
        <w:tabs>
          <w:tab w:leader="none" w:pos="4660" w:val="left"/>
          <w:tab w:leader="none" w:pos="9100" w:val="left"/>
        </w:tabs>
        <w:rPr>
          <w:sz w:val="20"/>
          <w:szCs w:val="20"/>
          <w:color w:val="auto"/>
        </w:rPr>
      </w:pPr>
      <w:r>
        <w:rPr>
          <w:rFonts w:ascii="Arial" w:cs="Arial" w:eastAsia="Arial" w:hAnsi="Arial"/>
          <w:sz w:val="14"/>
          <w:szCs w:val="14"/>
          <w:b w:val="1"/>
          <w:bCs w:val="1"/>
          <w:color w:val="00AF41"/>
        </w:rPr>
        <w:t>Perquisite</w:t>
      </w:r>
      <w:r>
        <w:rPr>
          <w:sz w:val="20"/>
          <w:szCs w:val="20"/>
          <w:color w:val="auto"/>
        </w:rPr>
        <w:tab/>
      </w:r>
      <w:r>
        <w:rPr>
          <w:rFonts w:ascii="Arial" w:cs="Arial" w:eastAsia="Arial" w:hAnsi="Arial"/>
          <w:sz w:val="14"/>
          <w:szCs w:val="14"/>
          <w:b w:val="1"/>
          <w:bCs w:val="1"/>
          <w:color w:val="00AF41"/>
        </w:rPr>
        <w:t>Benefit</w:t>
      </w:r>
      <w:r>
        <w:rPr>
          <w:sz w:val="20"/>
          <w:szCs w:val="20"/>
          <w:color w:val="auto"/>
        </w:rPr>
        <w:tab/>
      </w:r>
      <w:r>
        <w:rPr>
          <w:rFonts w:ascii="Arial" w:cs="Arial" w:eastAsia="Arial" w:hAnsi="Arial"/>
          <w:sz w:val="14"/>
          <w:szCs w:val="14"/>
          <w:b w:val="1"/>
          <w:bCs w:val="1"/>
          <w:color w:val="00AF41"/>
        </w:rPr>
        <w:t>Usage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6995160" cy="75438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995160" cy="75438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Executive</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Physical</w:t>
      </w:r>
    </w:p>
    <w:p>
      <w:pPr>
        <w:spacing w:after="0" w:line="200" w:lineRule="exact"/>
        <w:rPr>
          <w:sz w:val="20"/>
          <w:szCs w:val="20"/>
          <w:color w:val="auto"/>
        </w:rPr>
      </w:pPr>
    </w:p>
    <w:p>
      <w:pPr>
        <w:spacing w:after="0" w:line="318"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Vacation</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Facility</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To ensure senior officers monitor their health and general well-being, an annual physical examination is provided at the Company’s expense. Senior officers may also use their own physician to perform the required tests and evaluations, in lieu of using the selected facilities. For those senior officers, expenses were processed through their employee health care coverage and not through the executive physical program.</w:t>
      </w:r>
    </w:p>
    <w:p>
      <w:pPr>
        <w:spacing w:after="0" w:line="20" w:lineRule="exact"/>
        <w:rPr>
          <w:sz w:val="20"/>
          <w:szCs w:val="20"/>
          <w:color w:val="auto"/>
        </w:rPr>
      </w:pPr>
    </w:p>
    <w:p>
      <w:pPr>
        <w:ind w:right="2240"/>
        <w:spacing w:after="0" w:line="266" w:lineRule="auto"/>
        <w:rPr>
          <w:sz w:val="20"/>
          <w:szCs w:val="20"/>
          <w:color w:val="auto"/>
        </w:rPr>
      </w:pPr>
      <w:r>
        <w:rPr>
          <w:rFonts w:ascii="Arial" w:cs="Arial" w:eastAsia="Arial" w:hAnsi="Arial"/>
          <w:sz w:val="16"/>
          <w:szCs w:val="16"/>
          <w:color w:val="auto"/>
        </w:rPr>
        <w:t>One Company-owned condominium is available on a limited basis to employees at the Vice President level and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-1132205</wp:posOffset>
            </wp:positionH>
            <wp:positionV relativeFrom="paragraph">
              <wp:posOffset>-1905</wp:posOffset>
            </wp:positionV>
            <wp:extent cx="699516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Three named executive officers utilized the formal executive physical program in 2022.</w:t>
      </w:r>
    </w:p>
    <w:p>
      <w:pPr>
        <w:spacing w:after="0" w:line="200" w:lineRule="exact"/>
        <w:rPr>
          <w:sz w:val="20"/>
          <w:szCs w:val="20"/>
          <w:color w:val="auto"/>
        </w:rPr>
      </w:pPr>
    </w:p>
    <w:p>
      <w:pPr>
        <w:spacing w:after="0" w:line="377"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No named executive officer used the vacation facility in 2022.</w:t>
      </w:r>
    </w:p>
    <w:p>
      <w:pPr>
        <w:spacing w:after="0" w:line="278" w:lineRule="exact"/>
        <w:rPr>
          <w:sz w:val="20"/>
          <w:szCs w:val="20"/>
          <w:color w:val="auto"/>
        </w:rPr>
      </w:pPr>
    </w:p>
    <w:p>
      <w:pPr>
        <w:sectPr>
          <w:pgSz w:w="11900" w:h="16838" w:orient="portrait"/>
          <w:cols w:equalWidth="0" w:num="3">
            <w:col w:w="1180" w:space="720"/>
            <w:col w:w="6020" w:space="140"/>
            <w:col w:w="3080"/>
          </w:cols>
          <w:pgMar w:left="320" w:top="482" w:right="439" w:bottom="1440" w:gutter="0" w:footer="0" w:header="0"/>
          <w:type w:val="continuous"/>
        </w:sectPr>
      </w:pPr>
    </w:p>
    <w:p>
      <w:pPr>
        <w:spacing w:after="0" w:line="12" w:lineRule="exact"/>
        <w:rPr>
          <w:sz w:val="20"/>
          <w:szCs w:val="20"/>
          <w:color w:val="auto"/>
        </w:rPr>
      </w:pPr>
    </w:p>
    <w:p>
      <w:pPr>
        <w:ind w:left="120" w:right="280"/>
        <w:spacing w:after="0" w:line="286" w:lineRule="auto"/>
        <w:rPr>
          <w:sz w:val="20"/>
          <w:szCs w:val="20"/>
          <w:color w:val="auto"/>
        </w:rPr>
      </w:pPr>
      <w:r>
        <w:rPr>
          <w:rFonts w:ascii="Arial" w:cs="Arial" w:eastAsia="Arial" w:hAnsi="Arial"/>
          <w:sz w:val="16"/>
          <w:szCs w:val="16"/>
          <w:color w:val="auto"/>
        </w:rPr>
        <w:t>The aggregate amount of perquisites provided in 2022 for each of the named executive officers, except for Mr. Thirot and Ms. Koolhaas, was less than $10,000 and therefore only the perquisites for Mr. Thirot and Ms. Koolhaas are reported in the Summary Compensation Table.</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Senior Executive Severance Plan</w:t>
      </w:r>
    </w:p>
    <w:p>
      <w:pPr>
        <w:spacing w:after="0" w:line="111"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To encourage the retention of certain key executives of the Company and thereby promote the stability and continuity of management, the Senior Executive Severance Plan (“Severance Plan”) was established by the Company and approved by the Committee effective March 31, 2017. During its March 23, 2021 meeting, the Committee approved expanding the Severance Plan to include other senior officers. For 2022, the named executive officers participating in the Severance Plan were, Messrs. Quigley and Simons and Ms. Williams. The Severance Plan provides severance benefits in the event a participant’s employment is terminated under certain circumstances as explained and illustrated in Potential Payments Upon Termination or Change in Control (below). The Plan does not provide excise tax gross-ups to participants under Section 280G of the Code.</w:t>
      </w:r>
    </w:p>
    <w:p>
      <w:pPr>
        <w:spacing w:after="0" w:line="182" w:lineRule="exact"/>
        <w:rPr>
          <w:sz w:val="20"/>
          <w:szCs w:val="20"/>
          <w:color w:val="auto"/>
        </w:rPr>
      </w:pPr>
    </w:p>
    <w:p>
      <w:pPr>
        <w:ind w:left="120" w:right="420"/>
        <w:spacing w:after="0" w:line="286" w:lineRule="auto"/>
        <w:rPr>
          <w:sz w:val="20"/>
          <w:szCs w:val="20"/>
          <w:color w:val="auto"/>
        </w:rPr>
      </w:pPr>
      <w:r>
        <w:rPr>
          <w:rFonts w:ascii="Arial" w:cs="Arial" w:eastAsia="Arial" w:hAnsi="Arial"/>
          <w:sz w:val="16"/>
          <w:szCs w:val="16"/>
          <w:color w:val="auto"/>
        </w:rPr>
        <w:t>The Company’s EIP provides for the immediate vesting of restricted stock and performance awards upon a qualified termination in connection with a change in control (e.g., “double trigger”), which is also explained in Potential Payments Upon Termination or Change in Control.</w:t>
      </w:r>
    </w:p>
    <w:p>
      <w:pPr>
        <w:spacing w:after="0" w:line="156" w:lineRule="exact"/>
        <w:rPr>
          <w:sz w:val="20"/>
          <w:szCs w:val="20"/>
          <w:color w:val="auto"/>
        </w:rPr>
      </w:pPr>
    </w:p>
    <w:p>
      <w:pPr>
        <w:ind w:left="120" w:right="120"/>
        <w:spacing w:after="0" w:line="252" w:lineRule="auto"/>
        <w:rPr>
          <w:sz w:val="20"/>
          <w:szCs w:val="20"/>
          <w:color w:val="auto"/>
        </w:rPr>
      </w:pPr>
      <w:r>
        <w:rPr>
          <w:rFonts w:ascii="Arial" w:cs="Arial" w:eastAsia="Arial" w:hAnsi="Arial"/>
          <w:sz w:val="16"/>
          <w:szCs w:val="16"/>
          <w:color w:val="auto"/>
        </w:rPr>
        <w:t>Under the terms of the Severance Plan covering the eligible named executive officers, each would be entitled to severance payments and benefits in the event that he or she experiences a “qualifying termination” (i.e., any termination of the participant by the Company other than for cause, disability, or death, or for good reason by a participant in connection with a change in control as is defined in the Severance Plan). A change in control will not automatically entitle an eligible named executive officer to severance benefits or equity acceleration; instead, the executive must also lose his or her job, or suffer a significant adverse change to employment terms or conditions in order to be eligible for benefits under the Severance Plan. In the event of a termination for any reason, eligible named executive officers would be entitled to any earned compensation owed but not yet paid as of the date of termination. Eligible named executive officers would also be entitled to payment of vested benefits, if any. Details of the Severance Plan are provided in the Potential Payments Upon Termination or Change in Control section of this Proxy Statement.</w:t>
      </w:r>
    </w:p>
    <w:p>
      <w:pPr>
        <w:spacing w:after="0" w:line="103" w:lineRule="exact"/>
        <w:rPr>
          <w:sz w:val="20"/>
          <w:szCs w:val="20"/>
          <w:color w:val="auto"/>
        </w:rPr>
      </w:pPr>
    </w:p>
    <w:p>
      <w:pPr>
        <w:ind w:left="10820"/>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1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-142875</wp:posOffset>
            </wp:positionV>
            <wp:extent cx="411480" cy="1968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Mr. Thirot’s Severance Benefit</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the terms of Mr. Thirot’s Swiss employment agreement he is eligible for similar severance benefits to a Tier 2 participant of the Severance Plan.</w:t>
      </w:r>
    </w:p>
    <w:p>
      <w:pPr>
        <w:spacing w:after="0" w:line="331" w:lineRule="exact"/>
        <w:rPr>
          <w:sz w:val="20"/>
          <w:szCs w:val="20"/>
          <w:color w:val="auto"/>
        </w:rPr>
      </w:pPr>
    </w:p>
    <w:p>
      <w:pPr>
        <w:ind w:left="340"/>
        <w:spacing w:after="0"/>
        <w:rPr>
          <w:sz w:val="20"/>
          <w:szCs w:val="20"/>
          <w:color w:val="auto"/>
        </w:rPr>
      </w:pPr>
      <w:r>
        <w:rPr>
          <w:rFonts w:ascii="Arial" w:cs="Arial" w:eastAsia="Arial" w:hAnsi="Arial"/>
          <w:sz w:val="16"/>
          <w:szCs w:val="16"/>
          <w:i w:val="1"/>
          <w:iCs w:val="1"/>
          <w:u w:val="single" w:color="auto"/>
          <w:color w:val="auto"/>
        </w:rPr>
        <w:t>Ms. Koolhaas’ Severance Benefit</w:t>
      </w:r>
    </w:p>
    <w:p>
      <w:pPr>
        <w:spacing w:after="0" w:line="111" w:lineRule="exact"/>
        <w:rPr>
          <w:sz w:val="20"/>
          <w:szCs w:val="20"/>
          <w:color w:val="auto"/>
        </w:rPr>
      </w:pPr>
    </w:p>
    <w:p>
      <w:pPr>
        <w:ind w:left="120" w:right="340"/>
        <w:spacing w:after="0" w:line="286" w:lineRule="auto"/>
        <w:rPr>
          <w:sz w:val="20"/>
          <w:szCs w:val="20"/>
          <w:color w:val="auto"/>
        </w:rPr>
      </w:pPr>
      <w:r>
        <w:rPr>
          <w:rFonts w:ascii="Arial" w:cs="Arial" w:eastAsia="Arial" w:hAnsi="Arial"/>
          <w:sz w:val="16"/>
          <w:szCs w:val="16"/>
          <w:color w:val="auto"/>
        </w:rPr>
        <w:t>Under the terms of Ms. Koolhaas’ new Swiss employment agreement, effective April 25, 2022, she is eligible for similar severance benefits to a Tier 3 participant of the Severance Plan.</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Governance of Executive Compensation Programs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Executive Stock Ownership and Retention Requirements</w:t>
      </w:r>
    </w:p>
    <w:p>
      <w:pPr>
        <w:spacing w:after="0" w:line="111" w:lineRule="exact"/>
        <w:rPr>
          <w:sz w:val="20"/>
          <w:szCs w:val="20"/>
          <w:color w:val="auto"/>
        </w:rPr>
      </w:pPr>
    </w:p>
    <w:p>
      <w:pPr>
        <w:ind w:left="120" w:right="560"/>
        <w:spacing w:after="0" w:line="259" w:lineRule="auto"/>
        <w:rPr>
          <w:sz w:val="20"/>
          <w:szCs w:val="20"/>
          <w:color w:val="auto"/>
        </w:rPr>
      </w:pPr>
      <w:r>
        <w:rPr>
          <w:rFonts w:ascii="Arial" w:cs="Arial" w:eastAsia="Arial" w:hAnsi="Arial"/>
          <w:sz w:val="16"/>
          <w:szCs w:val="16"/>
          <w:color w:val="auto"/>
        </w:rPr>
        <w:t>The Committee implemented minimum stock ownership and retention requirements to encourage meaningful stock ownership by the Company’s executives that aligns their interests more closely with shareholders’ interests. The Committee periodically reviews the Executive Stock Ownership Requirements to ensure the design is consistent with current market practice and those of our peers, as determined by research performed by the Consultant. The requirements are expressed as a multiple of base salary for each level of senior officer, as shown in the table below.</w:t>
      </w: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00AF41"/>
        </w:rPr>
        <w:t>2022 Minimum Stock Ownership Requirements</w:t>
      </w:r>
    </w:p>
    <w:p>
      <w:pPr>
        <w:spacing w:after="0" w:line="35"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00AF41"/>
        </w:rPr>
        <w:t>Multiple of Base Salary</w:t>
      </w:r>
    </w:p>
    <w:p>
      <w:pPr>
        <w:spacing w:after="0" w:line="28"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CEO</w:t>
            </w:r>
          </w:p>
        </w:tc>
        <w:tc>
          <w:tcPr>
            <w:tcW w:w="3360" w:type="dxa"/>
            <w:vAlign w:val="bottom"/>
            <w:tcBorders>
              <w:top w:val="single" w:sz="8" w:color="auto"/>
              <w:bottom w:val="single" w:sz="8" w:color="auto"/>
            </w:tcBorders>
          </w:tcPr>
          <w:p>
            <w:pPr>
              <w:jc w:val="center"/>
              <w:ind w:left="359"/>
              <w:spacing w:after="0"/>
              <w:rPr>
                <w:sz w:val="20"/>
                <w:szCs w:val="20"/>
                <w:color w:val="auto"/>
              </w:rPr>
            </w:pPr>
            <w:r>
              <w:rPr>
                <w:rFonts w:ascii="Arial" w:cs="Arial" w:eastAsia="Arial" w:hAnsi="Arial"/>
                <w:sz w:val="16"/>
                <w:szCs w:val="16"/>
                <w:b w:val="1"/>
                <w:bCs w:val="1"/>
                <w:color w:val="auto"/>
                <w:w w:val="99"/>
              </w:rPr>
              <w:t>EVP</w:t>
            </w:r>
          </w:p>
        </w:tc>
        <w:tc>
          <w:tcPr>
            <w:tcW w:w="3820" w:type="dxa"/>
            <w:vAlign w:val="bottom"/>
            <w:tcBorders>
              <w:top w:val="single" w:sz="8" w:color="auto"/>
              <w:bottom w:val="single" w:sz="8" w:color="auto"/>
            </w:tcBorders>
          </w:tcPr>
          <w:p>
            <w:pPr>
              <w:jc w:val="center"/>
              <w:ind w:left="339"/>
              <w:spacing w:after="0"/>
              <w:rPr>
                <w:sz w:val="20"/>
                <w:szCs w:val="20"/>
                <w:color w:val="auto"/>
              </w:rPr>
            </w:pPr>
            <w:r>
              <w:rPr>
                <w:rFonts w:ascii="Arial" w:cs="Arial" w:eastAsia="Arial" w:hAnsi="Arial"/>
                <w:sz w:val="16"/>
                <w:szCs w:val="16"/>
                <w:b w:val="1"/>
                <w:bCs w:val="1"/>
                <w:color w:val="auto"/>
              </w:rPr>
              <w:t>Other Senior Officers</w:t>
            </w:r>
          </w:p>
        </w:tc>
      </w:tr>
      <w:tr>
        <w:trPr>
          <w:trHeight w:val="196"/>
        </w:trPr>
        <w:tc>
          <w:tcPr>
            <w:tcW w:w="3840" w:type="dxa"/>
            <w:vAlign w:val="bottom"/>
            <w:tcBorders>
              <w:bottom w:val="single" w:sz="8" w:color="auto"/>
            </w:tcBorders>
            <w:shd w:val="clear" w:color="auto" w:fill="EDEDED"/>
          </w:tcPr>
          <w:p>
            <w:pPr>
              <w:jc w:val="center"/>
              <w:spacing w:after="0"/>
              <w:rPr>
                <w:sz w:val="20"/>
                <w:szCs w:val="20"/>
                <w:color w:val="auto"/>
              </w:rPr>
            </w:pPr>
            <w:r>
              <w:rPr>
                <w:rFonts w:ascii="Arial" w:cs="Arial" w:eastAsia="Arial" w:hAnsi="Arial"/>
                <w:sz w:val="16"/>
                <w:szCs w:val="16"/>
                <w:color w:val="auto"/>
              </w:rPr>
              <w:t>6x</w:t>
            </w:r>
          </w:p>
        </w:tc>
        <w:tc>
          <w:tcPr>
            <w:tcW w:w="3360" w:type="dxa"/>
            <w:vAlign w:val="bottom"/>
            <w:tcBorders>
              <w:bottom w:val="single" w:sz="8" w:color="auto"/>
            </w:tcBorders>
            <w:shd w:val="clear" w:color="auto" w:fill="EDEDED"/>
          </w:tcPr>
          <w:p>
            <w:pPr>
              <w:jc w:val="center"/>
              <w:ind w:left="359"/>
              <w:spacing w:after="0"/>
              <w:rPr>
                <w:sz w:val="20"/>
                <w:szCs w:val="20"/>
                <w:color w:val="auto"/>
              </w:rPr>
            </w:pPr>
            <w:r>
              <w:rPr>
                <w:rFonts w:ascii="Arial" w:cs="Arial" w:eastAsia="Arial" w:hAnsi="Arial"/>
                <w:sz w:val="16"/>
                <w:szCs w:val="16"/>
                <w:color w:val="auto"/>
                <w:w w:val="94"/>
              </w:rPr>
              <w:t>3x</w:t>
            </w:r>
          </w:p>
        </w:tc>
        <w:tc>
          <w:tcPr>
            <w:tcW w:w="3820" w:type="dxa"/>
            <w:vAlign w:val="bottom"/>
            <w:tcBorders>
              <w:bottom w:val="single" w:sz="8" w:color="auto"/>
            </w:tcBorders>
            <w:shd w:val="clear" w:color="auto" w:fill="EDEDED"/>
          </w:tcPr>
          <w:p>
            <w:pPr>
              <w:jc w:val="center"/>
              <w:ind w:left="319"/>
              <w:spacing w:after="0"/>
              <w:rPr>
                <w:sz w:val="20"/>
                <w:szCs w:val="20"/>
                <w:color w:val="auto"/>
              </w:rPr>
            </w:pPr>
            <w:r>
              <w:rPr>
                <w:rFonts w:ascii="Arial" w:cs="Arial" w:eastAsia="Arial" w:hAnsi="Arial"/>
                <w:sz w:val="16"/>
                <w:szCs w:val="16"/>
                <w:color w:val="auto"/>
              </w:rPr>
              <w:t>1x-1.5x</w:t>
            </w:r>
          </w:p>
        </w:tc>
      </w:tr>
    </w:tbl>
    <w:p>
      <w:pPr>
        <w:spacing w:after="0" w:line="202"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auto"/>
        </w:rPr>
        <w:t>During 2022, the Committee reviewed and updated the executive stock ownership requirements to be in line with market practice and continue to focus on the retention of senior officers. Under the updated ownership requirements, senior officers are required to hold (50%) of the after-tax shares acquired upon equity award vesting until compliance with the requirements is achieved. Shares counted toward achievement of ownership requirements include: directly owned shares, shares held by family or trusts, and 100% of unvested restricted stock awards, restricted stock units, and earned unvested performance shares. Although there is not a fixed compliance period, it is likely that new senior officers will reach the requirements within five years from their start date. The Committee reviews each executive’s progress towards and compliance with the share ownership requirements on an annual basis. If the required level of ownership is not achieved within a reasonable period of time or an executive falls out of compliance with the requirements, the Committee can eliminate or adjust the amount of any future equity awards. Stock ownership levels must be maintained as long as the executive is employed by the Company as a senior officer and is subject to the terms of the Executive Stock Ownership Requirements.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March 27, 2023, all named executive officers were on-track to reach their stock ownership requirement.</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Incentive Compensation Recovery (“Clawback”) Policy</w:t>
      </w:r>
    </w:p>
    <w:p>
      <w:pPr>
        <w:spacing w:after="0" w:line="111" w:lineRule="exact"/>
        <w:rPr>
          <w:sz w:val="20"/>
          <w:szCs w:val="20"/>
          <w:color w:val="auto"/>
        </w:rPr>
      </w:pPr>
    </w:p>
    <w:p>
      <w:pPr>
        <w:ind w:left="120" w:right="120"/>
        <w:spacing w:after="0" w:line="252" w:lineRule="auto"/>
        <w:rPr>
          <w:sz w:val="20"/>
          <w:szCs w:val="20"/>
          <w:color w:val="auto"/>
        </w:rPr>
      </w:pPr>
      <w:r>
        <w:rPr>
          <w:rFonts w:ascii="Arial" w:cs="Arial" w:eastAsia="Arial" w:hAnsi="Arial"/>
          <w:sz w:val="16"/>
          <w:szCs w:val="16"/>
          <w:color w:val="auto"/>
        </w:rPr>
        <w:t>The Company’s Clawback policy applies to awards granted under the STIP and EIP on or after January 1, 2011 to officers of the Company who are subject to Section 16 of the Securities Exchange Act of 1934. In early 2019, the application of the “Clawback” Policy was broadened to include all senior officers. These officers are required to repay or forfeit, to the fullest extent permitted by law and as directed by the Committee, any performance-based annual or long-term incentive compensation, based on the achievement of financial results that were subsequently restated due to the Company’s material non-compliance with the financial disclosure requirements of the federal securities laws, provided the amount of incentive compensation that would have been received or earned would have been lower had the financial results been properly reported. In 2023, the Company will modify its policy to comply with the provisions of the new SEC and Nasdaq rules and regulations. The Clawback Policy is included as part of the Company’s updated Insider Trading Policy and Section 16 Compliance Procedures.</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77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-142875</wp:posOffset>
            </wp:positionV>
            <wp:extent cx="411480" cy="1974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11480" cy="1974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Compensation Discussion and Analysis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Hedging and Pledging of Shares</w:t>
      </w:r>
    </w:p>
    <w:p>
      <w:pPr>
        <w:spacing w:after="0" w:line="111" w:lineRule="exact"/>
        <w:rPr>
          <w:sz w:val="20"/>
          <w:szCs w:val="20"/>
          <w:color w:val="auto"/>
        </w:rPr>
      </w:pPr>
    </w:p>
    <w:p>
      <w:pPr>
        <w:ind w:left="120" w:right="120"/>
        <w:spacing w:after="0" w:line="254" w:lineRule="auto"/>
        <w:rPr>
          <w:sz w:val="20"/>
          <w:szCs w:val="20"/>
          <w:color w:val="auto"/>
        </w:rPr>
      </w:pPr>
      <w:r>
        <w:rPr>
          <w:rFonts w:ascii="Arial" w:cs="Arial" w:eastAsia="Arial" w:hAnsi="Arial"/>
          <w:sz w:val="16"/>
          <w:szCs w:val="16"/>
          <w:color w:val="auto"/>
        </w:rPr>
        <w:t>The Company’s Insider Trading Policy and Section 16 Compliance Procedures strictly prohibit the Company’s directors and all employees, including the named executive officers, from engaging in hedging, monetization or other derivative or speculative transactions in securities of the Company. This includes short sales, failing to deliver Company securities sold, put or call options, equity swaps, collars, forward sale contracts, exchange funds, holding Company securities in a margin account, or pledging Company securities as collateral for a loan. The EIP does not allow the pledging, sale, assignment, or transfer of shares in any manner, except if the Committee determines that a transfer will not violate any requirements of the SEC or IRS. The Committee may permit an inter vivos transfer by gift to, or for the benefit of, a family member of the grantee.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Tax Considerations: Deductibility of Executive Compensation</w:t>
      </w:r>
    </w:p>
    <w:p>
      <w:pPr>
        <w:spacing w:after="0" w:line="111"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Section 162(m) of the Code places a limit of $1 million on the amount of compensation that can be deducted for tax purposes for the CEO, CFO, and other three highest paid executives listed in the Summary Compensation Table, or were listed in the Summary Compensation Table in any preceding year after 2016. Prior to 2018, the Company’s incentive compensation programs were generally designed to qualify for the performance-based exception to this limit. Beginning in 2018, effective with the Tax Cuts and Jobs Act that was enacted in December 2017, the corporate tax deduction previously available for performance- based compensation above $1 million for current or former named executive officers was eliminated. This means that pay to each current or former named executive officer in excess of $1 million is no longer tax deductible. Now that the performance-based exception is no longer available, the Company will no longer include reference to Section 162(m) related limitations or provisions or shareholder approval for this purpose. However, management and the Committee currently intend to retain as good governance, certain practices that had been in place previously for Section 162(m) purposes. These practices include: specification of guidelines for the adjustment of special items, establishing performance goals within the first ninety days of a performance period, and requiring the Committee’s certification of results prior to the payout of any award.</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and Talent Management Committee Report</w:t>
      </w:r>
    </w:p>
    <w:p>
      <w:pPr>
        <w:spacing w:after="0" w:line="112"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Prior to and at the Special Board of Directors meeting held on March 21, 2023, the Compensation and Talent Management Committee members reviewed and discussed the Compensation Discussion and Analysis presented in this Proxy Statement. Based on its review and subsequent discussions with management, the Committee approved the Compensation Discussion and Analysis and directed management to include it in this Proxy Statement.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report is submitted by the Compensation and Talent Management Committee of the Board of Directors.</w:t>
      </w:r>
    </w:p>
    <w:p>
      <w:pPr>
        <w:spacing w:after="0" w:line="200" w:lineRule="exact"/>
        <w:rPr>
          <w:sz w:val="20"/>
          <w:szCs w:val="20"/>
          <w:color w:val="auto"/>
        </w:rPr>
      </w:pPr>
    </w:p>
    <w:p>
      <w:pPr>
        <w:spacing w:after="0" w:line="23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THE COMPENSATION AND TALENT MANAGEMENT COMMITTEE</w:t>
      </w:r>
    </w:p>
    <w:p>
      <w:pPr>
        <w:spacing w:after="0" w:line="221"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ROBERT S. CUBBIN, CHAIR</w:t>
      </w:r>
    </w:p>
    <w:p>
      <w:pPr>
        <w:spacing w:after="0" w:line="21"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GERALD S. ADOLPH</w:t>
      </w:r>
    </w:p>
    <w:p>
      <w:pPr>
        <w:spacing w:after="0" w:line="5"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INAMARIE F. JOHNSON</w:t>
      </w:r>
    </w:p>
    <w:p>
      <w:pPr>
        <w:spacing w:after="0" w:line="5"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LESLIE A. MURPHY</w:t>
      </w:r>
    </w:p>
    <w:p>
      <w:pPr>
        <w:spacing w:after="0" w:line="125" w:lineRule="exact"/>
        <w:rPr>
          <w:sz w:val="20"/>
          <w:szCs w:val="20"/>
          <w:color w:val="auto"/>
        </w:rPr>
      </w:pPr>
    </w:p>
    <w:p>
      <w:pPr>
        <w:ind w:left="10820"/>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77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-142875</wp:posOffset>
            </wp:positionV>
            <wp:extent cx="411480" cy="1968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2022 Executive Compensation Tables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Summary Compensation Table 2022</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00AF41"/>
              </w:rPr>
              <w:t>Change in</w:t>
            </w:r>
          </w:p>
        </w:tc>
        <w:tc>
          <w:tcPr>
            <w:tcW w:w="1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00AF41"/>
              </w:rPr>
              <w:t>Pension</w:t>
            </w:r>
          </w:p>
        </w:tc>
        <w:tc>
          <w:tcPr>
            <w:tcW w:w="1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00AF41"/>
              </w:rPr>
              <w:t>Value and</w:t>
            </w:r>
          </w:p>
        </w:tc>
        <w:tc>
          <w:tcPr>
            <w:tcW w:w="1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00AF41"/>
              </w:rPr>
              <w:t>Nonqualified</w:t>
            </w:r>
          </w:p>
        </w:tc>
        <w:tc>
          <w:tcPr>
            <w:tcW w:w="1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00AF41"/>
              </w:rPr>
              <w:t>Non-Equity</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00AF41"/>
              </w:rPr>
              <w:t>Deferred</w:t>
            </w:r>
          </w:p>
        </w:tc>
        <w:tc>
          <w:tcPr>
            <w:tcW w:w="1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00AF41"/>
              </w:rPr>
              <w:t>Stock</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00AF41"/>
              </w:rPr>
              <w:t>Option</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00AF41"/>
              </w:rPr>
              <w:t>Incentive Plan</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00AF41"/>
              </w:rPr>
              <w:t>Compensation</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00AF41"/>
              </w:rPr>
              <w:t>All Other</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center"/>
              <w:ind w:left="29"/>
              <w:spacing w:after="0" w:line="162" w:lineRule="exact"/>
              <w:rPr>
                <w:sz w:val="20"/>
                <w:szCs w:val="20"/>
                <w:color w:val="auto"/>
              </w:rPr>
            </w:pPr>
            <w:r>
              <w:rPr>
                <w:rFonts w:ascii="Arial" w:cs="Arial" w:eastAsia="Arial" w:hAnsi="Arial"/>
                <w:sz w:val="13"/>
                <w:szCs w:val="13"/>
                <w:b w:val="1"/>
                <w:bCs w:val="1"/>
                <w:color w:val="00AF41"/>
              </w:rPr>
              <w:t>Salary</w:t>
            </w:r>
            <w:r>
              <w:rPr>
                <w:rFonts w:ascii="Arial" w:cs="Arial" w:eastAsia="Arial" w:hAnsi="Arial"/>
                <w:sz w:val="18"/>
                <w:szCs w:val="18"/>
                <w:b w:val="1"/>
                <w:bCs w:val="1"/>
                <w:color w:val="00AF41"/>
                <w:vertAlign w:val="superscript"/>
              </w:rPr>
              <w:t>(1)</w:t>
            </w:r>
          </w:p>
        </w:tc>
        <w:tc>
          <w:tcPr>
            <w:tcW w:w="620" w:type="dxa"/>
            <w:vAlign w:val="bottom"/>
          </w:tcPr>
          <w:p>
            <w:pPr>
              <w:ind w:left="80"/>
              <w:spacing w:after="0"/>
              <w:rPr>
                <w:sz w:val="20"/>
                <w:szCs w:val="20"/>
                <w:color w:val="auto"/>
              </w:rPr>
            </w:pPr>
            <w:r>
              <w:rPr>
                <w:rFonts w:ascii="Arial" w:cs="Arial" w:eastAsia="Arial" w:hAnsi="Arial"/>
                <w:sz w:val="14"/>
                <w:szCs w:val="14"/>
                <w:b w:val="1"/>
                <w:bCs w:val="1"/>
                <w:color w:val="00AF41"/>
              </w:rPr>
              <w:t>Bonus</w:t>
            </w:r>
          </w:p>
        </w:tc>
        <w:tc>
          <w:tcPr>
            <w:tcW w:w="1080" w:type="dxa"/>
            <w:vAlign w:val="bottom"/>
          </w:tcPr>
          <w:p>
            <w:pPr>
              <w:jc w:val="center"/>
              <w:spacing w:after="0" w:line="162" w:lineRule="exact"/>
              <w:rPr>
                <w:sz w:val="20"/>
                <w:szCs w:val="20"/>
                <w:color w:val="auto"/>
              </w:rPr>
            </w:pPr>
            <w:r>
              <w:rPr>
                <w:rFonts w:ascii="Arial" w:cs="Arial" w:eastAsia="Arial" w:hAnsi="Arial"/>
                <w:sz w:val="18"/>
                <w:szCs w:val="18"/>
                <w:b w:val="1"/>
                <w:bCs w:val="1"/>
                <w:color w:val="00AF41"/>
                <w:vertAlign w:val="subscript"/>
              </w:rPr>
              <w:t>Awards</w:t>
            </w:r>
            <w:r>
              <w:rPr>
                <w:rFonts w:ascii="Arial" w:cs="Arial" w:eastAsia="Arial" w:hAnsi="Arial"/>
                <w:sz w:val="9"/>
                <w:szCs w:val="9"/>
                <w:b w:val="1"/>
                <w:bCs w:val="1"/>
                <w:color w:val="00AF41"/>
              </w:rPr>
              <w:t>(2)(3)(4)</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00AF41"/>
              </w:rPr>
              <w:t>Awards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00AF41"/>
              </w:rPr>
              <w:t>Compensation</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00AF41"/>
              </w:rPr>
              <w:t>Earnings</w:t>
            </w:r>
          </w:p>
        </w:tc>
        <w:tc>
          <w:tcPr>
            <w:tcW w:w="1480" w:type="dxa"/>
            <w:vAlign w:val="bottom"/>
          </w:tcPr>
          <w:p>
            <w:pPr>
              <w:jc w:val="center"/>
              <w:spacing w:after="0" w:line="162" w:lineRule="exact"/>
              <w:rPr>
                <w:sz w:val="20"/>
                <w:szCs w:val="20"/>
                <w:color w:val="auto"/>
              </w:rPr>
            </w:pPr>
            <w:r>
              <w:rPr>
                <w:rFonts w:ascii="Arial" w:cs="Arial" w:eastAsia="Arial" w:hAnsi="Arial"/>
                <w:sz w:val="13"/>
                <w:szCs w:val="13"/>
                <w:b w:val="1"/>
                <w:bCs w:val="1"/>
                <w:color w:val="00AF41"/>
              </w:rPr>
              <w:t>Compensation</w:t>
            </w:r>
            <w:r>
              <w:rPr>
                <w:rFonts w:ascii="Arial" w:cs="Arial" w:eastAsia="Arial" w:hAnsi="Arial"/>
                <w:sz w:val="18"/>
                <w:szCs w:val="18"/>
                <w:b w:val="1"/>
                <w:bCs w:val="1"/>
                <w:color w:val="00AF41"/>
                <w:vertAlign w:val="superscript"/>
              </w:rPr>
              <w:t>(5)(6)</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AF41"/>
              </w:rPr>
              <w:t>Total</w:t>
            </w:r>
          </w:p>
        </w:tc>
        <w:tc>
          <w:tcPr>
            <w:tcW w:w="0" w:type="dxa"/>
            <w:vAlign w:val="bottom"/>
          </w:tcPr>
          <w:p>
            <w:pPr>
              <w:spacing w:after="0"/>
              <w:rPr>
                <w:sz w:val="1"/>
                <w:szCs w:val="1"/>
                <w:color w:val="auto"/>
              </w:rPr>
            </w:pPr>
          </w:p>
        </w:tc>
      </w:tr>
      <w:tr>
        <w:trPr>
          <w:trHeight w:val="210"/>
        </w:trPr>
        <w:tc>
          <w:tcPr>
            <w:tcW w:w="2600" w:type="dxa"/>
            <w:vAlign w:val="bottom"/>
          </w:tcPr>
          <w:p>
            <w:pPr>
              <w:spacing w:after="0"/>
              <w:rPr>
                <w:sz w:val="20"/>
                <w:szCs w:val="20"/>
                <w:color w:val="auto"/>
              </w:rPr>
            </w:pPr>
            <w:r>
              <w:rPr>
                <w:rFonts w:ascii="Arial" w:cs="Arial" w:eastAsia="Arial" w:hAnsi="Arial"/>
                <w:sz w:val="14"/>
                <w:szCs w:val="14"/>
                <w:b w:val="1"/>
                <w:bCs w:val="1"/>
                <w:color w:val="00AF41"/>
              </w:rPr>
              <w:t>Name and Principal Position</w:t>
            </w:r>
          </w:p>
        </w:tc>
        <w:tc>
          <w:tcPr>
            <w:tcW w:w="440" w:type="dxa"/>
            <w:vAlign w:val="bottom"/>
            <w:gridSpan w:val="2"/>
          </w:tcPr>
          <w:p>
            <w:pPr>
              <w:ind w:left="120"/>
              <w:spacing w:after="0"/>
              <w:rPr>
                <w:sz w:val="20"/>
                <w:szCs w:val="20"/>
                <w:color w:val="auto"/>
              </w:rPr>
            </w:pPr>
            <w:r>
              <w:rPr>
                <w:rFonts w:ascii="Arial" w:cs="Arial" w:eastAsia="Arial" w:hAnsi="Arial"/>
                <w:sz w:val="14"/>
                <w:szCs w:val="14"/>
                <w:b w:val="1"/>
                <w:bCs w:val="1"/>
                <w:color w:val="00AF41"/>
                <w:w w:val="98"/>
              </w:rPr>
              <w:t>Year</w:t>
            </w:r>
          </w:p>
        </w:tc>
        <w:tc>
          <w:tcPr>
            <w:tcW w:w="820" w:type="dxa"/>
            <w:vAlign w:val="bottom"/>
          </w:tcPr>
          <w:p>
            <w:pPr>
              <w:jc w:val="center"/>
              <w:ind w:left="9"/>
              <w:spacing w:after="0"/>
              <w:rPr>
                <w:sz w:val="20"/>
                <w:szCs w:val="20"/>
                <w:color w:val="auto"/>
              </w:rPr>
            </w:pPr>
            <w:r>
              <w:rPr>
                <w:rFonts w:ascii="Arial" w:cs="Arial" w:eastAsia="Arial" w:hAnsi="Arial"/>
                <w:sz w:val="14"/>
                <w:szCs w:val="14"/>
                <w:b w:val="1"/>
                <w:bCs w:val="1"/>
                <w:color w:val="00AF41"/>
              </w:rPr>
              <w:t>($)</w:t>
            </w:r>
          </w:p>
        </w:tc>
        <w:tc>
          <w:tcPr>
            <w:tcW w:w="620" w:type="dxa"/>
            <w:vAlign w:val="bottom"/>
          </w:tcPr>
          <w:p>
            <w:pPr>
              <w:ind w:left="220"/>
              <w:spacing w:after="0"/>
              <w:rPr>
                <w:sz w:val="20"/>
                <w:szCs w:val="20"/>
                <w:color w:val="auto"/>
              </w:rPr>
            </w:pPr>
            <w:r>
              <w:rPr>
                <w:rFonts w:ascii="Arial" w:cs="Arial" w:eastAsia="Arial" w:hAnsi="Arial"/>
                <w:sz w:val="14"/>
                <w:szCs w:val="14"/>
                <w:b w:val="1"/>
                <w:bCs w:val="1"/>
                <w:color w:val="00AF41"/>
              </w:rPr>
              <w: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00AF41"/>
                <w:w w:val="93"/>
              </w:rPr>
              <w: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00AF41"/>
              </w:rPr>
              <w:t>($)</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00AF41"/>
              </w:rPr>
              <w:t>($)</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00AF41"/>
              </w:rPr>
              <w: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00AF41"/>
              </w:rPr>
              <w:t>($)</w:t>
            </w:r>
          </w:p>
        </w:tc>
        <w:tc>
          <w:tcPr>
            <w:tcW w:w="860" w:type="dxa"/>
            <w:vAlign w:val="bottom"/>
          </w:tcPr>
          <w:p>
            <w:pPr>
              <w:jc w:val="right"/>
              <w:ind w:right="288"/>
              <w:spacing w:after="0"/>
              <w:rPr>
                <w:sz w:val="20"/>
                <w:szCs w:val="20"/>
                <w:color w:val="auto"/>
              </w:rPr>
            </w:pPr>
            <w:r>
              <w:rPr>
                <w:rFonts w:ascii="Arial" w:cs="Arial" w:eastAsia="Arial" w:hAnsi="Arial"/>
                <w:sz w:val="14"/>
                <w:szCs w:val="14"/>
                <w:b w:val="1"/>
                <w:bCs w:val="1"/>
                <w:color w:val="00AF41"/>
              </w:rPr>
              <w:t>($)</w:t>
            </w:r>
          </w:p>
        </w:tc>
        <w:tc>
          <w:tcPr>
            <w:tcW w:w="0" w:type="dxa"/>
            <w:vAlign w:val="bottom"/>
          </w:tcPr>
          <w:p>
            <w:pPr>
              <w:spacing w:after="0"/>
              <w:rPr>
                <w:sz w:val="1"/>
                <w:szCs w:val="1"/>
                <w:color w:val="auto"/>
              </w:rPr>
            </w:pPr>
          </w:p>
        </w:tc>
      </w:tr>
      <w:tr>
        <w:trPr>
          <w:trHeight w:val="43"/>
        </w:trPr>
        <w:tc>
          <w:tcPr>
            <w:tcW w:w="2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600" w:type="dxa"/>
            <w:vAlign w:val="bottom"/>
            <w:shd w:val="clear" w:color="auto" w:fill="EDEDED"/>
          </w:tcPr>
          <w:p>
            <w:pPr>
              <w:ind w:left="60"/>
              <w:spacing w:after="0"/>
              <w:rPr>
                <w:sz w:val="20"/>
                <w:szCs w:val="20"/>
                <w:color w:val="auto"/>
              </w:rPr>
            </w:pPr>
            <w:r>
              <w:rPr>
                <w:rFonts w:ascii="Arial" w:cs="Arial" w:eastAsia="Arial" w:hAnsi="Arial"/>
                <w:sz w:val="14"/>
                <w:szCs w:val="14"/>
                <w:b w:val="1"/>
                <w:bCs w:val="1"/>
                <w:color w:val="auto"/>
              </w:rPr>
              <w:t>Peter W. Quigley</w:t>
            </w:r>
          </w:p>
        </w:tc>
        <w:tc>
          <w:tcPr>
            <w:tcW w:w="440" w:type="dxa"/>
            <w:vAlign w:val="bottom"/>
            <w:gridSpan w:val="2"/>
            <w:shd w:val="clear" w:color="auto" w:fill="EDEDED"/>
          </w:tcPr>
          <w:p>
            <w:pPr>
              <w:ind w:left="120"/>
              <w:spacing w:after="0"/>
              <w:rPr>
                <w:sz w:val="20"/>
                <w:szCs w:val="20"/>
                <w:color w:val="auto"/>
              </w:rPr>
            </w:pPr>
            <w:r>
              <w:rPr>
                <w:rFonts w:ascii="Arial" w:cs="Arial" w:eastAsia="Arial" w:hAnsi="Arial"/>
                <w:sz w:val="14"/>
                <w:szCs w:val="14"/>
                <w:color w:val="auto"/>
                <w:w w:val="96"/>
              </w:rPr>
              <w:t>2022</w:t>
            </w:r>
          </w:p>
        </w:tc>
        <w:tc>
          <w:tcPr>
            <w:tcW w:w="820" w:type="dxa"/>
            <w:vAlign w:val="bottom"/>
            <w:shd w:val="clear" w:color="auto" w:fill="EDEDED"/>
          </w:tcPr>
          <w:p>
            <w:pPr>
              <w:jc w:val="center"/>
              <w:ind w:left="69"/>
              <w:spacing w:after="0"/>
              <w:rPr>
                <w:sz w:val="20"/>
                <w:szCs w:val="20"/>
                <w:color w:val="auto"/>
              </w:rPr>
            </w:pPr>
            <w:r>
              <w:rPr>
                <w:rFonts w:ascii="Arial" w:cs="Arial" w:eastAsia="Arial" w:hAnsi="Arial"/>
                <w:sz w:val="14"/>
                <w:szCs w:val="14"/>
                <w:color w:val="auto"/>
              </w:rPr>
              <w:t>884,077</w:t>
            </w:r>
          </w:p>
        </w:tc>
        <w:tc>
          <w:tcPr>
            <w:tcW w:w="620" w:type="dxa"/>
            <w:vAlign w:val="bottom"/>
            <w:shd w:val="clear" w:color="auto" w:fill="EDEDED"/>
          </w:tcPr>
          <w:p>
            <w:pPr>
              <w:ind w:left="2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9"/>
              </w:rPr>
              <w:t>1,811,085</w:t>
            </w:r>
          </w:p>
        </w:tc>
        <w:tc>
          <w:tcPr>
            <w:tcW w:w="720" w:type="dxa"/>
            <w:vAlign w:val="bottom"/>
            <w:shd w:val="clear" w:color="auto" w:fill="EDEDED"/>
          </w:tcPr>
          <w:p>
            <w:pPr>
              <w:ind w:left="3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777,988</w:t>
            </w:r>
          </w:p>
        </w:tc>
        <w:tc>
          <w:tcPr>
            <w:tcW w:w="1200" w:type="dxa"/>
            <w:vAlign w:val="bottom"/>
            <w:shd w:val="clear" w:color="auto" w:fill="EDEDED"/>
          </w:tcPr>
          <w:p>
            <w:pPr>
              <w:ind w:left="6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EDEDED"/>
          </w:tcPr>
          <w:p>
            <w:pPr>
              <w:jc w:val="center"/>
              <w:ind w:left="9"/>
              <w:spacing w:after="0"/>
              <w:rPr>
                <w:sz w:val="20"/>
                <w:szCs w:val="20"/>
                <w:color w:val="auto"/>
              </w:rPr>
            </w:pPr>
            <w:r>
              <w:rPr>
                <w:rFonts w:ascii="Arial" w:cs="Arial" w:eastAsia="Arial" w:hAnsi="Arial"/>
                <w:sz w:val="14"/>
                <w:szCs w:val="14"/>
                <w:color w:val="auto"/>
              </w:rPr>
              <w:t>62,131</w:t>
            </w:r>
          </w:p>
        </w:tc>
        <w:tc>
          <w:tcPr>
            <w:tcW w:w="86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3,535,281</w:t>
            </w:r>
          </w:p>
        </w:tc>
        <w:tc>
          <w:tcPr>
            <w:tcW w:w="0" w:type="dxa"/>
            <w:vAlign w:val="bottom"/>
          </w:tcPr>
          <w:p>
            <w:pPr>
              <w:spacing w:after="0"/>
              <w:rPr>
                <w:sz w:val="1"/>
                <w:szCs w:val="1"/>
                <w:color w:val="auto"/>
              </w:rPr>
            </w:pPr>
          </w:p>
        </w:tc>
      </w:tr>
      <w:tr>
        <w:trPr>
          <w:trHeight w:val="171"/>
        </w:trPr>
        <w:tc>
          <w:tcPr>
            <w:tcW w:w="2600" w:type="dxa"/>
            <w:vAlign w:val="bottom"/>
            <w:shd w:val="clear" w:color="auto" w:fill="EDEDED"/>
          </w:tcPr>
          <w:p>
            <w:pPr>
              <w:ind w:left="60"/>
              <w:spacing w:after="0"/>
              <w:rPr>
                <w:sz w:val="20"/>
                <w:szCs w:val="20"/>
                <w:color w:val="auto"/>
              </w:rPr>
            </w:pPr>
            <w:r>
              <w:rPr>
                <w:rFonts w:ascii="Arial" w:cs="Arial" w:eastAsia="Arial" w:hAnsi="Arial"/>
                <w:sz w:val="14"/>
                <w:szCs w:val="14"/>
                <w:color w:val="auto"/>
              </w:rPr>
              <w:t>President and Chief</w:t>
            </w:r>
          </w:p>
        </w:tc>
        <w:tc>
          <w:tcPr>
            <w:tcW w:w="120" w:type="dxa"/>
            <w:vAlign w:val="bottom"/>
            <w:shd w:val="clear" w:color="auto" w:fill="EDEDED"/>
          </w:tcPr>
          <w:p>
            <w:pPr>
              <w:spacing w:after="0"/>
              <w:rPr>
                <w:sz w:val="14"/>
                <w:szCs w:val="14"/>
                <w:color w:val="auto"/>
              </w:rPr>
            </w:pPr>
          </w:p>
        </w:tc>
        <w:tc>
          <w:tcPr>
            <w:tcW w:w="320" w:type="dxa"/>
            <w:vAlign w:val="bottom"/>
            <w:shd w:val="clear" w:color="auto" w:fill="EDEDED"/>
          </w:tcPr>
          <w:p>
            <w:pPr>
              <w:spacing w:after="0"/>
              <w:rPr>
                <w:sz w:val="20"/>
                <w:szCs w:val="20"/>
                <w:color w:val="auto"/>
              </w:rPr>
            </w:pPr>
            <w:r>
              <w:rPr>
                <w:rFonts w:ascii="Arial" w:cs="Arial" w:eastAsia="Arial" w:hAnsi="Arial"/>
                <w:sz w:val="14"/>
                <w:szCs w:val="14"/>
                <w:color w:val="auto"/>
                <w:w w:val="96"/>
              </w:rPr>
              <w:t>2021</w:t>
            </w:r>
          </w:p>
        </w:tc>
        <w:tc>
          <w:tcPr>
            <w:tcW w:w="820" w:type="dxa"/>
            <w:vAlign w:val="bottom"/>
            <w:shd w:val="clear" w:color="auto" w:fill="EDEDED"/>
          </w:tcPr>
          <w:p>
            <w:pPr>
              <w:jc w:val="center"/>
              <w:ind w:left="69"/>
              <w:spacing w:after="0"/>
              <w:rPr>
                <w:sz w:val="20"/>
                <w:szCs w:val="20"/>
                <w:color w:val="auto"/>
              </w:rPr>
            </w:pPr>
            <w:r>
              <w:rPr>
                <w:rFonts w:ascii="Arial" w:cs="Arial" w:eastAsia="Arial" w:hAnsi="Arial"/>
                <w:sz w:val="14"/>
                <w:szCs w:val="14"/>
                <w:color w:val="auto"/>
              </w:rPr>
              <w:t>840,000</w:t>
            </w:r>
          </w:p>
        </w:tc>
        <w:tc>
          <w:tcPr>
            <w:tcW w:w="620" w:type="dxa"/>
            <w:vAlign w:val="bottom"/>
            <w:shd w:val="clear" w:color="auto" w:fill="EDEDED"/>
          </w:tcPr>
          <w:p>
            <w:pPr>
              <w:ind w:left="2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2,734,149</w:t>
            </w:r>
          </w:p>
        </w:tc>
        <w:tc>
          <w:tcPr>
            <w:tcW w:w="720" w:type="dxa"/>
            <w:vAlign w:val="bottom"/>
            <w:shd w:val="clear" w:color="auto" w:fill="EDEDED"/>
          </w:tcPr>
          <w:p>
            <w:pPr>
              <w:ind w:left="3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320,628</w:t>
            </w:r>
          </w:p>
        </w:tc>
        <w:tc>
          <w:tcPr>
            <w:tcW w:w="1200" w:type="dxa"/>
            <w:vAlign w:val="bottom"/>
            <w:shd w:val="clear" w:color="auto" w:fill="EDEDED"/>
          </w:tcPr>
          <w:p>
            <w:pPr>
              <w:ind w:left="6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EDEDED"/>
          </w:tcPr>
          <w:p>
            <w:pPr>
              <w:jc w:val="center"/>
              <w:ind w:left="9"/>
              <w:spacing w:after="0"/>
              <w:rPr>
                <w:sz w:val="20"/>
                <w:szCs w:val="20"/>
                <w:color w:val="auto"/>
              </w:rPr>
            </w:pPr>
            <w:r>
              <w:rPr>
                <w:rFonts w:ascii="Arial" w:cs="Arial" w:eastAsia="Arial" w:hAnsi="Arial"/>
                <w:sz w:val="14"/>
                <w:szCs w:val="14"/>
                <w:color w:val="auto"/>
              </w:rPr>
              <w:t>43,831</w:t>
            </w:r>
          </w:p>
        </w:tc>
        <w:tc>
          <w:tcPr>
            <w:tcW w:w="86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3,938,608</w:t>
            </w:r>
          </w:p>
        </w:tc>
        <w:tc>
          <w:tcPr>
            <w:tcW w:w="0" w:type="dxa"/>
            <w:vAlign w:val="bottom"/>
          </w:tcPr>
          <w:p>
            <w:pPr>
              <w:spacing w:after="0"/>
              <w:rPr>
                <w:sz w:val="1"/>
                <w:szCs w:val="1"/>
                <w:color w:val="auto"/>
              </w:rPr>
            </w:pPr>
          </w:p>
        </w:tc>
      </w:tr>
      <w:tr>
        <w:trPr>
          <w:trHeight w:val="236"/>
        </w:trPr>
        <w:tc>
          <w:tcPr>
            <w:tcW w:w="26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4"/>
                <w:szCs w:val="14"/>
                <w:color w:val="auto"/>
              </w:rPr>
              <w:t>Executive Officer</w:t>
            </w:r>
          </w:p>
        </w:tc>
        <w:tc>
          <w:tcPr>
            <w:tcW w:w="120" w:type="dxa"/>
            <w:vAlign w:val="bottom"/>
            <w:tcBorders>
              <w:bottom w:val="single" w:sz="8" w:color="EDEDED"/>
            </w:tcBorders>
            <w:shd w:val="clear" w:color="auto" w:fill="EDEDED"/>
          </w:tcPr>
          <w:p>
            <w:pPr>
              <w:spacing w:after="0"/>
              <w:rPr>
                <w:sz w:val="20"/>
                <w:szCs w:val="20"/>
                <w:color w:val="auto"/>
              </w:rPr>
            </w:pPr>
          </w:p>
        </w:tc>
        <w:tc>
          <w:tcPr>
            <w:tcW w:w="320" w:type="dxa"/>
            <w:vAlign w:val="bottom"/>
            <w:tcBorders>
              <w:bottom w:val="single" w:sz="8" w:color="EDEDED"/>
            </w:tcBorders>
            <w:shd w:val="clear" w:color="auto" w:fill="EDEDED"/>
          </w:tcPr>
          <w:p>
            <w:pPr>
              <w:spacing w:after="0"/>
              <w:rPr>
                <w:sz w:val="20"/>
                <w:szCs w:val="20"/>
                <w:color w:val="auto"/>
              </w:rPr>
            </w:pPr>
            <w:r>
              <w:rPr>
                <w:rFonts w:ascii="Arial" w:cs="Arial" w:eastAsia="Arial" w:hAnsi="Arial"/>
                <w:sz w:val="14"/>
                <w:szCs w:val="14"/>
                <w:color w:val="auto"/>
                <w:w w:val="96"/>
              </w:rPr>
              <w:t>2020</w:t>
            </w:r>
          </w:p>
        </w:tc>
        <w:tc>
          <w:tcPr>
            <w:tcW w:w="820" w:type="dxa"/>
            <w:vAlign w:val="bottom"/>
            <w:tcBorders>
              <w:bottom w:val="single" w:sz="8" w:color="EDEDED"/>
            </w:tcBorders>
            <w:shd w:val="clear" w:color="auto" w:fill="EDEDED"/>
          </w:tcPr>
          <w:p>
            <w:pPr>
              <w:jc w:val="center"/>
              <w:ind w:left="69"/>
              <w:spacing w:after="0"/>
              <w:rPr>
                <w:sz w:val="20"/>
                <w:szCs w:val="20"/>
                <w:color w:val="auto"/>
              </w:rPr>
            </w:pPr>
            <w:r>
              <w:rPr>
                <w:rFonts w:ascii="Arial" w:cs="Arial" w:eastAsia="Arial" w:hAnsi="Arial"/>
                <w:sz w:val="14"/>
                <w:szCs w:val="14"/>
                <w:color w:val="auto"/>
              </w:rPr>
              <w:t>689,232</w:t>
            </w:r>
          </w:p>
        </w:tc>
        <w:tc>
          <w:tcPr>
            <w:tcW w:w="620" w:type="dxa"/>
            <w:vAlign w:val="bottom"/>
            <w:tcBorders>
              <w:bottom w:val="single" w:sz="8" w:color="EDEDED"/>
            </w:tcBorders>
            <w:shd w:val="clear" w:color="auto" w:fill="EDEDED"/>
          </w:tcPr>
          <w:p>
            <w:pPr>
              <w:ind w:left="28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839,987</w:t>
            </w:r>
          </w:p>
        </w:tc>
        <w:tc>
          <w:tcPr>
            <w:tcW w:w="720" w:type="dxa"/>
            <w:vAlign w:val="bottom"/>
            <w:tcBorders>
              <w:bottom w:val="single" w:sz="8" w:color="EDEDED"/>
            </w:tcBorders>
            <w:shd w:val="clear" w:color="auto" w:fill="EDEDED"/>
          </w:tcPr>
          <w:p>
            <w:pPr>
              <w:ind w:left="34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Borders>
              <w:bottom w:val="single" w:sz="8" w:color="EDEDED"/>
            </w:tcBorders>
            <w:shd w:val="clear" w:color="auto" w:fill="EDEDED"/>
          </w:tcPr>
          <w:p>
            <w:pPr>
              <w:ind w:left="64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EDEDED"/>
            </w:tcBorders>
            <w:shd w:val="clear" w:color="auto" w:fill="EDEDED"/>
          </w:tcPr>
          <w:p>
            <w:pPr>
              <w:jc w:val="center"/>
              <w:ind w:left="9"/>
              <w:spacing w:after="0"/>
              <w:rPr>
                <w:sz w:val="20"/>
                <w:szCs w:val="20"/>
                <w:color w:val="auto"/>
              </w:rPr>
            </w:pPr>
            <w:r>
              <w:rPr>
                <w:rFonts w:ascii="Arial" w:cs="Arial" w:eastAsia="Arial" w:hAnsi="Arial"/>
                <w:sz w:val="14"/>
                <w:szCs w:val="14"/>
                <w:color w:val="auto"/>
              </w:rPr>
              <w:t>21,474</w:t>
            </w:r>
          </w:p>
        </w:tc>
        <w:tc>
          <w:tcPr>
            <w:tcW w:w="86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1,550,693</w:t>
            </w:r>
          </w:p>
        </w:tc>
        <w:tc>
          <w:tcPr>
            <w:tcW w:w="0" w:type="dxa"/>
            <w:vAlign w:val="bottom"/>
          </w:tcPr>
          <w:p>
            <w:pPr>
              <w:spacing w:after="0"/>
              <w:rPr>
                <w:sz w:val="1"/>
                <w:szCs w:val="1"/>
                <w:color w:val="auto"/>
              </w:rPr>
            </w:pPr>
          </w:p>
        </w:tc>
      </w:tr>
      <w:tr>
        <w:trPr>
          <w:trHeight w:val="220"/>
        </w:trPr>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Olivier G. Thirot</w:t>
            </w:r>
          </w:p>
        </w:tc>
        <w:tc>
          <w:tcPr>
            <w:tcW w:w="440" w:type="dxa"/>
            <w:vAlign w:val="bottom"/>
            <w:gridSpan w:val="2"/>
          </w:tcPr>
          <w:p>
            <w:pPr>
              <w:ind w:left="120"/>
              <w:spacing w:after="0"/>
              <w:rPr>
                <w:sz w:val="20"/>
                <w:szCs w:val="20"/>
                <w:color w:val="auto"/>
              </w:rPr>
            </w:pPr>
            <w:r>
              <w:rPr>
                <w:rFonts w:ascii="Arial" w:cs="Arial" w:eastAsia="Arial" w:hAnsi="Arial"/>
                <w:sz w:val="14"/>
                <w:szCs w:val="14"/>
                <w:color w:val="auto"/>
                <w:w w:val="96"/>
              </w:rPr>
              <w:t>2022</w:t>
            </w:r>
          </w:p>
        </w:tc>
        <w:tc>
          <w:tcPr>
            <w:tcW w:w="820" w:type="dxa"/>
            <w:vAlign w:val="bottom"/>
          </w:tcPr>
          <w:p>
            <w:pPr>
              <w:jc w:val="center"/>
              <w:ind w:left="69"/>
              <w:spacing w:after="0"/>
              <w:rPr>
                <w:sz w:val="20"/>
                <w:szCs w:val="20"/>
                <w:color w:val="auto"/>
              </w:rPr>
            </w:pPr>
            <w:r>
              <w:rPr>
                <w:rFonts w:ascii="Arial" w:cs="Arial" w:eastAsia="Arial" w:hAnsi="Arial"/>
                <w:sz w:val="14"/>
                <w:szCs w:val="14"/>
                <w:color w:val="auto"/>
              </w:rPr>
              <w:t>620,583</w:t>
            </w:r>
          </w:p>
        </w:tc>
        <w:tc>
          <w:tcPr>
            <w:tcW w:w="620" w:type="dxa"/>
            <w:vAlign w:val="bottom"/>
          </w:tcPr>
          <w:p>
            <w:pPr>
              <w:ind w:left="280"/>
              <w:spacing w:after="0"/>
              <w:rPr>
                <w:sz w:val="20"/>
                <w:szCs w:val="20"/>
                <w:color w:val="auto"/>
              </w:rPr>
            </w:pPr>
            <w:r>
              <w:rPr>
                <w:rFonts w:ascii="Arial" w:cs="Arial" w:eastAsia="Arial" w:hAnsi="Arial"/>
                <w:sz w:val="14"/>
                <w:szCs w:val="14"/>
                <w:color w:val="auto"/>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864,388</w:t>
            </w:r>
          </w:p>
        </w:tc>
        <w:tc>
          <w:tcPr>
            <w:tcW w:w="720" w:type="dxa"/>
            <w:vAlign w:val="bottom"/>
          </w:tcPr>
          <w:p>
            <w:pPr>
              <w:ind w:left="340"/>
              <w:spacing w:after="0"/>
              <w:rPr>
                <w:sz w:val="20"/>
                <w:szCs w:val="20"/>
                <w:color w:val="auto"/>
              </w:rPr>
            </w:pPr>
            <w:r>
              <w:rPr>
                <w:rFonts w:ascii="Arial" w:cs="Arial" w:eastAsia="Arial" w:hAnsi="Arial"/>
                <w:sz w:val="14"/>
                <w:szCs w:val="14"/>
                <w:color w:val="auto"/>
              </w:rPr>
              <w:t>—</w:t>
            </w:r>
          </w:p>
        </w:tc>
        <w:tc>
          <w:tcPr>
            <w:tcW w:w="1200" w:type="dxa"/>
            <w:vAlign w:val="bottom"/>
          </w:tcPr>
          <w:p>
            <w:pPr>
              <w:jc w:val="center"/>
              <w:spacing w:after="0"/>
              <w:rPr>
                <w:sz w:val="20"/>
                <w:szCs w:val="20"/>
                <w:color w:val="auto"/>
              </w:rPr>
            </w:pPr>
            <w:r>
              <w:rPr>
                <w:rFonts w:ascii="Arial" w:cs="Arial" w:eastAsia="Arial" w:hAnsi="Arial"/>
                <w:sz w:val="14"/>
                <w:szCs w:val="14"/>
                <w:color w:val="auto"/>
              </w:rPr>
              <w:t>443,300</w:t>
            </w:r>
          </w:p>
        </w:tc>
        <w:tc>
          <w:tcPr>
            <w:tcW w:w="1200" w:type="dxa"/>
            <w:vAlign w:val="bottom"/>
          </w:tcPr>
          <w:p>
            <w:pPr>
              <w:ind w:left="640"/>
              <w:spacing w:after="0"/>
              <w:rPr>
                <w:sz w:val="20"/>
                <w:szCs w:val="20"/>
                <w:color w:val="auto"/>
              </w:rPr>
            </w:pPr>
            <w:r>
              <w:rPr>
                <w:rFonts w:ascii="Arial" w:cs="Arial" w:eastAsia="Arial" w:hAnsi="Arial"/>
                <w:sz w:val="14"/>
                <w:szCs w:val="14"/>
                <w:color w:val="auto"/>
              </w:rPr>
              <w:t>—</w:t>
            </w:r>
          </w:p>
        </w:tc>
        <w:tc>
          <w:tcPr>
            <w:tcW w:w="1480" w:type="dxa"/>
            <w:vAlign w:val="bottom"/>
          </w:tcPr>
          <w:p>
            <w:pPr>
              <w:jc w:val="center"/>
              <w:ind w:left="9"/>
              <w:spacing w:after="0"/>
              <w:rPr>
                <w:sz w:val="20"/>
                <w:szCs w:val="20"/>
                <w:color w:val="auto"/>
              </w:rPr>
            </w:pPr>
            <w:r>
              <w:rPr>
                <w:rFonts w:ascii="Arial" w:cs="Arial" w:eastAsia="Arial" w:hAnsi="Arial"/>
                <w:sz w:val="14"/>
                <w:szCs w:val="14"/>
                <w:color w:val="auto"/>
              </w:rPr>
              <w:t>76,181</w:t>
            </w:r>
          </w:p>
        </w:tc>
        <w:tc>
          <w:tcPr>
            <w:tcW w:w="860" w:type="dxa"/>
            <w:vAlign w:val="bottom"/>
          </w:tcPr>
          <w:p>
            <w:pPr>
              <w:jc w:val="center"/>
              <w:spacing w:after="0"/>
              <w:rPr>
                <w:sz w:val="20"/>
                <w:szCs w:val="20"/>
                <w:color w:val="auto"/>
              </w:rPr>
            </w:pPr>
            <w:r>
              <w:rPr>
                <w:rFonts w:ascii="Arial" w:cs="Arial" w:eastAsia="Arial" w:hAnsi="Arial"/>
                <w:sz w:val="14"/>
                <w:szCs w:val="14"/>
                <w:color w:val="auto"/>
              </w:rPr>
              <w:t>2,004,451</w:t>
            </w:r>
          </w:p>
        </w:tc>
        <w:tc>
          <w:tcPr>
            <w:tcW w:w="0" w:type="dxa"/>
            <w:vAlign w:val="bottom"/>
          </w:tcPr>
          <w:p>
            <w:pPr>
              <w:spacing w:after="0"/>
              <w:rPr>
                <w:sz w:val="1"/>
                <w:szCs w:val="1"/>
                <w:color w:val="auto"/>
              </w:rPr>
            </w:pPr>
          </w:p>
        </w:tc>
      </w:tr>
      <w:tr>
        <w:trPr>
          <w:trHeight w:val="171"/>
        </w:trPr>
        <w:tc>
          <w:tcPr>
            <w:tcW w:w="2600" w:type="dxa"/>
            <w:vAlign w:val="bottom"/>
          </w:tcPr>
          <w:p>
            <w:pPr>
              <w:ind w:left="60"/>
              <w:spacing w:after="0"/>
              <w:rPr>
                <w:sz w:val="20"/>
                <w:szCs w:val="20"/>
                <w:color w:val="auto"/>
              </w:rPr>
            </w:pPr>
            <w:r>
              <w:rPr>
                <w:rFonts w:ascii="Arial" w:cs="Arial" w:eastAsia="Arial" w:hAnsi="Arial"/>
                <w:sz w:val="14"/>
                <w:szCs w:val="14"/>
                <w:color w:val="auto"/>
              </w:rPr>
              <w:t>Executive Vice</w:t>
            </w:r>
          </w:p>
        </w:tc>
        <w:tc>
          <w:tcPr>
            <w:tcW w:w="440" w:type="dxa"/>
            <w:vAlign w:val="bottom"/>
            <w:gridSpan w:val="2"/>
          </w:tcPr>
          <w:p>
            <w:pPr>
              <w:ind w:left="120"/>
              <w:spacing w:after="0"/>
              <w:rPr>
                <w:sz w:val="20"/>
                <w:szCs w:val="20"/>
                <w:color w:val="auto"/>
              </w:rPr>
            </w:pPr>
            <w:r>
              <w:rPr>
                <w:rFonts w:ascii="Arial" w:cs="Arial" w:eastAsia="Arial" w:hAnsi="Arial"/>
                <w:sz w:val="14"/>
                <w:szCs w:val="14"/>
                <w:color w:val="auto"/>
                <w:w w:val="96"/>
              </w:rPr>
              <w:t>2021</w:t>
            </w:r>
          </w:p>
        </w:tc>
        <w:tc>
          <w:tcPr>
            <w:tcW w:w="820" w:type="dxa"/>
            <w:vAlign w:val="bottom"/>
          </w:tcPr>
          <w:p>
            <w:pPr>
              <w:jc w:val="center"/>
              <w:ind w:left="69"/>
              <w:spacing w:after="0"/>
              <w:rPr>
                <w:sz w:val="20"/>
                <w:szCs w:val="20"/>
                <w:color w:val="auto"/>
              </w:rPr>
            </w:pPr>
            <w:r>
              <w:rPr>
                <w:rFonts w:ascii="Arial" w:cs="Arial" w:eastAsia="Arial" w:hAnsi="Arial"/>
                <w:sz w:val="14"/>
                <w:szCs w:val="14"/>
                <w:color w:val="auto"/>
              </w:rPr>
              <w:t>588,000</w:t>
            </w:r>
          </w:p>
        </w:tc>
        <w:tc>
          <w:tcPr>
            <w:tcW w:w="620" w:type="dxa"/>
            <w:vAlign w:val="bottom"/>
          </w:tcPr>
          <w:p>
            <w:pPr>
              <w:ind w:left="280"/>
              <w:spacing w:after="0"/>
              <w:rPr>
                <w:sz w:val="20"/>
                <w:szCs w:val="20"/>
                <w:color w:val="auto"/>
              </w:rPr>
            </w:pPr>
            <w:r>
              <w:rPr>
                <w:rFonts w:ascii="Arial" w:cs="Arial" w:eastAsia="Arial" w:hAnsi="Arial"/>
                <w:sz w:val="14"/>
                <w:szCs w:val="14"/>
                <w:color w:val="auto"/>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1,732,281</w:t>
            </w:r>
          </w:p>
        </w:tc>
        <w:tc>
          <w:tcPr>
            <w:tcW w:w="720" w:type="dxa"/>
            <w:vAlign w:val="bottom"/>
          </w:tcPr>
          <w:p>
            <w:pPr>
              <w:ind w:left="340"/>
              <w:spacing w:after="0"/>
              <w:rPr>
                <w:sz w:val="20"/>
                <w:szCs w:val="20"/>
                <w:color w:val="auto"/>
              </w:rPr>
            </w:pPr>
            <w:r>
              <w:rPr>
                <w:rFonts w:ascii="Arial" w:cs="Arial" w:eastAsia="Arial" w:hAnsi="Arial"/>
                <w:sz w:val="14"/>
                <w:szCs w:val="14"/>
                <w:color w:val="auto"/>
              </w:rPr>
              <w:t>—</w:t>
            </w:r>
          </w:p>
        </w:tc>
        <w:tc>
          <w:tcPr>
            <w:tcW w:w="1200" w:type="dxa"/>
            <w:vAlign w:val="bottom"/>
          </w:tcPr>
          <w:p>
            <w:pPr>
              <w:jc w:val="center"/>
              <w:spacing w:after="0"/>
              <w:rPr>
                <w:sz w:val="20"/>
                <w:szCs w:val="20"/>
                <w:color w:val="auto"/>
              </w:rPr>
            </w:pPr>
            <w:r>
              <w:rPr>
                <w:rFonts w:ascii="Arial" w:cs="Arial" w:eastAsia="Arial" w:hAnsi="Arial"/>
                <w:sz w:val="14"/>
                <w:szCs w:val="14"/>
                <w:color w:val="auto"/>
              </w:rPr>
              <w:t>180,000</w:t>
            </w:r>
          </w:p>
        </w:tc>
        <w:tc>
          <w:tcPr>
            <w:tcW w:w="1200" w:type="dxa"/>
            <w:vAlign w:val="bottom"/>
          </w:tcPr>
          <w:p>
            <w:pPr>
              <w:ind w:left="640"/>
              <w:spacing w:after="0"/>
              <w:rPr>
                <w:sz w:val="20"/>
                <w:szCs w:val="20"/>
                <w:color w:val="auto"/>
              </w:rPr>
            </w:pPr>
            <w:r>
              <w:rPr>
                <w:rFonts w:ascii="Arial" w:cs="Arial" w:eastAsia="Arial" w:hAnsi="Arial"/>
                <w:sz w:val="14"/>
                <w:szCs w:val="14"/>
                <w:color w:val="auto"/>
              </w:rPr>
              <w:t>—</w:t>
            </w:r>
          </w:p>
        </w:tc>
        <w:tc>
          <w:tcPr>
            <w:tcW w:w="1480" w:type="dxa"/>
            <w:vAlign w:val="bottom"/>
          </w:tcPr>
          <w:p>
            <w:pPr>
              <w:jc w:val="center"/>
              <w:ind w:left="9"/>
              <w:spacing w:after="0"/>
              <w:rPr>
                <w:sz w:val="20"/>
                <w:szCs w:val="20"/>
                <w:color w:val="auto"/>
              </w:rPr>
            </w:pPr>
            <w:r>
              <w:rPr>
                <w:rFonts w:ascii="Arial" w:cs="Arial" w:eastAsia="Arial" w:hAnsi="Arial"/>
                <w:sz w:val="14"/>
                <w:szCs w:val="14"/>
                <w:color w:val="auto"/>
              </w:rPr>
              <w:t>45,225</w:t>
            </w:r>
          </w:p>
        </w:tc>
        <w:tc>
          <w:tcPr>
            <w:tcW w:w="860" w:type="dxa"/>
            <w:vAlign w:val="bottom"/>
          </w:tcPr>
          <w:p>
            <w:pPr>
              <w:jc w:val="center"/>
              <w:spacing w:after="0"/>
              <w:rPr>
                <w:sz w:val="20"/>
                <w:szCs w:val="20"/>
                <w:color w:val="auto"/>
              </w:rPr>
            </w:pPr>
            <w:r>
              <w:rPr>
                <w:rFonts w:ascii="Arial" w:cs="Arial" w:eastAsia="Arial" w:hAnsi="Arial"/>
                <w:sz w:val="14"/>
                <w:szCs w:val="14"/>
                <w:color w:val="auto"/>
              </w:rPr>
              <w:t>2,545,506</w:t>
            </w:r>
          </w:p>
        </w:tc>
        <w:tc>
          <w:tcPr>
            <w:tcW w:w="0" w:type="dxa"/>
            <w:vAlign w:val="bottom"/>
          </w:tcPr>
          <w:p>
            <w:pPr>
              <w:spacing w:after="0"/>
              <w:rPr>
                <w:sz w:val="1"/>
                <w:szCs w:val="1"/>
                <w:color w:val="auto"/>
              </w:rPr>
            </w:pPr>
          </w:p>
        </w:tc>
      </w:tr>
      <w:tr>
        <w:trPr>
          <w:trHeight w:val="162"/>
        </w:trPr>
        <w:tc>
          <w:tcPr>
            <w:tcW w:w="2600" w:type="dxa"/>
            <w:vAlign w:val="bottom"/>
          </w:tcPr>
          <w:p>
            <w:pPr>
              <w:ind w:left="60"/>
              <w:spacing w:after="0"/>
              <w:rPr>
                <w:sz w:val="20"/>
                <w:szCs w:val="20"/>
                <w:color w:val="auto"/>
              </w:rPr>
            </w:pPr>
            <w:r>
              <w:rPr>
                <w:rFonts w:ascii="Arial" w:cs="Arial" w:eastAsia="Arial" w:hAnsi="Arial"/>
                <w:sz w:val="14"/>
                <w:szCs w:val="14"/>
                <w:color w:val="auto"/>
              </w:rPr>
              <w:t>President and Chief</w:t>
            </w:r>
          </w:p>
        </w:tc>
        <w:tc>
          <w:tcPr>
            <w:tcW w:w="440" w:type="dxa"/>
            <w:vAlign w:val="bottom"/>
            <w:gridSpan w:val="2"/>
          </w:tcPr>
          <w:p>
            <w:pPr>
              <w:ind w:left="120"/>
              <w:spacing w:after="0"/>
              <w:rPr>
                <w:sz w:val="20"/>
                <w:szCs w:val="20"/>
                <w:color w:val="auto"/>
              </w:rPr>
            </w:pPr>
            <w:r>
              <w:rPr>
                <w:rFonts w:ascii="Arial" w:cs="Arial" w:eastAsia="Arial" w:hAnsi="Arial"/>
                <w:sz w:val="14"/>
                <w:szCs w:val="14"/>
                <w:color w:val="auto"/>
                <w:w w:val="96"/>
              </w:rPr>
              <w:t>2020</w:t>
            </w:r>
          </w:p>
        </w:tc>
        <w:tc>
          <w:tcPr>
            <w:tcW w:w="820" w:type="dxa"/>
            <w:vAlign w:val="bottom"/>
          </w:tcPr>
          <w:p>
            <w:pPr>
              <w:jc w:val="center"/>
              <w:ind w:left="69"/>
              <w:spacing w:after="0"/>
              <w:rPr>
                <w:sz w:val="20"/>
                <w:szCs w:val="20"/>
                <w:color w:val="auto"/>
              </w:rPr>
            </w:pPr>
            <w:r>
              <w:rPr>
                <w:rFonts w:ascii="Arial" w:cs="Arial" w:eastAsia="Arial" w:hAnsi="Arial"/>
                <w:sz w:val="14"/>
                <w:szCs w:val="14"/>
                <w:color w:val="auto"/>
              </w:rPr>
              <w:t>524,677</w:t>
            </w:r>
          </w:p>
        </w:tc>
        <w:tc>
          <w:tcPr>
            <w:tcW w:w="620" w:type="dxa"/>
            <w:vAlign w:val="bottom"/>
          </w:tcPr>
          <w:p>
            <w:pPr>
              <w:ind w:left="280"/>
              <w:spacing w:after="0"/>
              <w:rPr>
                <w:sz w:val="20"/>
                <w:szCs w:val="20"/>
                <w:color w:val="auto"/>
              </w:rPr>
            </w:pPr>
            <w:r>
              <w:rPr>
                <w:rFonts w:ascii="Arial" w:cs="Arial" w:eastAsia="Arial" w:hAnsi="Arial"/>
                <w:sz w:val="14"/>
                <w:szCs w:val="14"/>
                <w:color w:val="auto"/>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424,963</w:t>
            </w:r>
          </w:p>
        </w:tc>
        <w:tc>
          <w:tcPr>
            <w:tcW w:w="720" w:type="dxa"/>
            <w:vAlign w:val="bottom"/>
          </w:tcPr>
          <w:p>
            <w:pPr>
              <w:ind w:left="340"/>
              <w:spacing w:after="0"/>
              <w:rPr>
                <w:sz w:val="20"/>
                <w:szCs w:val="20"/>
                <w:color w:val="auto"/>
              </w:rPr>
            </w:pPr>
            <w:r>
              <w:rPr>
                <w:rFonts w:ascii="Arial" w:cs="Arial" w:eastAsia="Arial" w:hAnsi="Arial"/>
                <w:sz w:val="14"/>
                <w:szCs w:val="14"/>
                <w:color w:val="auto"/>
              </w:rPr>
              <w:t>—</w:t>
            </w:r>
          </w:p>
        </w:tc>
        <w:tc>
          <w:tcPr>
            <w:tcW w:w="120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tcPr>
          <w:p>
            <w:pPr>
              <w:ind w:left="640"/>
              <w:spacing w:after="0"/>
              <w:rPr>
                <w:sz w:val="20"/>
                <w:szCs w:val="20"/>
                <w:color w:val="auto"/>
              </w:rPr>
            </w:pPr>
            <w:r>
              <w:rPr>
                <w:rFonts w:ascii="Arial" w:cs="Arial" w:eastAsia="Arial" w:hAnsi="Arial"/>
                <w:sz w:val="14"/>
                <w:szCs w:val="14"/>
                <w:color w:val="auto"/>
              </w:rPr>
              <w:t>—</w:t>
            </w:r>
          </w:p>
        </w:tc>
        <w:tc>
          <w:tcPr>
            <w:tcW w:w="1480" w:type="dxa"/>
            <w:vAlign w:val="bottom"/>
          </w:tcPr>
          <w:p>
            <w:pPr>
              <w:jc w:val="center"/>
              <w:ind w:left="9"/>
              <w:spacing w:after="0"/>
              <w:rPr>
                <w:sz w:val="20"/>
                <w:szCs w:val="20"/>
                <w:color w:val="auto"/>
              </w:rPr>
            </w:pPr>
            <w:r>
              <w:rPr>
                <w:rFonts w:ascii="Arial" w:cs="Arial" w:eastAsia="Arial" w:hAnsi="Arial"/>
                <w:sz w:val="14"/>
                <w:szCs w:val="14"/>
                <w:color w:val="auto"/>
              </w:rPr>
              <w:t>45,195</w:t>
            </w:r>
          </w:p>
        </w:tc>
        <w:tc>
          <w:tcPr>
            <w:tcW w:w="860" w:type="dxa"/>
            <w:vAlign w:val="bottom"/>
          </w:tcPr>
          <w:p>
            <w:pPr>
              <w:jc w:val="center"/>
              <w:spacing w:after="0"/>
              <w:rPr>
                <w:sz w:val="20"/>
                <w:szCs w:val="20"/>
                <w:color w:val="auto"/>
              </w:rPr>
            </w:pPr>
            <w:r>
              <w:rPr>
                <w:rFonts w:ascii="Arial" w:cs="Arial" w:eastAsia="Arial" w:hAnsi="Arial"/>
                <w:sz w:val="14"/>
                <w:szCs w:val="14"/>
                <w:color w:val="auto"/>
              </w:rPr>
              <w:t>994,835</w:t>
            </w:r>
          </w:p>
        </w:tc>
        <w:tc>
          <w:tcPr>
            <w:tcW w:w="0" w:type="dxa"/>
            <w:vAlign w:val="bottom"/>
          </w:tcPr>
          <w:p>
            <w:pPr>
              <w:spacing w:after="0"/>
              <w:rPr>
                <w:sz w:val="1"/>
                <w:szCs w:val="1"/>
                <w:color w:val="auto"/>
              </w:rPr>
            </w:pPr>
          </w:p>
        </w:tc>
      </w:tr>
      <w:tr>
        <w:trPr>
          <w:trHeight w:val="196"/>
        </w:trPr>
        <w:tc>
          <w:tcPr>
            <w:tcW w:w="2600" w:type="dxa"/>
            <w:vAlign w:val="bottom"/>
          </w:tcPr>
          <w:p>
            <w:pPr>
              <w:ind w:left="60"/>
              <w:spacing w:after="0"/>
              <w:rPr>
                <w:sz w:val="20"/>
                <w:szCs w:val="20"/>
                <w:color w:val="auto"/>
              </w:rPr>
            </w:pPr>
            <w:r>
              <w:rPr>
                <w:rFonts w:ascii="Arial" w:cs="Arial" w:eastAsia="Arial" w:hAnsi="Arial"/>
                <w:sz w:val="14"/>
                <w:szCs w:val="14"/>
                <w:color w:val="auto"/>
              </w:rPr>
              <w:t>Financial Officer</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600" w:type="dxa"/>
            <w:vAlign w:val="bottom"/>
            <w:shd w:val="clear" w:color="auto" w:fill="EDEDED"/>
          </w:tcPr>
          <w:p>
            <w:pPr>
              <w:ind w:left="60"/>
              <w:spacing w:after="0"/>
              <w:rPr>
                <w:sz w:val="20"/>
                <w:szCs w:val="20"/>
                <w:color w:val="auto"/>
              </w:rPr>
            </w:pPr>
            <w:r>
              <w:rPr>
                <w:rFonts w:ascii="Arial" w:cs="Arial" w:eastAsia="Arial" w:hAnsi="Arial"/>
                <w:sz w:val="14"/>
                <w:szCs w:val="14"/>
                <w:b w:val="1"/>
                <w:bCs w:val="1"/>
                <w:color w:val="auto"/>
              </w:rPr>
              <w:t>Dinette Koolhaas</w:t>
            </w:r>
          </w:p>
        </w:tc>
        <w:tc>
          <w:tcPr>
            <w:tcW w:w="440" w:type="dxa"/>
            <w:vAlign w:val="bottom"/>
            <w:gridSpan w:val="2"/>
            <w:shd w:val="clear" w:color="auto" w:fill="EDEDED"/>
          </w:tcPr>
          <w:p>
            <w:pPr>
              <w:ind w:left="120"/>
              <w:spacing w:after="0"/>
              <w:rPr>
                <w:sz w:val="20"/>
                <w:szCs w:val="20"/>
                <w:color w:val="auto"/>
              </w:rPr>
            </w:pPr>
            <w:r>
              <w:rPr>
                <w:rFonts w:ascii="Arial" w:cs="Arial" w:eastAsia="Arial" w:hAnsi="Arial"/>
                <w:sz w:val="14"/>
                <w:szCs w:val="14"/>
                <w:color w:val="auto"/>
                <w:w w:val="96"/>
              </w:rPr>
              <w:t>2022</w:t>
            </w:r>
          </w:p>
        </w:tc>
        <w:tc>
          <w:tcPr>
            <w:tcW w:w="820" w:type="dxa"/>
            <w:vAlign w:val="bottom"/>
            <w:shd w:val="clear" w:color="auto" w:fill="EDEDED"/>
          </w:tcPr>
          <w:p>
            <w:pPr>
              <w:jc w:val="center"/>
              <w:ind w:left="69"/>
              <w:spacing w:after="0"/>
              <w:rPr>
                <w:sz w:val="20"/>
                <w:szCs w:val="20"/>
                <w:color w:val="auto"/>
              </w:rPr>
            </w:pPr>
            <w:r>
              <w:rPr>
                <w:rFonts w:ascii="Arial" w:cs="Arial" w:eastAsia="Arial" w:hAnsi="Arial"/>
                <w:sz w:val="14"/>
                <w:szCs w:val="14"/>
                <w:color w:val="auto"/>
              </w:rPr>
              <w:t>521,865</w:t>
            </w:r>
          </w:p>
        </w:tc>
        <w:tc>
          <w:tcPr>
            <w:tcW w:w="620" w:type="dxa"/>
            <w:vAlign w:val="bottom"/>
            <w:shd w:val="clear" w:color="auto" w:fill="EDEDED"/>
          </w:tcPr>
          <w:p>
            <w:pPr>
              <w:ind w:left="2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368,498</w:t>
            </w:r>
          </w:p>
        </w:tc>
        <w:tc>
          <w:tcPr>
            <w:tcW w:w="720" w:type="dxa"/>
            <w:vAlign w:val="bottom"/>
            <w:shd w:val="clear" w:color="auto" w:fill="EDEDED"/>
          </w:tcPr>
          <w:p>
            <w:pPr>
              <w:ind w:left="3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318,900</w:t>
            </w:r>
          </w:p>
        </w:tc>
        <w:tc>
          <w:tcPr>
            <w:tcW w:w="1200" w:type="dxa"/>
            <w:vAlign w:val="bottom"/>
            <w:shd w:val="clear" w:color="auto" w:fill="EDEDED"/>
          </w:tcPr>
          <w:p>
            <w:pPr>
              <w:ind w:left="6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EDEDED"/>
          </w:tcPr>
          <w:p>
            <w:pPr>
              <w:jc w:val="center"/>
              <w:ind w:left="9"/>
              <w:spacing w:after="0"/>
              <w:rPr>
                <w:sz w:val="20"/>
                <w:szCs w:val="20"/>
                <w:color w:val="auto"/>
              </w:rPr>
            </w:pPr>
            <w:r>
              <w:rPr>
                <w:rFonts w:ascii="Arial" w:cs="Arial" w:eastAsia="Arial" w:hAnsi="Arial"/>
                <w:sz w:val="14"/>
                <w:szCs w:val="14"/>
                <w:color w:val="auto"/>
              </w:rPr>
              <w:t>32,859</w:t>
            </w:r>
          </w:p>
        </w:tc>
        <w:tc>
          <w:tcPr>
            <w:tcW w:w="86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1,242,122</w:t>
            </w:r>
          </w:p>
        </w:tc>
        <w:tc>
          <w:tcPr>
            <w:tcW w:w="0" w:type="dxa"/>
            <w:vAlign w:val="bottom"/>
          </w:tcPr>
          <w:p>
            <w:pPr>
              <w:spacing w:after="0"/>
              <w:rPr>
                <w:sz w:val="1"/>
                <w:szCs w:val="1"/>
                <w:color w:val="auto"/>
              </w:rPr>
            </w:pPr>
          </w:p>
        </w:tc>
      </w:tr>
      <w:tr>
        <w:trPr>
          <w:trHeight w:val="171"/>
        </w:trPr>
        <w:tc>
          <w:tcPr>
            <w:tcW w:w="2600" w:type="dxa"/>
            <w:vAlign w:val="bottom"/>
            <w:shd w:val="clear" w:color="auto" w:fill="EDEDED"/>
          </w:tcPr>
          <w:p>
            <w:pPr>
              <w:ind w:left="60"/>
              <w:spacing w:after="0"/>
              <w:rPr>
                <w:sz w:val="20"/>
                <w:szCs w:val="20"/>
                <w:color w:val="auto"/>
              </w:rPr>
            </w:pPr>
            <w:r>
              <w:rPr>
                <w:rFonts w:ascii="Arial" w:cs="Arial" w:eastAsia="Arial" w:hAnsi="Arial"/>
                <w:sz w:val="14"/>
                <w:szCs w:val="14"/>
                <w:color w:val="auto"/>
              </w:rPr>
              <w:t>Senior Vice President</w:t>
            </w:r>
          </w:p>
        </w:tc>
        <w:tc>
          <w:tcPr>
            <w:tcW w:w="120" w:type="dxa"/>
            <w:vAlign w:val="bottom"/>
            <w:shd w:val="clear" w:color="auto" w:fill="EDEDED"/>
          </w:tcPr>
          <w:p>
            <w:pPr>
              <w:spacing w:after="0"/>
              <w:rPr>
                <w:sz w:val="14"/>
                <w:szCs w:val="14"/>
                <w:color w:val="auto"/>
              </w:rPr>
            </w:pPr>
          </w:p>
        </w:tc>
        <w:tc>
          <w:tcPr>
            <w:tcW w:w="320" w:type="dxa"/>
            <w:vAlign w:val="bottom"/>
            <w:shd w:val="clear" w:color="auto" w:fill="EDEDED"/>
          </w:tcPr>
          <w:p>
            <w:pPr>
              <w:spacing w:after="0"/>
              <w:rPr>
                <w:sz w:val="20"/>
                <w:szCs w:val="20"/>
                <w:color w:val="auto"/>
              </w:rPr>
            </w:pPr>
            <w:r>
              <w:rPr>
                <w:rFonts w:ascii="Arial" w:cs="Arial" w:eastAsia="Arial" w:hAnsi="Arial"/>
                <w:sz w:val="14"/>
                <w:szCs w:val="14"/>
                <w:color w:val="auto"/>
                <w:w w:val="96"/>
              </w:rPr>
              <w:t>2021</w:t>
            </w:r>
          </w:p>
        </w:tc>
        <w:tc>
          <w:tcPr>
            <w:tcW w:w="820" w:type="dxa"/>
            <w:vAlign w:val="bottom"/>
            <w:shd w:val="clear" w:color="auto" w:fill="EDEDED"/>
          </w:tcPr>
          <w:p>
            <w:pPr>
              <w:jc w:val="center"/>
              <w:ind w:left="69"/>
              <w:spacing w:after="0"/>
              <w:rPr>
                <w:sz w:val="20"/>
                <w:szCs w:val="20"/>
                <w:color w:val="auto"/>
              </w:rPr>
            </w:pPr>
            <w:r>
              <w:rPr>
                <w:rFonts w:ascii="Arial" w:cs="Arial" w:eastAsia="Arial" w:hAnsi="Arial"/>
                <w:sz w:val="14"/>
                <w:szCs w:val="14"/>
                <w:color w:val="auto"/>
              </w:rPr>
              <w:t>535,240</w:t>
            </w:r>
          </w:p>
        </w:tc>
        <w:tc>
          <w:tcPr>
            <w:tcW w:w="620" w:type="dxa"/>
            <w:vAlign w:val="bottom"/>
            <w:shd w:val="clear" w:color="auto" w:fill="EDEDED"/>
          </w:tcPr>
          <w:p>
            <w:pPr>
              <w:ind w:left="2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505,786</w:t>
            </w:r>
          </w:p>
        </w:tc>
        <w:tc>
          <w:tcPr>
            <w:tcW w:w="720" w:type="dxa"/>
            <w:vAlign w:val="bottom"/>
            <w:shd w:val="clear" w:color="auto" w:fill="EDEDED"/>
          </w:tcPr>
          <w:p>
            <w:pPr>
              <w:ind w:left="3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198,000</w:t>
            </w:r>
          </w:p>
        </w:tc>
        <w:tc>
          <w:tcPr>
            <w:tcW w:w="1200" w:type="dxa"/>
            <w:vAlign w:val="bottom"/>
            <w:shd w:val="clear" w:color="auto" w:fill="EDEDED"/>
          </w:tcPr>
          <w:p>
            <w:pPr>
              <w:ind w:left="6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EDEDED"/>
          </w:tcPr>
          <w:p>
            <w:pPr>
              <w:jc w:val="center"/>
              <w:ind w:left="9"/>
              <w:spacing w:after="0"/>
              <w:rPr>
                <w:sz w:val="20"/>
                <w:szCs w:val="20"/>
                <w:color w:val="auto"/>
              </w:rPr>
            </w:pPr>
            <w:r>
              <w:rPr>
                <w:rFonts w:ascii="Arial" w:cs="Arial" w:eastAsia="Arial" w:hAnsi="Arial"/>
                <w:sz w:val="14"/>
                <w:szCs w:val="14"/>
                <w:color w:val="auto"/>
              </w:rPr>
              <w:t>34,138</w:t>
            </w:r>
          </w:p>
        </w:tc>
        <w:tc>
          <w:tcPr>
            <w:tcW w:w="86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1,273,163</w:t>
            </w:r>
          </w:p>
        </w:tc>
        <w:tc>
          <w:tcPr>
            <w:tcW w:w="0" w:type="dxa"/>
            <w:vAlign w:val="bottom"/>
          </w:tcPr>
          <w:p>
            <w:pPr>
              <w:spacing w:after="0"/>
              <w:rPr>
                <w:sz w:val="1"/>
                <w:szCs w:val="1"/>
                <w:color w:val="auto"/>
              </w:rPr>
            </w:pPr>
          </w:p>
        </w:tc>
      </w:tr>
      <w:tr>
        <w:trPr>
          <w:trHeight w:val="153"/>
        </w:trPr>
        <w:tc>
          <w:tcPr>
            <w:tcW w:w="2600" w:type="dxa"/>
            <w:vAlign w:val="bottom"/>
            <w:shd w:val="clear" w:color="auto" w:fill="EDEDED"/>
          </w:tcPr>
          <w:p>
            <w:pPr>
              <w:ind w:left="60"/>
              <w:spacing w:after="0" w:line="153" w:lineRule="exact"/>
              <w:rPr>
                <w:sz w:val="20"/>
                <w:szCs w:val="20"/>
                <w:color w:val="auto"/>
              </w:rPr>
            </w:pPr>
            <w:r>
              <w:rPr>
                <w:rFonts w:ascii="Arial" w:cs="Arial" w:eastAsia="Arial" w:hAnsi="Arial"/>
                <w:sz w:val="14"/>
                <w:szCs w:val="14"/>
                <w:color w:val="auto"/>
              </w:rPr>
              <w:t>and President</w:t>
            </w:r>
          </w:p>
        </w:tc>
        <w:tc>
          <w:tcPr>
            <w:tcW w:w="120" w:type="dxa"/>
            <w:vAlign w:val="bottom"/>
            <w:shd w:val="clear" w:color="auto" w:fill="EDEDED"/>
          </w:tcPr>
          <w:p>
            <w:pPr>
              <w:spacing w:after="0"/>
              <w:rPr>
                <w:sz w:val="13"/>
                <w:szCs w:val="13"/>
                <w:color w:val="auto"/>
              </w:rPr>
            </w:pPr>
          </w:p>
        </w:tc>
        <w:tc>
          <w:tcPr>
            <w:tcW w:w="320" w:type="dxa"/>
            <w:vAlign w:val="bottom"/>
            <w:vMerge w:val="restart"/>
            <w:shd w:val="clear" w:color="auto" w:fill="EDEDED"/>
          </w:tcPr>
          <w:p>
            <w:pPr>
              <w:spacing w:after="0"/>
              <w:rPr>
                <w:sz w:val="20"/>
                <w:szCs w:val="20"/>
                <w:color w:val="auto"/>
              </w:rPr>
            </w:pPr>
            <w:r>
              <w:rPr>
                <w:rFonts w:ascii="Arial" w:cs="Arial" w:eastAsia="Arial" w:hAnsi="Arial"/>
                <w:sz w:val="14"/>
                <w:szCs w:val="14"/>
                <w:color w:val="auto"/>
                <w:w w:val="96"/>
              </w:rPr>
              <w:t>2020</w:t>
            </w:r>
          </w:p>
        </w:tc>
        <w:tc>
          <w:tcPr>
            <w:tcW w:w="820" w:type="dxa"/>
            <w:vAlign w:val="bottom"/>
            <w:vMerge w:val="restart"/>
            <w:shd w:val="clear" w:color="auto" w:fill="EDEDED"/>
          </w:tcPr>
          <w:p>
            <w:pPr>
              <w:jc w:val="center"/>
              <w:ind w:left="69"/>
              <w:spacing w:after="0"/>
              <w:rPr>
                <w:sz w:val="20"/>
                <w:szCs w:val="20"/>
                <w:color w:val="auto"/>
              </w:rPr>
            </w:pPr>
            <w:r>
              <w:rPr>
                <w:rFonts w:ascii="Arial" w:cs="Arial" w:eastAsia="Arial" w:hAnsi="Arial"/>
                <w:sz w:val="14"/>
                <w:szCs w:val="14"/>
                <w:color w:val="auto"/>
              </w:rPr>
              <w:t>499,323</w:t>
            </w:r>
          </w:p>
        </w:tc>
        <w:tc>
          <w:tcPr>
            <w:tcW w:w="620" w:type="dxa"/>
            <w:vAlign w:val="bottom"/>
            <w:vMerge w:val="restart"/>
            <w:shd w:val="clear" w:color="auto" w:fill="EDEDED"/>
          </w:tcPr>
          <w:p>
            <w:pPr>
              <w:ind w:left="28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EDEDED"/>
          </w:tcPr>
          <w:p>
            <w:pPr>
              <w:jc w:val="center"/>
              <w:spacing w:after="0"/>
              <w:rPr>
                <w:sz w:val="20"/>
                <w:szCs w:val="20"/>
                <w:color w:val="auto"/>
              </w:rPr>
            </w:pPr>
            <w:r>
              <w:rPr>
                <w:rFonts w:ascii="Arial" w:cs="Arial" w:eastAsia="Arial" w:hAnsi="Arial"/>
                <w:sz w:val="14"/>
                <w:szCs w:val="14"/>
                <w:color w:val="auto"/>
              </w:rPr>
              <w:t>134,275</w:t>
            </w:r>
          </w:p>
        </w:tc>
        <w:tc>
          <w:tcPr>
            <w:tcW w:w="720" w:type="dxa"/>
            <w:vAlign w:val="bottom"/>
            <w:vMerge w:val="restart"/>
            <w:shd w:val="clear" w:color="auto" w:fill="EDEDED"/>
          </w:tcPr>
          <w:p>
            <w:pPr>
              <w:ind w:left="340"/>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EDEDED"/>
          </w:tcPr>
          <w:p>
            <w:pPr>
              <w:jc w:val="center"/>
              <w:spacing w:after="0"/>
              <w:rPr>
                <w:sz w:val="20"/>
                <w:szCs w:val="20"/>
                <w:color w:val="auto"/>
              </w:rPr>
            </w:pPr>
            <w:r>
              <w:rPr>
                <w:rFonts w:ascii="Arial" w:cs="Arial" w:eastAsia="Arial" w:hAnsi="Arial"/>
                <w:sz w:val="14"/>
                <w:szCs w:val="14"/>
                <w:color w:val="auto"/>
                <w:w w:val="99"/>
              </w:rPr>
              <w:t>—</w:t>
            </w:r>
          </w:p>
        </w:tc>
        <w:tc>
          <w:tcPr>
            <w:tcW w:w="1200" w:type="dxa"/>
            <w:vAlign w:val="bottom"/>
            <w:vMerge w:val="restart"/>
            <w:shd w:val="clear" w:color="auto" w:fill="EDEDED"/>
          </w:tcPr>
          <w:p>
            <w:pPr>
              <w:ind w:left="640"/>
              <w:spacing w:after="0"/>
              <w:rPr>
                <w:sz w:val="20"/>
                <w:szCs w:val="20"/>
                <w:color w:val="auto"/>
              </w:rPr>
            </w:pPr>
            <w:r>
              <w:rPr>
                <w:rFonts w:ascii="Arial" w:cs="Arial" w:eastAsia="Arial" w:hAnsi="Arial"/>
                <w:sz w:val="14"/>
                <w:szCs w:val="14"/>
                <w:color w:val="auto"/>
              </w:rPr>
              <w:t>—</w:t>
            </w:r>
          </w:p>
        </w:tc>
        <w:tc>
          <w:tcPr>
            <w:tcW w:w="1480" w:type="dxa"/>
            <w:vAlign w:val="bottom"/>
            <w:vMerge w:val="restart"/>
            <w:shd w:val="clear" w:color="auto" w:fill="EDEDED"/>
          </w:tcPr>
          <w:p>
            <w:pPr>
              <w:jc w:val="center"/>
              <w:ind w:left="9"/>
              <w:spacing w:after="0"/>
              <w:rPr>
                <w:sz w:val="20"/>
                <w:szCs w:val="20"/>
                <w:color w:val="auto"/>
              </w:rPr>
            </w:pPr>
            <w:r>
              <w:rPr>
                <w:rFonts w:ascii="Arial" w:cs="Arial" w:eastAsia="Arial" w:hAnsi="Arial"/>
                <w:sz w:val="14"/>
                <w:szCs w:val="14"/>
                <w:color w:val="auto"/>
              </w:rPr>
              <w:t>33,872</w:t>
            </w:r>
          </w:p>
        </w:tc>
        <w:tc>
          <w:tcPr>
            <w:tcW w:w="860" w:type="dxa"/>
            <w:vAlign w:val="bottom"/>
            <w:vMerge w:val="restart"/>
            <w:shd w:val="clear" w:color="auto" w:fill="EDEDED"/>
          </w:tcPr>
          <w:p>
            <w:pPr>
              <w:jc w:val="center"/>
              <w:spacing w:after="0"/>
              <w:rPr>
                <w:sz w:val="20"/>
                <w:szCs w:val="20"/>
                <w:color w:val="auto"/>
              </w:rPr>
            </w:pPr>
            <w:r>
              <w:rPr>
                <w:rFonts w:ascii="Arial" w:cs="Arial" w:eastAsia="Arial" w:hAnsi="Arial"/>
                <w:sz w:val="14"/>
                <w:szCs w:val="14"/>
                <w:color w:val="auto"/>
              </w:rPr>
              <w:t>667,470</w:t>
            </w:r>
          </w:p>
        </w:tc>
        <w:tc>
          <w:tcPr>
            <w:tcW w:w="0" w:type="dxa"/>
            <w:vAlign w:val="bottom"/>
          </w:tcPr>
          <w:p>
            <w:pPr>
              <w:spacing w:after="0"/>
              <w:rPr>
                <w:sz w:val="1"/>
                <w:szCs w:val="1"/>
                <w:color w:val="auto"/>
              </w:rPr>
            </w:pPr>
          </w:p>
        </w:tc>
      </w:tr>
      <w:tr>
        <w:trPr>
          <w:trHeight w:val="82"/>
        </w:trPr>
        <w:tc>
          <w:tcPr>
            <w:tcW w:w="2600" w:type="dxa"/>
            <w:vAlign w:val="bottom"/>
            <w:vMerge w:val="restart"/>
            <w:shd w:val="clear" w:color="auto" w:fill="EDEDED"/>
          </w:tcPr>
          <w:p>
            <w:pPr>
              <w:ind w:left="60"/>
              <w:spacing w:after="0"/>
              <w:rPr>
                <w:sz w:val="20"/>
                <w:szCs w:val="20"/>
                <w:color w:val="auto"/>
              </w:rPr>
            </w:pPr>
            <w:r>
              <w:rPr>
                <w:rFonts w:ascii="Arial" w:cs="Arial" w:eastAsia="Arial" w:hAnsi="Arial"/>
                <w:sz w:val="14"/>
                <w:szCs w:val="14"/>
                <w:color w:val="auto"/>
              </w:rPr>
              <w:t>International</w:t>
            </w:r>
          </w:p>
        </w:tc>
        <w:tc>
          <w:tcPr>
            <w:tcW w:w="120" w:type="dxa"/>
            <w:vAlign w:val="bottom"/>
            <w:shd w:val="clear" w:color="auto" w:fill="EDEDED"/>
          </w:tcPr>
          <w:p>
            <w:pPr>
              <w:spacing w:after="0"/>
              <w:rPr>
                <w:sz w:val="7"/>
                <w:szCs w:val="7"/>
                <w:color w:val="auto"/>
              </w:rPr>
            </w:pPr>
          </w:p>
        </w:tc>
        <w:tc>
          <w:tcPr>
            <w:tcW w:w="320" w:type="dxa"/>
            <w:vAlign w:val="bottom"/>
            <w:vMerge w:val="continue"/>
            <w:shd w:val="clear" w:color="auto" w:fill="EDEDED"/>
          </w:tcPr>
          <w:p>
            <w:pPr>
              <w:spacing w:after="0"/>
              <w:rPr>
                <w:sz w:val="7"/>
                <w:szCs w:val="7"/>
                <w:color w:val="auto"/>
              </w:rPr>
            </w:pPr>
          </w:p>
        </w:tc>
        <w:tc>
          <w:tcPr>
            <w:tcW w:w="820" w:type="dxa"/>
            <w:vAlign w:val="bottom"/>
            <w:vMerge w:val="continue"/>
            <w:shd w:val="clear" w:color="auto" w:fill="EDEDED"/>
          </w:tcPr>
          <w:p>
            <w:pPr>
              <w:spacing w:after="0"/>
              <w:rPr>
                <w:sz w:val="7"/>
                <w:szCs w:val="7"/>
                <w:color w:val="auto"/>
              </w:rPr>
            </w:pPr>
          </w:p>
        </w:tc>
        <w:tc>
          <w:tcPr>
            <w:tcW w:w="620" w:type="dxa"/>
            <w:vAlign w:val="bottom"/>
            <w:vMerge w:val="continue"/>
            <w:shd w:val="clear" w:color="auto" w:fill="EDEDED"/>
          </w:tcPr>
          <w:p>
            <w:pPr>
              <w:spacing w:after="0"/>
              <w:rPr>
                <w:sz w:val="7"/>
                <w:szCs w:val="7"/>
                <w:color w:val="auto"/>
              </w:rPr>
            </w:pPr>
          </w:p>
        </w:tc>
        <w:tc>
          <w:tcPr>
            <w:tcW w:w="1080" w:type="dxa"/>
            <w:vAlign w:val="bottom"/>
            <w:vMerge w:val="continue"/>
            <w:shd w:val="clear" w:color="auto" w:fill="EDEDED"/>
          </w:tcPr>
          <w:p>
            <w:pPr>
              <w:spacing w:after="0"/>
              <w:rPr>
                <w:sz w:val="7"/>
                <w:szCs w:val="7"/>
                <w:color w:val="auto"/>
              </w:rPr>
            </w:pPr>
          </w:p>
        </w:tc>
        <w:tc>
          <w:tcPr>
            <w:tcW w:w="720" w:type="dxa"/>
            <w:vAlign w:val="bottom"/>
            <w:vMerge w:val="continue"/>
            <w:shd w:val="clear" w:color="auto" w:fill="EDEDED"/>
          </w:tcPr>
          <w:p>
            <w:pPr>
              <w:spacing w:after="0"/>
              <w:rPr>
                <w:sz w:val="7"/>
                <w:szCs w:val="7"/>
                <w:color w:val="auto"/>
              </w:rPr>
            </w:pPr>
          </w:p>
        </w:tc>
        <w:tc>
          <w:tcPr>
            <w:tcW w:w="1200" w:type="dxa"/>
            <w:vAlign w:val="bottom"/>
            <w:vMerge w:val="continue"/>
            <w:shd w:val="clear" w:color="auto" w:fill="EDEDED"/>
          </w:tcPr>
          <w:p>
            <w:pPr>
              <w:spacing w:after="0"/>
              <w:rPr>
                <w:sz w:val="7"/>
                <w:szCs w:val="7"/>
                <w:color w:val="auto"/>
              </w:rPr>
            </w:pPr>
          </w:p>
        </w:tc>
        <w:tc>
          <w:tcPr>
            <w:tcW w:w="1200" w:type="dxa"/>
            <w:vAlign w:val="bottom"/>
            <w:vMerge w:val="continue"/>
            <w:shd w:val="clear" w:color="auto" w:fill="EDEDED"/>
          </w:tcPr>
          <w:p>
            <w:pPr>
              <w:spacing w:after="0"/>
              <w:rPr>
                <w:sz w:val="7"/>
                <w:szCs w:val="7"/>
                <w:color w:val="auto"/>
              </w:rPr>
            </w:pPr>
          </w:p>
        </w:tc>
        <w:tc>
          <w:tcPr>
            <w:tcW w:w="1480" w:type="dxa"/>
            <w:vAlign w:val="bottom"/>
            <w:vMerge w:val="continue"/>
            <w:shd w:val="clear" w:color="auto" w:fill="EDEDED"/>
          </w:tcPr>
          <w:p>
            <w:pPr>
              <w:spacing w:after="0"/>
              <w:rPr>
                <w:sz w:val="7"/>
                <w:szCs w:val="7"/>
                <w:color w:val="auto"/>
              </w:rPr>
            </w:pPr>
          </w:p>
        </w:tc>
        <w:tc>
          <w:tcPr>
            <w:tcW w:w="860" w:type="dxa"/>
            <w:vAlign w:val="bottom"/>
            <w:vMerge w:val="continue"/>
            <w:shd w:val="clear" w:color="auto" w:fill="EDEDED"/>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00" w:type="dxa"/>
            <w:vAlign w:val="bottom"/>
            <w:vMerge w:val="continue"/>
            <w:shd w:val="clear" w:color="auto" w:fill="EDEDED"/>
          </w:tcPr>
          <w:p>
            <w:pPr>
              <w:spacing w:after="0"/>
              <w:rPr>
                <w:sz w:val="9"/>
                <w:szCs w:val="9"/>
                <w:color w:val="auto"/>
              </w:rPr>
            </w:pPr>
          </w:p>
        </w:tc>
        <w:tc>
          <w:tcPr>
            <w:tcW w:w="120" w:type="dxa"/>
            <w:vAlign w:val="bottom"/>
            <w:shd w:val="clear" w:color="auto" w:fill="EDEDED"/>
          </w:tcPr>
          <w:p>
            <w:pPr>
              <w:spacing w:after="0"/>
              <w:rPr>
                <w:sz w:val="9"/>
                <w:szCs w:val="9"/>
                <w:color w:val="auto"/>
              </w:rPr>
            </w:pPr>
          </w:p>
        </w:tc>
        <w:tc>
          <w:tcPr>
            <w:tcW w:w="320" w:type="dxa"/>
            <w:vAlign w:val="bottom"/>
            <w:shd w:val="clear" w:color="auto" w:fill="EDEDED"/>
          </w:tcPr>
          <w:p>
            <w:pPr>
              <w:spacing w:after="0"/>
              <w:rPr>
                <w:sz w:val="9"/>
                <w:szCs w:val="9"/>
                <w:color w:val="auto"/>
              </w:rPr>
            </w:pPr>
          </w:p>
        </w:tc>
        <w:tc>
          <w:tcPr>
            <w:tcW w:w="820" w:type="dxa"/>
            <w:vAlign w:val="bottom"/>
            <w:shd w:val="clear" w:color="auto" w:fill="EDEDED"/>
          </w:tcPr>
          <w:p>
            <w:pPr>
              <w:spacing w:after="0"/>
              <w:rPr>
                <w:sz w:val="9"/>
                <w:szCs w:val="9"/>
                <w:color w:val="auto"/>
              </w:rPr>
            </w:pPr>
          </w:p>
        </w:tc>
        <w:tc>
          <w:tcPr>
            <w:tcW w:w="620" w:type="dxa"/>
            <w:vAlign w:val="bottom"/>
            <w:shd w:val="clear" w:color="auto" w:fill="EDEDED"/>
          </w:tcPr>
          <w:p>
            <w:pPr>
              <w:spacing w:after="0"/>
              <w:rPr>
                <w:sz w:val="9"/>
                <w:szCs w:val="9"/>
                <w:color w:val="auto"/>
              </w:rPr>
            </w:pPr>
          </w:p>
        </w:tc>
        <w:tc>
          <w:tcPr>
            <w:tcW w:w="1080" w:type="dxa"/>
            <w:vAlign w:val="bottom"/>
            <w:shd w:val="clear" w:color="auto" w:fill="EDEDED"/>
          </w:tcPr>
          <w:p>
            <w:pPr>
              <w:spacing w:after="0"/>
              <w:rPr>
                <w:sz w:val="9"/>
                <w:szCs w:val="9"/>
                <w:color w:val="auto"/>
              </w:rPr>
            </w:pPr>
          </w:p>
        </w:tc>
        <w:tc>
          <w:tcPr>
            <w:tcW w:w="720" w:type="dxa"/>
            <w:vAlign w:val="bottom"/>
            <w:shd w:val="clear" w:color="auto" w:fill="EDEDED"/>
          </w:tcPr>
          <w:p>
            <w:pPr>
              <w:spacing w:after="0"/>
              <w:rPr>
                <w:sz w:val="9"/>
                <w:szCs w:val="9"/>
                <w:color w:val="auto"/>
              </w:rPr>
            </w:pPr>
          </w:p>
        </w:tc>
        <w:tc>
          <w:tcPr>
            <w:tcW w:w="1200" w:type="dxa"/>
            <w:vAlign w:val="bottom"/>
            <w:shd w:val="clear" w:color="auto" w:fill="EDEDED"/>
          </w:tcPr>
          <w:p>
            <w:pPr>
              <w:spacing w:after="0"/>
              <w:rPr>
                <w:sz w:val="9"/>
                <w:szCs w:val="9"/>
                <w:color w:val="auto"/>
              </w:rPr>
            </w:pPr>
          </w:p>
        </w:tc>
        <w:tc>
          <w:tcPr>
            <w:tcW w:w="1200" w:type="dxa"/>
            <w:vAlign w:val="bottom"/>
            <w:shd w:val="clear" w:color="auto" w:fill="EDEDED"/>
          </w:tcPr>
          <w:p>
            <w:pPr>
              <w:spacing w:after="0"/>
              <w:rPr>
                <w:sz w:val="9"/>
                <w:szCs w:val="9"/>
                <w:color w:val="auto"/>
              </w:rPr>
            </w:pPr>
          </w:p>
        </w:tc>
        <w:tc>
          <w:tcPr>
            <w:tcW w:w="1480" w:type="dxa"/>
            <w:vAlign w:val="bottom"/>
            <w:shd w:val="clear" w:color="auto" w:fill="EDEDED"/>
          </w:tcPr>
          <w:p>
            <w:pPr>
              <w:spacing w:after="0"/>
              <w:rPr>
                <w:sz w:val="9"/>
                <w:szCs w:val="9"/>
                <w:color w:val="auto"/>
              </w:rPr>
            </w:pPr>
          </w:p>
        </w:tc>
        <w:tc>
          <w:tcPr>
            <w:tcW w:w="860" w:type="dxa"/>
            <w:vAlign w:val="bottom"/>
            <w:shd w:val="clear" w:color="auto" w:fill="EDEDED"/>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600" w:type="dxa"/>
            <w:vAlign w:val="bottom"/>
            <w:shd w:val="clear" w:color="auto" w:fill="EDEDED"/>
          </w:tcPr>
          <w:p>
            <w:pPr>
              <w:spacing w:after="0"/>
              <w:rPr>
                <w:sz w:val="5"/>
                <w:szCs w:val="5"/>
                <w:color w:val="auto"/>
              </w:rPr>
            </w:pPr>
          </w:p>
        </w:tc>
        <w:tc>
          <w:tcPr>
            <w:tcW w:w="120" w:type="dxa"/>
            <w:vAlign w:val="bottom"/>
            <w:shd w:val="clear" w:color="auto" w:fill="EDEDED"/>
          </w:tcPr>
          <w:p>
            <w:pPr>
              <w:spacing w:after="0"/>
              <w:rPr>
                <w:sz w:val="5"/>
                <w:szCs w:val="5"/>
                <w:color w:val="auto"/>
              </w:rPr>
            </w:pPr>
          </w:p>
        </w:tc>
        <w:tc>
          <w:tcPr>
            <w:tcW w:w="320" w:type="dxa"/>
            <w:vAlign w:val="bottom"/>
            <w:shd w:val="clear" w:color="auto" w:fill="EDEDED"/>
          </w:tcPr>
          <w:p>
            <w:pPr>
              <w:spacing w:after="0"/>
              <w:rPr>
                <w:sz w:val="5"/>
                <w:szCs w:val="5"/>
                <w:color w:val="auto"/>
              </w:rPr>
            </w:pPr>
          </w:p>
        </w:tc>
        <w:tc>
          <w:tcPr>
            <w:tcW w:w="820" w:type="dxa"/>
            <w:vAlign w:val="bottom"/>
            <w:shd w:val="clear" w:color="auto" w:fill="EDEDED"/>
          </w:tcPr>
          <w:p>
            <w:pPr>
              <w:spacing w:after="0"/>
              <w:rPr>
                <w:sz w:val="5"/>
                <w:szCs w:val="5"/>
                <w:color w:val="auto"/>
              </w:rPr>
            </w:pPr>
          </w:p>
        </w:tc>
        <w:tc>
          <w:tcPr>
            <w:tcW w:w="620" w:type="dxa"/>
            <w:vAlign w:val="bottom"/>
            <w:shd w:val="clear" w:color="auto" w:fill="EDEDED"/>
          </w:tcPr>
          <w:p>
            <w:pPr>
              <w:spacing w:after="0"/>
              <w:rPr>
                <w:sz w:val="5"/>
                <w:szCs w:val="5"/>
                <w:color w:val="auto"/>
              </w:rPr>
            </w:pPr>
          </w:p>
        </w:tc>
        <w:tc>
          <w:tcPr>
            <w:tcW w:w="1080" w:type="dxa"/>
            <w:vAlign w:val="bottom"/>
            <w:shd w:val="clear" w:color="auto" w:fill="EDEDED"/>
          </w:tcPr>
          <w:p>
            <w:pPr>
              <w:spacing w:after="0"/>
              <w:rPr>
                <w:sz w:val="5"/>
                <w:szCs w:val="5"/>
                <w:color w:val="auto"/>
              </w:rPr>
            </w:pPr>
          </w:p>
        </w:tc>
        <w:tc>
          <w:tcPr>
            <w:tcW w:w="720" w:type="dxa"/>
            <w:vAlign w:val="bottom"/>
            <w:shd w:val="clear" w:color="auto" w:fill="EDEDED"/>
          </w:tcPr>
          <w:p>
            <w:pPr>
              <w:spacing w:after="0"/>
              <w:rPr>
                <w:sz w:val="5"/>
                <w:szCs w:val="5"/>
                <w:color w:val="auto"/>
              </w:rPr>
            </w:pPr>
          </w:p>
        </w:tc>
        <w:tc>
          <w:tcPr>
            <w:tcW w:w="1200" w:type="dxa"/>
            <w:vAlign w:val="bottom"/>
            <w:shd w:val="clear" w:color="auto" w:fill="EDEDED"/>
          </w:tcPr>
          <w:p>
            <w:pPr>
              <w:spacing w:after="0"/>
              <w:rPr>
                <w:sz w:val="5"/>
                <w:szCs w:val="5"/>
                <w:color w:val="auto"/>
              </w:rPr>
            </w:pPr>
          </w:p>
        </w:tc>
        <w:tc>
          <w:tcPr>
            <w:tcW w:w="1200" w:type="dxa"/>
            <w:vAlign w:val="bottom"/>
            <w:shd w:val="clear" w:color="auto" w:fill="EDEDED"/>
          </w:tcPr>
          <w:p>
            <w:pPr>
              <w:spacing w:after="0"/>
              <w:rPr>
                <w:sz w:val="5"/>
                <w:szCs w:val="5"/>
                <w:color w:val="auto"/>
              </w:rPr>
            </w:pPr>
          </w:p>
        </w:tc>
        <w:tc>
          <w:tcPr>
            <w:tcW w:w="1480" w:type="dxa"/>
            <w:vAlign w:val="bottom"/>
            <w:shd w:val="clear" w:color="auto" w:fill="EDEDED"/>
          </w:tcPr>
          <w:p>
            <w:pPr>
              <w:spacing w:after="0"/>
              <w:rPr>
                <w:sz w:val="5"/>
                <w:szCs w:val="5"/>
                <w:color w:val="auto"/>
              </w:rPr>
            </w:pPr>
          </w:p>
        </w:tc>
        <w:tc>
          <w:tcPr>
            <w:tcW w:w="860" w:type="dxa"/>
            <w:vAlign w:val="bottom"/>
            <w:shd w:val="clear" w:color="auto" w:fill="EDEDED"/>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Vanessa P. Williams</w:t>
            </w:r>
          </w:p>
        </w:tc>
        <w:tc>
          <w:tcPr>
            <w:tcW w:w="440" w:type="dxa"/>
            <w:vAlign w:val="bottom"/>
            <w:gridSpan w:val="2"/>
          </w:tcPr>
          <w:p>
            <w:pPr>
              <w:ind w:left="120"/>
              <w:spacing w:after="0"/>
              <w:rPr>
                <w:sz w:val="20"/>
                <w:szCs w:val="20"/>
                <w:color w:val="auto"/>
              </w:rPr>
            </w:pPr>
            <w:r>
              <w:rPr>
                <w:rFonts w:ascii="Arial" w:cs="Arial" w:eastAsia="Arial" w:hAnsi="Arial"/>
                <w:sz w:val="14"/>
                <w:szCs w:val="14"/>
                <w:color w:val="auto"/>
                <w:w w:val="96"/>
              </w:rPr>
              <w:t>2022</w:t>
            </w:r>
          </w:p>
        </w:tc>
        <w:tc>
          <w:tcPr>
            <w:tcW w:w="820" w:type="dxa"/>
            <w:vAlign w:val="bottom"/>
          </w:tcPr>
          <w:p>
            <w:pPr>
              <w:jc w:val="center"/>
              <w:ind w:left="49"/>
              <w:spacing w:after="0"/>
              <w:rPr>
                <w:sz w:val="20"/>
                <w:szCs w:val="20"/>
                <w:color w:val="auto"/>
              </w:rPr>
            </w:pPr>
            <w:r>
              <w:rPr>
                <w:rFonts w:ascii="Arial" w:cs="Arial" w:eastAsia="Arial" w:hAnsi="Arial"/>
                <w:sz w:val="14"/>
                <w:szCs w:val="14"/>
                <w:color w:val="auto"/>
                <w:w w:val="98"/>
              </w:rPr>
              <w:t>413,115</w:t>
            </w:r>
          </w:p>
        </w:tc>
        <w:tc>
          <w:tcPr>
            <w:tcW w:w="620" w:type="dxa"/>
            <w:vAlign w:val="bottom"/>
          </w:tcPr>
          <w:p>
            <w:pPr>
              <w:ind w:left="280"/>
              <w:spacing w:after="0"/>
              <w:rPr>
                <w:sz w:val="20"/>
                <w:szCs w:val="20"/>
                <w:color w:val="auto"/>
              </w:rPr>
            </w:pPr>
            <w:r>
              <w:rPr>
                <w:rFonts w:ascii="Arial" w:cs="Arial" w:eastAsia="Arial" w:hAnsi="Arial"/>
                <w:sz w:val="14"/>
                <w:szCs w:val="14"/>
                <w:color w:val="auto"/>
              </w:rPr>
              <w:t>—</w:t>
            </w:r>
          </w:p>
        </w:tc>
        <w:tc>
          <w:tcPr>
            <w:tcW w:w="1080" w:type="dxa"/>
            <w:vAlign w:val="bottom"/>
          </w:tcPr>
          <w:p>
            <w:pPr>
              <w:jc w:val="center"/>
              <w:spacing w:after="0"/>
              <w:rPr>
                <w:sz w:val="20"/>
                <w:szCs w:val="20"/>
                <w:color w:val="auto"/>
              </w:rPr>
            </w:pPr>
            <w:r>
              <w:rPr>
                <w:rFonts w:ascii="Arial" w:cs="Arial" w:eastAsia="Arial" w:hAnsi="Arial"/>
                <w:sz w:val="14"/>
                <w:szCs w:val="14"/>
                <w:color w:val="auto"/>
              </w:rPr>
              <w:t>405,706</w:t>
            </w:r>
          </w:p>
        </w:tc>
        <w:tc>
          <w:tcPr>
            <w:tcW w:w="720" w:type="dxa"/>
            <w:vAlign w:val="bottom"/>
          </w:tcPr>
          <w:p>
            <w:pPr>
              <w:ind w:left="340"/>
              <w:spacing w:after="0"/>
              <w:rPr>
                <w:sz w:val="20"/>
                <w:szCs w:val="20"/>
                <w:color w:val="auto"/>
              </w:rPr>
            </w:pPr>
            <w:r>
              <w:rPr>
                <w:rFonts w:ascii="Arial" w:cs="Arial" w:eastAsia="Arial" w:hAnsi="Arial"/>
                <w:sz w:val="14"/>
                <w:szCs w:val="14"/>
                <w:color w:val="auto"/>
              </w:rPr>
              <w:t>—</w:t>
            </w:r>
          </w:p>
        </w:tc>
        <w:tc>
          <w:tcPr>
            <w:tcW w:w="1200" w:type="dxa"/>
            <w:vAlign w:val="bottom"/>
          </w:tcPr>
          <w:p>
            <w:pPr>
              <w:jc w:val="center"/>
              <w:spacing w:after="0"/>
              <w:rPr>
                <w:sz w:val="20"/>
                <w:szCs w:val="20"/>
                <w:color w:val="auto"/>
              </w:rPr>
            </w:pPr>
            <w:r>
              <w:rPr>
                <w:rFonts w:ascii="Arial" w:cs="Arial" w:eastAsia="Arial" w:hAnsi="Arial"/>
                <w:sz w:val="14"/>
                <w:szCs w:val="14"/>
                <w:color w:val="auto"/>
              </w:rPr>
              <w:t>225,600</w:t>
            </w:r>
          </w:p>
        </w:tc>
        <w:tc>
          <w:tcPr>
            <w:tcW w:w="1200" w:type="dxa"/>
            <w:vAlign w:val="bottom"/>
          </w:tcPr>
          <w:p>
            <w:pPr>
              <w:ind w:left="640"/>
              <w:spacing w:after="0"/>
              <w:rPr>
                <w:sz w:val="20"/>
                <w:szCs w:val="20"/>
                <w:color w:val="auto"/>
              </w:rPr>
            </w:pPr>
            <w:r>
              <w:rPr>
                <w:rFonts w:ascii="Arial" w:cs="Arial" w:eastAsia="Arial" w:hAnsi="Arial"/>
                <w:sz w:val="14"/>
                <w:szCs w:val="14"/>
                <w:color w:val="auto"/>
              </w:rPr>
              <w:t>—</w:t>
            </w:r>
          </w:p>
        </w:tc>
        <w:tc>
          <w:tcPr>
            <w:tcW w:w="1480" w:type="dxa"/>
            <w:vAlign w:val="bottom"/>
          </w:tcPr>
          <w:p>
            <w:pPr>
              <w:jc w:val="center"/>
              <w:ind w:left="9"/>
              <w:spacing w:after="0"/>
              <w:rPr>
                <w:sz w:val="20"/>
                <w:szCs w:val="20"/>
                <w:color w:val="auto"/>
              </w:rPr>
            </w:pPr>
            <w:r>
              <w:rPr>
                <w:rFonts w:ascii="Arial" w:cs="Arial" w:eastAsia="Arial" w:hAnsi="Arial"/>
                <w:sz w:val="14"/>
                <w:szCs w:val="14"/>
                <w:color w:val="auto"/>
              </w:rPr>
              <w:t>20,666</w:t>
            </w:r>
          </w:p>
        </w:tc>
        <w:tc>
          <w:tcPr>
            <w:tcW w:w="860" w:type="dxa"/>
            <w:vAlign w:val="bottom"/>
          </w:tcPr>
          <w:p>
            <w:pPr>
              <w:jc w:val="center"/>
              <w:spacing w:after="0"/>
              <w:rPr>
                <w:sz w:val="20"/>
                <w:szCs w:val="20"/>
                <w:color w:val="auto"/>
              </w:rPr>
            </w:pPr>
            <w:r>
              <w:rPr>
                <w:rFonts w:ascii="Arial" w:cs="Arial" w:eastAsia="Arial" w:hAnsi="Arial"/>
                <w:sz w:val="14"/>
                <w:szCs w:val="14"/>
                <w:color w:val="auto"/>
              </w:rPr>
              <w:t>1,065,088</w:t>
            </w:r>
          </w:p>
        </w:tc>
        <w:tc>
          <w:tcPr>
            <w:tcW w:w="0" w:type="dxa"/>
            <w:vAlign w:val="bottom"/>
          </w:tcPr>
          <w:p>
            <w:pPr>
              <w:spacing w:after="0"/>
              <w:rPr>
                <w:sz w:val="1"/>
                <w:szCs w:val="1"/>
                <w:color w:val="auto"/>
              </w:rPr>
            </w:pPr>
          </w:p>
        </w:tc>
      </w:tr>
      <w:tr>
        <w:trPr>
          <w:trHeight w:val="162"/>
        </w:trPr>
        <w:tc>
          <w:tcPr>
            <w:tcW w:w="2600" w:type="dxa"/>
            <w:vAlign w:val="bottom"/>
          </w:tcPr>
          <w:p>
            <w:pPr>
              <w:ind w:left="60"/>
              <w:spacing w:after="0"/>
              <w:rPr>
                <w:sz w:val="20"/>
                <w:szCs w:val="20"/>
                <w:color w:val="auto"/>
              </w:rPr>
            </w:pPr>
            <w:r>
              <w:rPr>
                <w:rFonts w:ascii="Arial" w:cs="Arial" w:eastAsia="Arial" w:hAnsi="Arial"/>
                <w:sz w:val="14"/>
                <w:szCs w:val="14"/>
                <w:color w:val="auto"/>
              </w:rPr>
              <w:t>Senior Vice President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600" w:type="dxa"/>
            <w:vAlign w:val="bottom"/>
          </w:tcPr>
          <w:p>
            <w:pPr>
              <w:ind w:left="60"/>
              <w:spacing w:after="0"/>
              <w:rPr>
                <w:sz w:val="20"/>
                <w:szCs w:val="20"/>
                <w:color w:val="auto"/>
              </w:rPr>
            </w:pPr>
            <w:r>
              <w:rPr>
                <w:rFonts w:ascii="Arial" w:cs="Arial" w:eastAsia="Arial" w:hAnsi="Arial"/>
                <w:sz w:val="14"/>
                <w:szCs w:val="14"/>
                <w:color w:val="auto"/>
              </w:rPr>
              <w:t>and General Counsel</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260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600" w:type="dxa"/>
            <w:vAlign w:val="bottom"/>
            <w:shd w:val="clear" w:color="auto" w:fill="EDEDED"/>
          </w:tcPr>
          <w:p>
            <w:pPr>
              <w:ind w:left="60"/>
              <w:spacing w:after="0"/>
              <w:rPr>
                <w:sz w:val="20"/>
                <w:szCs w:val="20"/>
                <w:color w:val="auto"/>
              </w:rPr>
            </w:pPr>
            <w:r>
              <w:rPr>
                <w:rFonts w:ascii="Arial" w:cs="Arial" w:eastAsia="Arial" w:hAnsi="Arial"/>
                <w:sz w:val="14"/>
                <w:szCs w:val="14"/>
                <w:b w:val="1"/>
                <w:bCs w:val="1"/>
                <w:color w:val="auto"/>
              </w:rPr>
              <w:t>Darren L. Simons</w:t>
            </w:r>
          </w:p>
        </w:tc>
        <w:tc>
          <w:tcPr>
            <w:tcW w:w="440" w:type="dxa"/>
            <w:vAlign w:val="bottom"/>
            <w:gridSpan w:val="2"/>
            <w:shd w:val="clear" w:color="auto" w:fill="EDEDED"/>
          </w:tcPr>
          <w:p>
            <w:pPr>
              <w:ind w:left="120"/>
              <w:spacing w:after="0"/>
              <w:rPr>
                <w:sz w:val="20"/>
                <w:szCs w:val="20"/>
                <w:color w:val="auto"/>
              </w:rPr>
            </w:pPr>
            <w:r>
              <w:rPr>
                <w:rFonts w:ascii="Arial" w:cs="Arial" w:eastAsia="Arial" w:hAnsi="Arial"/>
                <w:sz w:val="14"/>
                <w:szCs w:val="14"/>
                <w:color w:val="auto"/>
                <w:w w:val="96"/>
              </w:rPr>
              <w:t>2022</w:t>
            </w:r>
          </w:p>
        </w:tc>
        <w:tc>
          <w:tcPr>
            <w:tcW w:w="820" w:type="dxa"/>
            <w:vAlign w:val="bottom"/>
            <w:shd w:val="clear" w:color="auto" w:fill="EDEDED"/>
          </w:tcPr>
          <w:p>
            <w:pPr>
              <w:jc w:val="center"/>
              <w:ind w:left="69"/>
              <w:spacing w:after="0"/>
              <w:rPr>
                <w:sz w:val="20"/>
                <w:szCs w:val="20"/>
                <w:color w:val="auto"/>
              </w:rPr>
            </w:pPr>
            <w:r>
              <w:rPr>
                <w:rFonts w:ascii="Arial" w:cs="Arial" w:eastAsia="Arial" w:hAnsi="Arial"/>
                <w:sz w:val="14"/>
                <w:szCs w:val="14"/>
                <w:color w:val="auto"/>
              </w:rPr>
              <w:t>376,192</w:t>
            </w:r>
          </w:p>
        </w:tc>
        <w:tc>
          <w:tcPr>
            <w:tcW w:w="620" w:type="dxa"/>
            <w:vAlign w:val="bottom"/>
            <w:shd w:val="clear" w:color="auto" w:fill="EDEDED"/>
          </w:tcPr>
          <w:p>
            <w:pPr>
              <w:ind w:left="2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458,582</w:t>
            </w:r>
          </w:p>
        </w:tc>
        <w:tc>
          <w:tcPr>
            <w:tcW w:w="720" w:type="dxa"/>
            <w:vAlign w:val="bottom"/>
            <w:shd w:val="clear" w:color="auto" w:fill="EDEDED"/>
          </w:tcPr>
          <w:p>
            <w:pPr>
              <w:ind w:left="3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173,800</w:t>
            </w:r>
          </w:p>
        </w:tc>
        <w:tc>
          <w:tcPr>
            <w:tcW w:w="1200" w:type="dxa"/>
            <w:vAlign w:val="bottom"/>
            <w:shd w:val="clear" w:color="auto" w:fill="EDEDED"/>
          </w:tcPr>
          <w:p>
            <w:pPr>
              <w:ind w:left="640"/>
              <w:spacing w:after="0"/>
              <w:rPr>
                <w:sz w:val="20"/>
                <w:szCs w:val="20"/>
                <w:color w:val="auto"/>
              </w:rPr>
            </w:pPr>
            <w:r>
              <w:rPr>
                <w:rFonts w:ascii="Arial" w:cs="Arial" w:eastAsia="Arial" w:hAnsi="Arial"/>
                <w:sz w:val="14"/>
                <w:szCs w:val="14"/>
                <w:color w:val="auto"/>
              </w:rPr>
              <w:t>—</w:t>
            </w:r>
          </w:p>
        </w:tc>
        <w:tc>
          <w:tcPr>
            <w:tcW w:w="1480" w:type="dxa"/>
            <w:vAlign w:val="bottom"/>
            <w:shd w:val="clear" w:color="auto" w:fill="EDEDED"/>
          </w:tcPr>
          <w:p>
            <w:pPr>
              <w:jc w:val="center"/>
              <w:ind w:left="9"/>
              <w:spacing w:after="0"/>
              <w:rPr>
                <w:sz w:val="20"/>
                <w:szCs w:val="20"/>
                <w:color w:val="auto"/>
              </w:rPr>
            </w:pPr>
            <w:r>
              <w:rPr>
                <w:rFonts w:ascii="Arial" w:cs="Arial" w:eastAsia="Arial" w:hAnsi="Arial"/>
                <w:sz w:val="14"/>
                <w:szCs w:val="14"/>
                <w:color w:val="auto"/>
              </w:rPr>
              <w:t>6,741</w:t>
            </w:r>
          </w:p>
        </w:tc>
        <w:tc>
          <w:tcPr>
            <w:tcW w:w="86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1,015,315</w:t>
            </w:r>
          </w:p>
        </w:tc>
        <w:tc>
          <w:tcPr>
            <w:tcW w:w="0" w:type="dxa"/>
            <w:vAlign w:val="bottom"/>
          </w:tcPr>
          <w:p>
            <w:pPr>
              <w:spacing w:after="0"/>
              <w:rPr>
                <w:sz w:val="1"/>
                <w:szCs w:val="1"/>
                <w:color w:val="auto"/>
              </w:rPr>
            </w:pPr>
          </w:p>
        </w:tc>
      </w:tr>
      <w:tr>
        <w:trPr>
          <w:trHeight w:val="162"/>
        </w:trPr>
        <w:tc>
          <w:tcPr>
            <w:tcW w:w="2600" w:type="dxa"/>
            <w:vAlign w:val="bottom"/>
            <w:shd w:val="clear" w:color="auto" w:fill="EDEDED"/>
          </w:tcPr>
          <w:p>
            <w:pPr>
              <w:ind w:left="60"/>
              <w:spacing w:after="0"/>
              <w:rPr>
                <w:sz w:val="20"/>
                <w:szCs w:val="20"/>
                <w:color w:val="auto"/>
              </w:rPr>
            </w:pPr>
            <w:r>
              <w:rPr>
                <w:rFonts w:ascii="Arial" w:cs="Arial" w:eastAsia="Arial" w:hAnsi="Arial"/>
                <w:sz w:val="14"/>
                <w:szCs w:val="14"/>
                <w:color w:val="auto"/>
              </w:rPr>
              <w:t>Senior Vice President</w:t>
            </w:r>
          </w:p>
        </w:tc>
        <w:tc>
          <w:tcPr>
            <w:tcW w:w="120" w:type="dxa"/>
            <w:vAlign w:val="bottom"/>
            <w:shd w:val="clear" w:color="auto" w:fill="EDEDED"/>
          </w:tcPr>
          <w:p>
            <w:pPr>
              <w:spacing w:after="0"/>
              <w:rPr>
                <w:sz w:val="14"/>
                <w:szCs w:val="14"/>
                <w:color w:val="auto"/>
              </w:rPr>
            </w:pPr>
          </w:p>
        </w:tc>
        <w:tc>
          <w:tcPr>
            <w:tcW w:w="320" w:type="dxa"/>
            <w:vAlign w:val="bottom"/>
            <w:shd w:val="clear" w:color="auto" w:fill="EDEDED"/>
          </w:tcPr>
          <w:p>
            <w:pPr>
              <w:spacing w:after="0"/>
              <w:rPr>
                <w:sz w:val="14"/>
                <w:szCs w:val="14"/>
                <w:color w:val="auto"/>
              </w:rPr>
            </w:pPr>
          </w:p>
        </w:tc>
        <w:tc>
          <w:tcPr>
            <w:tcW w:w="820" w:type="dxa"/>
            <w:vAlign w:val="bottom"/>
            <w:shd w:val="clear" w:color="auto" w:fill="EDEDED"/>
          </w:tcPr>
          <w:p>
            <w:pPr>
              <w:spacing w:after="0"/>
              <w:rPr>
                <w:sz w:val="14"/>
                <w:szCs w:val="14"/>
                <w:color w:val="auto"/>
              </w:rPr>
            </w:pPr>
          </w:p>
        </w:tc>
        <w:tc>
          <w:tcPr>
            <w:tcW w:w="620" w:type="dxa"/>
            <w:vAlign w:val="bottom"/>
            <w:shd w:val="clear" w:color="auto" w:fill="EDEDED"/>
          </w:tcPr>
          <w:p>
            <w:pPr>
              <w:spacing w:after="0"/>
              <w:rPr>
                <w:sz w:val="14"/>
                <w:szCs w:val="14"/>
                <w:color w:val="auto"/>
              </w:rPr>
            </w:pPr>
          </w:p>
        </w:tc>
        <w:tc>
          <w:tcPr>
            <w:tcW w:w="1080" w:type="dxa"/>
            <w:vAlign w:val="bottom"/>
            <w:shd w:val="clear" w:color="auto" w:fill="EDEDED"/>
          </w:tcPr>
          <w:p>
            <w:pPr>
              <w:spacing w:after="0"/>
              <w:rPr>
                <w:sz w:val="14"/>
                <w:szCs w:val="14"/>
                <w:color w:val="auto"/>
              </w:rPr>
            </w:pPr>
          </w:p>
        </w:tc>
        <w:tc>
          <w:tcPr>
            <w:tcW w:w="720" w:type="dxa"/>
            <w:vAlign w:val="bottom"/>
            <w:shd w:val="clear" w:color="auto" w:fill="EDEDED"/>
          </w:tcPr>
          <w:p>
            <w:pPr>
              <w:spacing w:after="0"/>
              <w:rPr>
                <w:sz w:val="14"/>
                <w:szCs w:val="14"/>
                <w:color w:val="auto"/>
              </w:rPr>
            </w:pPr>
          </w:p>
        </w:tc>
        <w:tc>
          <w:tcPr>
            <w:tcW w:w="1200" w:type="dxa"/>
            <w:vAlign w:val="bottom"/>
            <w:shd w:val="clear" w:color="auto" w:fill="EDEDED"/>
          </w:tcPr>
          <w:p>
            <w:pPr>
              <w:spacing w:after="0"/>
              <w:rPr>
                <w:sz w:val="14"/>
                <w:szCs w:val="14"/>
                <w:color w:val="auto"/>
              </w:rPr>
            </w:pPr>
          </w:p>
        </w:tc>
        <w:tc>
          <w:tcPr>
            <w:tcW w:w="1200" w:type="dxa"/>
            <w:vAlign w:val="bottom"/>
            <w:shd w:val="clear" w:color="auto" w:fill="EDEDED"/>
          </w:tcPr>
          <w:p>
            <w:pPr>
              <w:spacing w:after="0"/>
              <w:rPr>
                <w:sz w:val="14"/>
                <w:szCs w:val="14"/>
                <w:color w:val="auto"/>
              </w:rPr>
            </w:pPr>
          </w:p>
        </w:tc>
        <w:tc>
          <w:tcPr>
            <w:tcW w:w="1480" w:type="dxa"/>
            <w:vAlign w:val="bottom"/>
            <w:shd w:val="clear" w:color="auto" w:fill="EDEDED"/>
          </w:tcPr>
          <w:p>
            <w:pPr>
              <w:spacing w:after="0"/>
              <w:rPr>
                <w:sz w:val="14"/>
                <w:szCs w:val="14"/>
                <w:color w:val="auto"/>
              </w:rPr>
            </w:pPr>
          </w:p>
        </w:tc>
        <w:tc>
          <w:tcPr>
            <w:tcW w:w="86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0" w:type="dxa"/>
            <w:vAlign w:val="bottom"/>
            <w:shd w:val="clear" w:color="auto" w:fill="EDEDED"/>
          </w:tcPr>
          <w:p>
            <w:pPr>
              <w:ind w:left="60"/>
              <w:spacing w:after="0"/>
              <w:rPr>
                <w:sz w:val="20"/>
                <w:szCs w:val="20"/>
                <w:color w:val="auto"/>
              </w:rPr>
            </w:pPr>
            <w:r>
              <w:rPr>
                <w:rFonts w:ascii="Arial" w:cs="Arial" w:eastAsia="Arial" w:hAnsi="Arial"/>
                <w:sz w:val="14"/>
                <w:szCs w:val="14"/>
                <w:color w:val="auto"/>
              </w:rPr>
              <w:t>and</w:t>
            </w:r>
          </w:p>
        </w:tc>
        <w:tc>
          <w:tcPr>
            <w:tcW w:w="120" w:type="dxa"/>
            <w:vAlign w:val="bottom"/>
            <w:shd w:val="clear" w:color="auto" w:fill="EDEDED"/>
          </w:tcPr>
          <w:p>
            <w:pPr>
              <w:spacing w:after="0"/>
              <w:rPr>
                <w:sz w:val="14"/>
                <w:szCs w:val="14"/>
                <w:color w:val="auto"/>
              </w:rPr>
            </w:pPr>
          </w:p>
        </w:tc>
        <w:tc>
          <w:tcPr>
            <w:tcW w:w="320" w:type="dxa"/>
            <w:vAlign w:val="bottom"/>
            <w:shd w:val="clear" w:color="auto" w:fill="EDEDED"/>
          </w:tcPr>
          <w:p>
            <w:pPr>
              <w:spacing w:after="0"/>
              <w:rPr>
                <w:sz w:val="14"/>
                <w:szCs w:val="14"/>
                <w:color w:val="auto"/>
              </w:rPr>
            </w:pPr>
          </w:p>
        </w:tc>
        <w:tc>
          <w:tcPr>
            <w:tcW w:w="820" w:type="dxa"/>
            <w:vAlign w:val="bottom"/>
            <w:shd w:val="clear" w:color="auto" w:fill="EDEDED"/>
          </w:tcPr>
          <w:p>
            <w:pPr>
              <w:spacing w:after="0"/>
              <w:rPr>
                <w:sz w:val="14"/>
                <w:szCs w:val="14"/>
                <w:color w:val="auto"/>
              </w:rPr>
            </w:pPr>
          </w:p>
        </w:tc>
        <w:tc>
          <w:tcPr>
            <w:tcW w:w="620" w:type="dxa"/>
            <w:vAlign w:val="bottom"/>
            <w:shd w:val="clear" w:color="auto" w:fill="EDEDED"/>
          </w:tcPr>
          <w:p>
            <w:pPr>
              <w:spacing w:after="0"/>
              <w:rPr>
                <w:sz w:val="14"/>
                <w:szCs w:val="14"/>
                <w:color w:val="auto"/>
              </w:rPr>
            </w:pPr>
          </w:p>
        </w:tc>
        <w:tc>
          <w:tcPr>
            <w:tcW w:w="1080" w:type="dxa"/>
            <w:vAlign w:val="bottom"/>
            <w:shd w:val="clear" w:color="auto" w:fill="EDEDED"/>
          </w:tcPr>
          <w:p>
            <w:pPr>
              <w:spacing w:after="0"/>
              <w:rPr>
                <w:sz w:val="14"/>
                <w:szCs w:val="14"/>
                <w:color w:val="auto"/>
              </w:rPr>
            </w:pPr>
          </w:p>
        </w:tc>
        <w:tc>
          <w:tcPr>
            <w:tcW w:w="720" w:type="dxa"/>
            <w:vAlign w:val="bottom"/>
            <w:shd w:val="clear" w:color="auto" w:fill="EDEDED"/>
          </w:tcPr>
          <w:p>
            <w:pPr>
              <w:spacing w:after="0"/>
              <w:rPr>
                <w:sz w:val="14"/>
                <w:szCs w:val="14"/>
                <w:color w:val="auto"/>
              </w:rPr>
            </w:pPr>
          </w:p>
        </w:tc>
        <w:tc>
          <w:tcPr>
            <w:tcW w:w="1200" w:type="dxa"/>
            <w:vAlign w:val="bottom"/>
            <w:shd w:val="clear" w:color="auto" w:fill="EDEDED"/>
          </w:tcPr>
          <w:p>
            <w:pPr>
              <w:spacing w:after="0"/>
              <w:rPr>
                <w:sz w:val="14"/>
                <w:szCs w:val="14"/>
                <w:color w:val="auto"/>
              </w:rPr>
            </w:pPr>
          </w:p>
        </w:tc>
        <w:tc>
          <w:tcPr>
            <w:tcW w:w="1200" w:type="dxa"/>
            <w:vAlign w:val="bottom"/>
            <w:shd w:val="clear" w:color="auto" w:fill="EDEDED"/>
          </w:tcPr>
          <w:p>
            <w:pPr>
              <w:spacing w:after="0"/>
              <w:rPr>
                <w:sz w:val="14"/>
                <w:szCs w:val="14"/>
                <w:color w:val="auto"/>
              </w:rPr>
            </w:pPr>
          </w:p>
        </w:tc>
        <w:tc>
          <w:tcPr>
            <w:tcW w:w="1480" w:type="dxa"/>
            <w:vAlign w:val="bottom"/>
            <w:shd w:val="clear" w:color="auto" w:fill="EDEDED"/>
          </w:tcPr>
          <w:p>
            <w:pPr>
              <w:spacing w:after="0"/>
              <w:rPr>
                <w:sz w:val="14"/>
                <w:szCs w:val="14"/>
                <w:color w:val="auto"/>
              </w:rPr>
            </w:pPr>
          </w:p>
        </w:tc>
        <w:tc>
          <w:tcPr>
            <w:tcW w:w="860" w:type="dxa"/>
            <w:vAlign w:val="bottom"/>
            <w:shd w:val="clear" w:color="auto" w:fill="EDEDED"/>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600" w:type="dxa"/>
            <w:vAlign w:val="bottom"/>
            <w:shd w:val="clear" w:color="auto" w:fill="EDEDED"/>
          </w:tcPr>
          <w:p>
            <w:pPr>
              <w:ind w:left="60"/>
              <w:spacing w:after="0"/>
              <w:rPr>
                <w:sz w:val="20"/>
                <w:szCs w:val="20"/>
                <w:color w:val="auto"/>
              </w:rPr>
            </w:pPr>
            <w:r>
              <w:rPr>
                <w:rFonts w:ascii="Arial" w:cs="Arial" w:eastAsia="Arial" w:hAnsi="Arial"/>
                <w:sz w:val="14"/>
                <w:szCs w:val="14"/>
                <w:color w:val="auto"/>
              </w:rPr>
              <w:t>Chief Digital Officer</w:t>
            </w:r>
          </w:p>
        </w:tc>
        <w:tc>
          <w:tcPr>
            <w:tcW w:w="120" w:type="dxa"/>
            <w:vAlign w:val="bottom"/>
            <w:shd w:val="clear" w:color="auto" w:fill="EDEDED"/>
          </w:tcPr>
          <w:p>
            <w:pPr>
              <w:spacing w:after="0"/>
              <w:rPr>
                <w:sz w:val="16"/>
                <w:szCs w:val="16"/>
                <w:color w:val="auto"/>
              </w:rPr>
            </w:pPr>
          </w:p>
        </w:tc>
        <w:tc>
          <w:tcPr>
            <w:tcW w:w="320" w:type="dxa"/>
            <w:vAlign w:val="bottom"/>
            <w:shd w:val="clear" w:color="auto" w:fill="EDEDED"/>
          </w:tcPr>
          <w:p>
            <w:pPr>
              <w:spacing w:after="0"/>
              <w:rPr>
                <w:sz w:val="16"/>
                <w:szCs w:val="16"/>
                <w:color w:val="auto"/>
              </w:rPr>
            </w:pPr>
          </w:p>
        </w:tc>
        <w:tc>
          <w:tcPr>
            <w:tcW w:w="820" w:type="dxa"/>
            <w:vAlign w:val="bottom"/>
            <w:shd w:val="clear" w:color="auto" w:fill="EDEDED"/>
          </w:tcPr>
          <w:p>
            <w:pPr>
              <w:spacing w:after="0"/>
              <w:rPr>
                <w:sz w:val="16"/>
                <w:szCs w:val="16"/>
                <w:color w:val="auto"/>
              </w:rPr>
            </w:pPr>
          </w:p>
        </w:tc>
        <w:tc>
          <w:tcPr>
            <w:tcW w:w="620" w:type="dxa"/>
            <w:vAlign w:val="bottom"/>
            <w:shd w:val="clear" w:color="auto" w:fill="EDEDED"/>
          </w:tcPr>
          <w:p>
            <w:pPr>
              <w:spacing w:after="0"/>
              <w:rPr>
                <w:sz w:val="16"/>
                <w:szCs w:val="16"/>
                <w:color w:val="auto"/>
              </w:rPr>
            </w:pPr>
          </w:p>
        </w:tc>
        <w:tc>
          <w:tcPr>
            <w:tcW w:w="1080" w:type="dxa"/>
            <w:vAlign w:val="bottom"/>
            <w:shd w:val="clear" w:color="auto" w:fill="EDEDED"/>
          </w:tcPr>
          <w:p>
            <w:pPr>
              <w:spacing w:after="0"/>
              <w:rPr>
                <w:sz w:val="16"/>
                <w:szCs w:val="16"/>
                <w:color w:val="auto"/>
              </w:rPr>
            </w:pPr>
          </w:p>
        </w:tc>
        <w:tc>
          <w:tcPr>
            <w:tcW w:w="720" w:type="dxa"/>
            <w:vAlign w:val="bottom"/>
            <w:shd w:val="clear" w:color="auto" w:fill="EDEDED"/>
          </w:tcPr>
          <w:p>
            <w:pPr>
              <w:spacing w:after="0"/>
              <w:rPr>
                <w:sz w:val="16"/>
                <w:szCs w:val="16"/>
                <w:color w:val="auto"/>
              </w:rPr>
            </w:pPr>
          </w:p>
        </w:tc>
        <w:tc>
          <w:tcPr>
            <w:tcW w:w="1200" w:type="dxa"/>
            <w:vAlign w:val="bottom"/>
            <w:shd w:val="clear" w:color="auto" w:fill="EDEDED"/>
          </w:tcPr>
          <w:p>
            <w:pPr>
              <w:spacing w:after="0"/>
              <w:rPr>
                <w:sz w:val="16"/>
                <w:szCs w:val="16"/>
                <w:color w:val="auto"/>
              </w:rPr>
            </w:pPr>
          </w:p>
        </w:tc>
        <w:tc>
          <w:tcPr>
            <w:tcW w:w="1200" w:type="dxa"/>
            <w:vAlign w:val="bottom"/>
            <w:shd w:val="clear" w:color="auto" w:fill="EDEDED"/>
          </w:tcPr>
          <w:p>
            <w:pPr>
              <w:spacing w:after="0"/>
              <w:rPr>
                <w:sz w:val="16"/>
                <w:szCs w:val="16"/>
                <w:color w:val="auto"/>
              </w:rPr>
            </w:pPr>
          </w:p>
        </w:tc>
        <w:tc>
          <w:tcPr>
            <w:tcW w:w="1480" w:type="dxa"/>
            <w:vAlign w:val="bottom"/>
            <w:shd w:val="clear" w:color="auto" w:fill="EDEDED"/>
          </w:tcPr>
          <w:p>
            <w:pPr>
              <w:spacing w:after="0"/>
              <w:rPr>
                <w:sz w:val="16"/>
                <w:szCs w:val="16"/>
                <w:color w:val="auto"/>
              </w:rPr>
            </w:pPr>
          </w:p>
        </w:tc>
        <w:tc>
          <w:tcPr>
            <w:tcW w:w="86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2600" w:type="dxa"/>
            <w:vAlign w:val="bottom"/>
            <w:tcBorders>
              <w:bottom w:val="single" w:sz="8" w:color="auto"/>
            </w:tcBorders>
            <w:shd w:val="clear" w:color="auto" w:fill="EDEDED"/>
          </w:tcPr>
          <w:p>
            <w:pPr>
              <w:spacing w:after="0"/>
              <w:rPr>
                <w:sz w:val="5"/>
                <w:szCs w:val="5"/>
                <w:color w:val="auto"/>
              </w:rPr>
            </w:pPr>
          </w:p>
        </w:tc>
        <w:tc>
          <w:tcPr>
            <w:tcW w:w="120" w:type="dxa"/>
            <w:vAlign w:val="bottom"/>
            <w:tcBorders>
              <w:bottom w:val="single" w:sz="8" w:color="auto"/>
            </w:tcBorders>
            <w:shd w:val="clear" w:color="auto" w:fill="EDEDED"/>
          </w:tcPr>
          <w:p>
            <w:pPr>
              <w:spacing w:after="0"/>
              <w:rPr>
                <w:sz w:val="5"/>
                <w:szCs w:val="5"/>
                <w:color w:val="auto"/>
              </w:rPr>
            </w:pPr>
          </w:p>
        </w:tc>
        <w:tc>
          <w:tcPr>
            <w:tcW w:w="320" w:type="dxa"/>
            <w:vAlign w:val="bottom"/>
            <w:tcBorders>
              <w:bottom w:val="single" w:sz="8" w:color="auto"/>
            </w:tcBorders>
            <w:shd w:val="clear" w:color="auto" w:fill="EDEDED"/>
          </w:tcPr>
          <w:p>
            <w:pPr>
              <w:spacing w:after="0"/>
              <w:rPr>
                <w:sz w:val="5"/>
                <w:szCs w:val="5"/>
                <w:color w:val="auto"/>
              </w:rPr>
            </w:pPr>
          </w:p>
        </w:tc>
        <w:tc>
          <w:tcPr>
            <w:tcW w:w="820" w:type="dxa"/>
            <w:vAlign w:val="bottom"/>
            <w:tcBorders>
              <w:bottom w:val="single" w:sz="8" w:color="auto"/>
            </w:tcBorders>
            <w:shd w:val="clear" w:color="auto" w:fill="EDEDED"/>
          </w:tcPr>
          <w:p>
            <w:pPr>
              <w:spacing w:after="0"/>
              <w:rPr>
                <w:sz w:val="5"/>
                <w:szCs w:val="5"/>
                <w:color w:val="auto"/>
              </w:rPr>
            </w:pPr>
          </w:p>
        </w:tc>
        <w:tc>
          <w:tcPr>
            <w:tcW w:w="620" w:type="dxa"/>
            <w:vAlign w:val="bottom"/>
            <w:tcBorders>
              <w:bottom w:val="single" w:sz="8" w:color="auto"/>
            </w:tcBorders>
            <w:shd w:val="clear" w:color="auto" w:fill="EDEDED"/>
          </w:tcPr>
          <w:p>
            <w:pPr>
              <w:spacing w:after="0"/>
              <w:rPr>
                <w:sz w:val="5"/>
                <w:szCs w:val="5"/>
                <w:color w:val="auto"/>
              </w:rPr>
            </w:pPr>
          </w:p>
        </w:tc>
        <w:tc>
          <w:tcPr>
            <w:tcW w:w="1080" w:type="dxa"/>
            <w:vAlign w:val="bottom"/>
            <w:tcBorders>
              <w:bottom w:val="single" w:sz="8" w:color="auto"/>
            </w:tcBorders>
            <w:shd w:val="clear" w:color="auto" w:fill="EDEDED"/>
          </w:tcPr>
          <w:p>
            <w:pPr>
              <w:spacing w:after="0"/>
              <w:rPr>
                <w:sz w:val="5"/>
                <w:szCs w:val="5"/>
                <w:color w:val="auto"/>
              </w:rPr>
            </w:pPr>
          </w:p>
        </w:tc>
        <w:tc>
          <w:tcPr>
            <w:tcW w:w="720" w:type="dxa"/>
            <w:vAlign w:val="bottom"/>
            <w:tcBorders>
              <w:bottom w:val="single" w:sz="8" w:color="auto"/>
            </w:tcBorders>
            <w:shd w:val="clear" w:color="auto" w:fill="EDEDED"/>
          </w:tcPr>
          <w:p>
            <w:pPr>
              <w:spacing w:after="0"/>
              <w:rPr>
                <w:sz w:val="5"/>
                <w:szCs w:val="5"/>
                <w:color w:val="auto"/>
              </w:rPr>
            </w:pPr>
          </w:p>
        </w:tc>
        <w:tc>
          <w:tcPr>
            <w:tcW w:w="1200" w:type="dxa"/>
            <w:vAlign w:val="bottom"/>
            <w:tcBorders>
              <w:bottom w:val="single" w:sz="8" w:color="auto"/>
            </w:tcBorders>
            <w:shd w:val="clear" w:color="auto" w:fill="EDEDED"/>
          </w:tcPr>
          <w:p>
            <w:pPr>
              <w:spacing w:after="0"/>
              <w:rPr>
                <w:sz w:val="5"/>
                <w:szCs w:val="5"/>
                <w:color w:val="auto"/>
              </w:rPr>
            </w:pPr>
          </w:p>
        </w:tc>
        <w:tc>
          <w:tcPr>
            <w:tcW w:w="1200" w:type="dxa"/>
            <w:vAlign w:val="bottom"/>
            <w:tcBorders>
              <w:bottom w:val="single" w:sz="8" w:color="auto"/>
            </w:tcBorders>
            <w:shd w:val="clear" w:color="auto" w:fill="EDEDED"/>
          </w:tcPr>
          <w:p>
            <w:pPr>
              <w:spacing w:after="0"/>
              <w:rPr>
                <w:sz w:val="5"/>
                <w:szCs w:val="5"/>
                <w:color w:val="auto"/>
              </w:rPr>
            </w:pPr>
          </w:p>
        </w:tc>
        <w:tc>
          <w:tcPr>
            <w:tcW w:w="1480" w:type="dxa"/>
            <w:vAlign w:val="bottom"/>
            <w:tcBorders>
              <w:bottom w:val="single" w:sz="8" w:color="auto"/>
            </w:tcBorders>
            <w:shd w:val="clear" w:color="auto" w:fill="EDEDED"/>
          </w:tcPr>
          <w:p>
            <w:pPr>
              <w:spacing w:after="0"/>
              <w:rPr>
                <w:sz w:val="5"/>
                <w:szCs w:val="5"/>
                <w:color w:val="auto"/>
              </w:rPr>
            </w:pPr>
          </w:p>
        </w:tc>
        <w:tc>
          <w:tcPr>
            <w:tcW w:w="860" w:type="dxa"/>
            <w:vAlign w:val="bottom"/>
            <w:tcBorders>
              <w:bottom w:val="single" w:sz="8" w:color="auto"/>
            </w:tcBorders>
            <w:shd w:val="clear" w:color="auto" w:fill="EDEDED"/>
          </w:tcPr>
          <w:p>
            <w:pPr>
              <w:spacing w:after="0"/>
              <w:rPr>
                <w:sz w:val="5"/>
                <w:szCs w:val="5"/>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440" w:hanging="324"/>
        <w:spacing w:after="0"/>
        <w:tabs>
          <w:tab w:leader="none" w:pos="440" w:val="left"/>
        </w:tabs>
        <w:numPr>
          <w:ilvl w:val="0"/>
          <w:numId w:val="50"/>
        </w:numPr>
        <w:rPr>
          <w:rFonts w:ascii="Arial" w:cs="Arial" w:eastAsia="Arial" w:hAnsi="Arial"/>
          <w:sz w:val="19"/>
          <w:szCs w:val="19"/>
          <w:color w:val="auto"/>
          <w:vertAlign w:val="superscript"/>
        </w:rPr>
      </w:pPr>
      <w:r>
        <w:rPr>
          <w:rFonts w:ascii="Arial" w:cs="Arial" w:eastAsia="Arial" w:hAnsi="Arial"/>
          <w:sz w:val="13"/>
          <w:szCs w:val="13"/>
          <w:color w:val="auto"/>
        </w:rPr>
        <w:t>Represents 2022, 2021, and 2020 actual base salary earnings. Ms. Williams and Mr. Simons were not named executive officers in 2021 and 2020.</w:t>
      </w:r>
    </w:p>
    <w:p>
      <w:pPr>
        <w:spacing w:after="0" w:line="62" w:lineRule="exact"/>
        <w:rPr>
          <w:rFonts w:ascii="Arial" w:cs="Arial" w:eastAsia="Arial" w:hAnsi="Arial"/>
          <w:sz w:val="19"/>
          <w:szCs w:val="19"/>
          <w:color w:val="auto"/>
          <w:vertAlign w:val="superscript"/>
        </w:rPr>
      </w:pPr>
    </w:p>
    <w:p>
      <w:pPr>
        <w:ind w:left="440" w:right="20" w:hanging="324"/>
        <w:spacing w:after="0" w:line="201" w:lineRule="auto"/>
        <w:tabs>
          <w:tab w:leader="none" w:pos="440" w:val="left"/>
        </w:tabs>
        <w:numPr>
          <w:ilvl w:val="0"/>
          <w:numId w:val="50"/>
        </w:numPr>
        <w:rPr>
          <w:rFonts w:ascii="Arial" w:cs="Arial" w:eastAsia="Arial" w:hAnsi="Arial"/>
          <w:sz w:val="19"/>
          <w:szCs w:val="19"/>
          <w:color w:val="auto"/>
          <w:vertAlign w:val="superscript"/>
        </w:rPr>
      </w:pPr>
      <w:r>
        <w:rPr>
          <w:rFonts w:ascii="Arial" w:cs="Arial" w:eastAsia="Arial" w:hAnsi="Arial"/>
          <w:sz w:val="13"/>
          <w:szCs w:val="13"/>
          <w:color w:val="auto"/>
        </w:rPr>
        <w:t>The grant date fair values reported for 2022 are determined by multiplying the number of shares granted by the Market Value (“MV”) on the grant date. MV for Restricted Stock is determined by the closing price on the date of grant. MV for Performance Shares is determined by the closing stock price on the date of grant, discounted because these shares are not eligible for dividends. The MV for the Restricted Stock granted to all named officers on February 15, 2022 is $21.77 and to Mr. Simons on June 15, 2022 is $18.23. The MV for Performance Shares granted to all named officers on February 15, 2022 is $21.19.</w:t>
      </w:r>
    </w:p>
    <w:p>
      <w:pPr>
        <w:spacing w:after="0" w:line="50" w:lineRule="exact"/>
        <w:rPr>
          <w:rFonts w:ascii="Arial" w:cs="Arial" w:eastAsia="Arial" w:hAnsi="Arial"/>
          <w:sz w:val="19"/>
          <w:szCs w:val="19"/>
          <w:color w:val="auto"/>
          <w:vertAlign w:val="superscript"/>
        </w:rPr>
      </w:pPr>
    </w:p>
    <w:p>
      <w:pPr>
        <w:ind w:left="440" w:right="20" w:hanging="324"/>
        <w:spacing w:after="0" w:line="196" w:lineRule="auto"/>
        <w:tabs>
          <w:tab w:leader="none" w:pos="440" w:val="left"/>
        </w:tabs>
        <w:numPr>
          <w:ilvl w:val="0"/>
          <w:numId w:val="50"/>
        </w:numPr>
        <w:rPr>
          <w:rFonts w:ascii="Arial" w:cs="Arial" w:eastAsia="Arial" w:hAnsi="Arial"/>
          <w:sz w:val="19"/>
          <w:szCs w:val="19"/>
          <w:color w:val="auto"/>
          <w:vertAlign w:val="superscript"/>
        </w:rPr>
      </w:pPr>
      <w:r>
        <w:rPr>
          <w:rFonts w:ascii="Arial" w:cs="Arial" w:eastAsia="Arial" w:hAnsi="Arial"/>
          <w:sz w:val="13"/>
          <w:szCs w:val="13"/>
          <w:color w:val="auto"/>
        </w:rPr>
        <w:t>The maximum number of shares and award value for Performance Share awards for the 2022-2024 performance period is 200% of target shares granted. The table below shows the maximum number of shares and value for Performance Share awards based on achievement of financial measures using the values of $21.19 for shares granted February 15, 2022.</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3220" w:type="dxa"/>
            <w:vAlign w:val="bottom"/>
          </w:tcPr>
          <w:p>
            <w:pPr>
              <w:ind w:left="1200"/>
              <w:spacing w:after="0"/>
              <w:rPr>
                <w:sz w:val="20"/>
                <w:szCs w:val="20"/>
                <w:color w:val="auto"/>
              </w:rPr>
            </w:pPr>
            <w:r>
              <w:rPr>
                <w:rFonts w:ascii="Arial" w:cs="Arial" w:eastAsia="Arial" w:hAnsi="Arial"/>
                <w:sz w:val="14"/>
                <w:szCs w:val="14"/>
                <w:b w:val="1"/>
                <w:bCs w:val="1"/>
                <w:color w:val="00AF41"/>
              </w:rPr>
              <w:t>Maximum Number of</w:t>
            </w:r>
          </w:p>
        </w:tc>
        <w:tc>
          <w:tcPr>
            <w:tcW w:w="2800" w:type="dxa"/>
            <w:vAlign w:val="bottom"/>
          </w:tcPr>
          <w:p>
            <w:pPr>
              <w:jc w:val="center"/>
              <w:ind w:left="528"/>
              <w:spacing w:after="0"/>
              <w:rPr>
                <w:sz w:val="20"/>
                <w:szCs w:val="20"/>
                <w:color w:val="auto"/>
              </w:rPr>
            </w:pPr>
            <w:r>
              <w:rPr>
                <w:rFonts w:ascii="Arial" w:cs="Arial" w:eastAsia="Arial" w:hAnsi="Arial"/>
                <w:sz w:val="14"/>
                <w:szCs w:val="14"/>
                <w:b w:val="1"/>
                <w:bCs w:val="1"/>
                <w:color w:val="00AF41"/>
              </w:rPr>
              <w:t>Maximum Value of Performance</w:t>
            </w:r>
          </w:p>
        </w:tc>
      </w:tr>
      <w:tr>
        <w:trPr>
          <w:trHeight w:val="171"/>
        </w:trPr>
        <w:tc>
          <w:tcPr>
            <w:tcW w:w="4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00AF41"/>
              </w:rPr>
              <w:t>Name</w:t>
            </w:r>
          </w:p>
        </w:tc>
        <w:tc>
          <w:tcPr>
            <w:tcW w:w="3220" w:type="dxa"/>
            <w:vAlign w:val="bottom"/>
            <w:tcBorders>
              <w:bottom w:val="single" w:sz="8" w:color="auto"/>
            </w:tcBorders>
          </w:tcPr>
          <w:p>
            <w:pPr>
              <w:ind w:left="1200"/>
              <w:spacing w:after="0"/>
              <w:rPr>
                <w:sz w:val="20"/>
                <w:szCs w:val="20"/>
                <w:color w:val="auto"/>
              </w:rPr>
            </w:pPr>
            <w:r>
              <w:rPr>
                <w:rFonts w:ascii="Arial" w:cs="Arial" w:eastAsia="Arial" w:hAnsi="Arial"/>
                <w:sz w:val="14"/>
                <w:szCs w:val="14"/>
                <w:b w:val="1"/>
                <w:bCs w:val="1"/>
                <w:color w:val="00AF41"/>
              </w:rPr>
              <w:t>Performance Shares</w:t>
            </w:r>
          </w:p>
        </w:tc>
        <w:tc>
          <w:tcPr>
            <w:tcW w:w="280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b w:val="1"/>
                <w:bCs w:val="1"/>
                <w:color w:val="00AF41"/>
              </w:rPr>
              <w:t>Shares</w:t>
            </w:r>
          </w:p>
        </w:tc>
      </w:tr>
      <w:tr>
        <w:trPr>
          <w:trHeight w:val="257"/>
        </w:trPr>
        <w:tc>
          <w:tcPr>
            <w:tcW w:w="466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4"/>
                <w:szCs w:val="14"/>
                <w:b w:val="1"/>
                <w:bCs w:val="1"/>
                <w:color w:val="auto"/>
              </w:rPr>
              <w:t>Peter W. Quigley</w:t>
            </w:r>
          </w:p>
        </w:tc>
        <w:tc>
          <w:tcPr>
            <w:tcW w:w="3220" w:type="dxa"/>
            <w:vAlign w:val="bottom"/>
            <w:tcBorders>
              <w:bottom w:val="single" w:sz="8" w:color="EDEDED"/>
            </w:tcBorders>
            <w:shd w:val="clear" w:color="auto" w:fill="EDEDED"/>
          </w:tcPr>
          <w:p>
            <w:pPr>
              <w:jc w:val="center"/>
              <w:ind w:left="508"/>
              <w:spacing w:after="0"/>
              <w:rPr>
                <w:sz w:val="20"/>
                <w:szCs w:val="20"/>
                <w:color w:val="auto"/>
              </w:rPr>
            </w:pPr>
            <w:r>
              <w:rPr>
                <w:rFonts w:ascii="Arial" w:cs="Arial" w:eastAsia="Arial" w:hAnsi="Arial"/>
                <w:sz w:val="14"/>
                <w:szCs w:val="14"/>
                <w:color w:val="auto"/>
              </w:rPr>
              <w:t>127,332</w:t>
            </w:r>
          </w:p>
        </w:tc>
        <w:tc>
          <w:tcPr>
            <w:tcW w:w="2800" w:type="dxa"/>
            <w:vAlign w:val="bottom"/>
            <w:tcBorders>
              <w:bottom w:val="single" w:sz="8" w:color="EDEDED"/>
            </w:tcBorders>
            <w:shd w:val="clear" w:color="auto" w:fill="EDEDED"/>
          </w:tcPr>
          <w:p>
            <w:pPr>
              <w:jc w:val="center"/>
              <w:ind w:left="528"/>
              <w:spacing w:after="0"/>
              <w:rPr>
                <w:sz w:val="20"/>
                <w:szCs w:val="20"/>
                <w:color w:val="auto"/>
              </w:rPr>
            </w:pPr>
            <w:r>
              <w:rPr>
                <w:rFonts w:ascii="Arial" w:cs="Arial" w:eastAsia="Arial" w:hAnsi="Arial"/>
                <w:sz w:val="14"/>
                <w:szCs w:val="14"/>
                <w:color w:val="auto"/>
              </w:rPr>
              <w:t>2,698,165</w:t>
            </w:r>
          </w:p>
        </w:tc>
      </w:tr>
      <w:tr>
        <w:trPr>
          <w:trHeight w:val="255"/>
        </w:trPr>
        <w:tc>
          <w:tcPr>
            <w:tcW w:w="4660" w:type="dxa"/>
            <w:vAlign w:val="bottom"/>
          </w:tcPr>
          <w:p>
            <w:pPr>
              <w:ind w:left="60"/>
              <w:spacing w:after="0"/>
              <w:rPr>
                <w:sz w:val="20"/>
                <w:szCs w:val="20"/>
                <w:color w:val="auto"/>
              </w:rPr>
            </w:pPr>
            <w:r>
              <w:rPr>
                <w:rFonts w:ascii="Arial" w:cs="Arial" w:eastAsia="Arial" w:hAnsi="Arial"/>
                <w:sz w:val="14"/>
                <w:szCs w:val="14"/>
                <w:b w:val="1"/>
                <w:bCs w:val="1"/>
                <w:color w:val="auto"/>
              </w:rPr>
              <w:t>Olivier G. Thirot</w:t>
            </w:r>
          </w:p>
        </w:tc>
        <w:tc>
          <w:tcPr>
            <w:tcW w:w="3220" w:type="dxa"/>
            <w:vAlign w:val="bottom"/>
          </w:tcPr>
          <w:p>
            <w:pPr>
              <w:jc w:val="center"/>
              <w:ind w:left="508"/>
              <w:spacing w:after="0"/>
              <w:rPr>
                <w:sz w:val="20"/>
                <w:szCs w:val="20"/>
                <w:color w:val="auto"/>
              </w:rPr>
            </w:pPr>
            <w:r>
              <w:rPr>
                <w:rFonts w:ascii="Arial" w:cs="Arial" w:eastAsia="Arial" w:hAnsi="Arial"/>
                <w:sz w:val="14"/>
                <w:szCs w:val="14"/>
                <w:color w:val="auto"/>
              </w:rPr>
              <w:t>60,772</w:t>
            </w:r>
          </w:p>
        </w:tc>
        <w:tc>
          <w:tcPr>
            <w:tcW w:w="2800" w:type="dxa"/>
            <w:vAlign w:val="bottom"/>
          </w:tcPr>
          <w:p>
            <w:pPr>
              <w:jc w:val="center"/>
              <w:ind w:left="528"/>
              <w:spacing w:after="0"/>
              <w:rPr>
                <w:sz w:val="20"/>
                <w:szCs w:val="20"/>
                <w:color w:val="auto"/>
              </w:rPr>
            </w:pPr>
            <w:r>
              <w:rPr>
                <w:rFonts w:ascii="Arial" w:cs="Arial" w:eastAsia="Arial" w:hAnsi="Arial"/>
                <w:sz w:val="14"/>
                <w:szCs w:val="14"/>
                <w:color w:val="auto"/>
              </w:rPr>
              <w:t>1,287,759</w:t>
            </w:r>
          </w:p>
        </w:tc>
      </w:tr>
      <w:tr>
        <w:trPr>
          <w:trHeight w:val="43"/>
        </w:trPr>
        <w:tc>
          <w:tcPr>
            <w:tcW w:w="4660" w:type="dxa"/>
            <w:vAlign w:val="bottom"/>
          </w:tcPr>
          <w:p>
            <w:pPr>
              <w:spacing w:after="0"/>
              <w:rPr>
                <w:sz w:val="3"/>
                <w:szCs w:val="3"/>
                <w:color w:val="auto"/>
              </w:rPr>
            </w:pPr>
          </w:p>
        </w:tc>
        <w:tc>
          <w:tcPr>
            <w:tcW w:w="3220" w:type="dxa"/>
            <w:vAlign w:val="bottom"/>
          </w:tcPr>
          <w:p>
            <w:pPr>
              <w:spacing w:after="0"/>
              <w:rPr>
                <w:sz w:val="3"/>
                <w:szCs w:val="3"/>
                <w:color w:val="auto"/>
              </w:rPr>
            </w:pPr>
          </w:p>
        </w:tc>
        <w:tc>
          <w:tcPr>
            <w:tcW w:w="2800" w:type="dxa"/>
            <w:vAlign w:val="bottom"/>
          </w:tcPr>
          <w:p>
            <w:pPr>
              <w:spacing w:after="0"/>
              <w:rPr>
                <w:sz w:val="3"/>
                <w:szCs w:val="3"/>
                <w:color w:val="auto"/>
              </w:rPr>
            </w:pPr>
          </w:p>
        </w:tc>
      </w:tr>
      <w:tr>
        <w:trPr>
          <w:trHeight w:val="277"/>
        </w:trPr>
        <w:tc>
          <w:tcPr>
            <w:tcW w:w="466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4"/>
                <w:szCs w:val="14"/>
                <w:b w:val="1"/>
                <w:bCs w:val="1"/>
                <w:color w:val="auto"/>
              </w:rPr>
              <w:t>Dinette Koolhaas</w:t>
            </w:r>
          </w:p>
        </w:tc>
        <w:tc>
          <w:tcPr>
            <w:tcW w:w="3220" w:type="dxa"/>
            <w:vAlign w:val="bottom"/>
            <w:tcBorders>
              <w:bottom w:val="single" w:sz="8" w:color="EDEDED"/>
            </w:tcBorders>
            <w:shd w:val="clear" w:color="auto" w:fill="EDEDED"/>
          </w:tcPr>
          <w:p>
            <w:pPr>
              <w:jc w:val="center"/>
              <w:ind w:left="508"/>
              <w:spacing w:after="0"/>
              <w:rPr>
                <w:sz w:val="20"/>
                <w:szCs w:val="20"/>
                <w:color w:val="auto"/>
              </w:rPr>
            </w:pPr>
            <w:r>
              <w:rPr>
                <w:rFonts w:ascii="Arial" w:cs="Arial" w:eastAsia="Arial" w:hAnsi="Arial"/>
                <w:sz w:val="14"/>
                <w:szCs w:val="14"/>
                <w:color w:val="auto"/>
              </w:rPr>
              <w:t>25,908</w:t>
            </w:r>
          </w:p>
        </w:tc>
        <w:tc>
          <w:tcPr>
            <w:tcW w:w="2800" w:type="dxa"/>
            <w:vAlign w:val="bottom"/>
            <w:tcBorders>
              <w:bottom w:val="single" w:sz="8" w:color="EDEDED"/>
            </w:tcBorders>
            <w:shd w:val="clear" w:color="auto" w:fill="EDEDED"/>
          </w:tcPr>
          <w:p>
            <w:pPr>
              <w:jc w:val="center"/>
              <w:ind w:left="528"/>
              <w:spacing w:after="0"/>
              <w:rPr>
                <w:sz w:val="20"/>
                <w:szCs w:val="20"/>
                <w:color w:val="auto"/>
              </w:rPr>
            </w:pPr>
            <w:r>
              <w:rPr>
                <w:rFonts w:ascii="Arial" w:cs="Arial" w:eastAsia="Arial" w:hAnsi="Arial"/>
                <w:sz w:val="14"/>
                <w:szCs w:val="14"/>
                <w:color w:val="auto"/>
              </w:rPr>
              <w:t>548,991</w:t>
            </w:r>
          </w:p>
        </w:tc>
      </w:tr>
      <w:tr>
        <w:trPr>
          <w:trHeight w:val="255"/>
        </w:trPr>
        <w:tc>
          <w:tcPr>
            <w:tcW w:w="4660" w:type="dxa"/>
            <w:vAlign w:val="bottom"/>
          </w:tcPr>
          <w:p>
            <w:pPr>
              <w:ind w:left="60"/>
              <w:spacing w:after="0"/>
              <w:rPr>
                <w:sz w:val="20"/>
                <w:szCs w:val="20"/>
                <w:color w:val="auto"/>
              </w:rPr>
            </w:pPr>
            <w:r>
              <w:rPr>
                <w:rFonts w:ascii="Arial" w:cs="Arial" w:eastAsia="Arial" w:hAnsi="Arial"/>
                <w:sz w:val="14"/>
                <w:szCs w:val="14"/>
                <w:b w:val="1"/>
                <w:bCs w:val="1"/>
                <w:color w:val="auto"/>
              </w:rPr>
              <w:t>Vanessa P. Williams</w:t>
            </w:r>
          </w:p>
        </w:tc>
        <w:tc>
          <w:tcPr>
            <w:tcW w:w="3220" w:type="dxa"/>
            <w:vAlign w:val="bottom"/>
          </w:tcPr>
          <w:p>
            <w:pPr>
              <w:jc w:val="center"/>
              <w:ind w:left="508"/>
              <w:spacing w:after="0"/>
              <w:rPr>
                <w:sz w:val="20"/>
                <w:szCs w:val="20"/>
                <w:color w:val="auto"/>
              </w:rPr>
            </w:pPr>
            <w:r>
              <w:rPr>
                <w:rFonts w:ascii="Arial" w:cs="Arial" w:eastAsia="Arial" w:hAnsi="Arial"/>
                <w:sz w:val="14"/>
                <w:szCs w:val="14"/>
                <w:color w:val="auto"/>
              </w:rPr>
              <w:t>28,524</w:t>
            </w:r>
          </w:p>
        </w:tc>
        <w:tc>
          <w:tcPr>
            <w:tcW w:w="2800" w:type="dxa"/>
            <w:vAlign w:val="bottom"/>
          </w:tcPr>
          <w:p>
            <w:pPr>
              <w:jc w:val="center"/>
              <w:ind w:left="528"/>
              <w:spacing w:after="0"/>
              <w:rPr>
                <w:sz w:val="20"/>
                <w:szCs w:val="20"/>
                <w:color w:val="auto"/>
              </w:rPr>
            </w:pPr>
            <w:r>
              <w:rPr>
                <w:rFonts w:ascii="Arial" w:cs="Arial" w:eastAsia="Arial" w:hAnsi="Arial"/>
                <w:sz w:val="14"/>
                <w:szCs w:val="14"/>
                <w:color w:val="auto"/>
              </w:rPr>
              <w:t>604,424</w:t>
            </w:r>
          </w:p>
        </w:tc>
      </w:tr>
      <w:tr>
        <w:trPr>
          <w:trHeight w:val="43"/>
        </w:trPr>
        <w:tc>
          <w:tcPr>
            <w:tcW w:w="4660" w:type="dxa"/>
            <w:vAlign w:val="bottom"/>
          </w:tcPr>
          <w:p>
            <w:pPr>
              <w:spacing w:after="0"/>
              <w:rPr>
                <w:sz w:val="3"/>
                <w:szCs w:val="3"/>
                <w:color w:val="auto"/>
              </w:rPr>
            </w:pPr>
          </w:p>
        </w:tc>
        <w:tc>
          <w:tcPr>
            <w:tcW w:w="3220" w:type="dxa"/>
            <w:vAlign w:val="bottom"/>
          </w:tcPr>
          <w:p>
            <w:pPr>
              <w:spacing w:after="0"/>
              <w:rPr>
                <w:sz w:val="3"/>
                <w:szCs w:val="3"/>
                <w:color w:val="auto"/>
              </w:rPr>
            </w:pPr>
          </w:p>
        </w:tc>
        <w:tc>
          <w:tcPr>
            <w:tcW w:w="2800" w:type="dxa"/>
            <w:vAlign w:val="bottom"/>
          </w:tcPr>
          <w:p>
            <w:pPr>
              <w:spacing w:after="0"/>
              <w:rPr>
                <w:sz w:val="3"/>
                <w:szCs w:val="3"/>
                <w:color w:val="auto"/>
              </w:rPr>
            </w:pPr>
          </w:p>
        </w:tc>
      </w:tr>
      <w:tr>
        <w:trPr>
          <w:trHeight w:val="277"/>
        </w:trPr>
        <w:tc>
          <w:tcPr>
            <w:tcW w:w="466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4"/>
                <w:szCs w:val="14"/>
                <w:b w:val="1"/>
                <w:bCs w:val="1"/>
                <w:color w:val="auto"/>
              </w:rPr>
              <w:t>Darren L. Simons</w:t>
            </w:r>
          </w:p>
        </w:tc>
        <w:tc>
          <w:tcPr>
            <w:tcW w:w="3220" w:type="dxa"/>
            <w:vAlign w:val="bottom"/>
            <w:tcBorders>
              <w:bottom w:val="single" w:sz="8" w:color="EDEDED"/>
            </w:tcBorders>
            <w:shd w:val="clear" w:color="auto" w:fill="EDEDED"/>
          </w:tcPr>
          <w:p>
            <w:pPr>
              <w:jc w:val="center"/>
              <w:ind w:left="508"/>
              <w:spacing w:after="0"/>
              <w:rPr>
                <w:sz w:val="20"/>
                <w:szCs w:val="20"/>
                <w:color w:val="auto"/>
              </w:rPr>
            </w:pPr>
            <w:r>
              <w:rPr>
                <w:rFonts w:ascii="Arial" w:cs="Arial" w:eastAsia="Arial" w:hAnsi="Arial"/>
                <w:sz w:val="14"/>
                <w:szCs w:val="14"/>
                <w:color w:val="auto"/>
              </w:rPr>
              <w:t>18,180</w:t>
            </w:r>
          </w:p>
        </w:tc>
        <w:tc>
          <w:tcPr>
            <w:tcW w:w="2800" w:type="dxa"/>
            <w:vAlign w:val="bottom"/>
            <w:tcBorders>
              <w:bottom w:val="single" w:sz="8" w:color="EDEDED"/>
            </w:tcBorders>
            <w:shd w:val="clear" w:color="auto" w:fill="EDEDED"/>
          </w:tcPr>
          <w:p>
            <w:pPr>
              <w:jc w:val="center"/>
              <w:ind w:left="528"/>
              <w:spacing w:after="0"/>
              <w:rPr>
                <w:sz w:val="20"/>
                <w:szCs w:val="20"/>
                <w:color w:val="auto"/>
              </w:rPr>
            </w:pPr>
            <w:r>
              <w:rPr>
                <w:rFonts w:ascii="Arial" w:cs="Arial" w:eastAsia="Arial" w:hAnsi="Arial"/>
                <w:sz w:val="14"/>
                <w:szCs w:val="14"/>
                <w:color w:val="auto"/>
              </w:rPr>
              <w:t>385,234</w:t>
            </w:r>
          </w:p>
        </w:tc>
      </w:tr>
      <w:tr>
        <w:trPr>
          <w:trHeight w:val="20"/>
        </w:trPr>
        <w:tc>
          <w:tcPr>
            <w:tcW w:w="4660" w:type="dxa"/>
            <w:vAlign w:val="bottom"/>
            <w:shd w:val="clear" w:color="auto" w:fill="000000"/>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r>
    </w:tbl>
    <w:p>
      <w:pPr>
        <w:spacing w:after="0" w:line="50" w:lineRule="exact"/>
        <w:rPr>
          <w:sz w:val="20"/>
          <w:szCs w:val="20"/>
          <w:color w:val="auto"/>
        </w:rPr>
      </w:pPr>
    </w:p>
    <w:p>
      <w:pPr>
        <w:ind w:left="440" w:right="100" w:hanging="324"/>
        <w:spacing w:after="0" w:line="202" w:lineRule="auto"/>
        <w:tabs>
          <w:tab w:leader="none" w:pos="440" w:val="left"/>
        </w:tabs>
        <w:numPr>
          <w:ilvl w:val="0"/>
          <w:numId w:val="51"/>
        </w:numPr>
        <w:rPr>
          <w:rFonts w:ascii="Arial" w:cs="Arial" w:eastAsia="Arial" w:hAnsi="Arial"/>
          <w:sz w:val="19"/>
          <w:szCs w:val="19"/>
          <w:color w:val="auto"/>
          <w:vertAlign w:val="superscript"/>
        </w:rPr>
      </w:pPr>
      <w:r>
        <w:rPr>
          <w:rFonts w:ascii="Arial" w:cs="Arial" w:eastAsia="Arial" w:hAnsi="Arial"/>
          <w:sz w:val="13"/>
          <w:szCs w:val="13"/>
          <w:color w:val="auto"/>
        </w:rPr>
        <w:t>Amounts for named executive officers include company matching contributions to the Management Retirement Plan (“MRP”), and Medicare tax gross-ups on those MRP contributions. (See table below.) The total value of perquisites provided to each named executive officer (other than Mr. Thirot and further below, Ms. Koolhaas) in 2022 was less than $10,000 and, in accordance with reporting regulations, were not required to be included in this table.</w:t>
      </w: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1820" w:type="dxa"/>
            <w:vAlign w:val="bottom"/>
          </w:tcPr>
          <w:p>
            <w:pPr>
              <w:jc w:val="center"/>
              <w:ind w:left="208"/>
              <w:spacing w:after="0"/>
              <w:rPr>
                <w:sz w:val="20"/>
                <w:szCs w:val="20"/>
                <w:color w:val="auto"/>
              </w:rPr>
            </w:pPr>
            <w:r>
              <w:rPr>
                <w:rFonts w:ascii="Arial" w:cs="Arial" w:eastAsia="Arial" w:hAnsi="Arial"/>
                <w:sz w:val="14"/>
                <w:szCs w:val="14"/>
                <w:b w:val="1"/>
                <w:bCs w:val="1"/>
                <w:color w:val="00AF41"/>
              </w:rPr>
              <w:t>Company</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AF41"/>
              </w:rPr>
              <w:t>MRP</w:t>
            </w:r>
          </w:p>
        </w:tc>
        <w:tc>
          <w:tcPr>
            <w:tcW w:w="1300" w:type="dxa"/>
            <w:vAlign w:val="bottom"/>
          </w:tcPr>
          <w:p>
            <w:pPr>
              <w:jc w:val="center"/>
              <w:ind w:left="188"/>
              <w:spacing w:after="0"/>
              <w:rPr>
                <w:sz w:val="20"/>
                <w:szCs w:val="20"/>
                <w:color w:val="auto"/>
              </w:rPr>
            </w:pPr>
            <w:r>
              <w:rPr>
                <w:rFonts w:ascii="Arial" w:cs="Arial" w:eastAsia="Arial" w:hAnsi="Arial"/>
                <w:sz w:val="14"/>
                <w:szCs w:val="14"/>
                <w:b w:val="1"/>
                <w:bCs w:val="1"/>
                <w:color w:val="00AF41"/>
              </w:rPr>
              <w:t>Total All</w:t>
            </w:r>
          </w:p>
        </w:tc>
      </w:tr>
      <w:tr>
        <w:trPr>
          <w:trHeight w:val="162"/>
        </w:trPr>
        <w:tc>
          <w:tcPr>
            <w:tcW w:w="6280" w:type="dxa"/>
            <w:vAlign w:val="bottom"/>
          </w:tcPr>
          <w:p>
            <w:pPr>
              <w:spacing w:after="0"/>
              <w:rPr>
                <w:sz w:val="14"/>
                <w:szCs w:val="14"/>
                <w:color w:val="auto"/>
              </w:rPr>
            </w:pPr>
          </w:p>
        </w:tc>
        <w:tc>
          <w:tcPr>
            <w:tcW w:w="1820" w:type="dxa"/>
            <w:vAlign w:val="bottom"/>
          </w:tcPr>
          <w:p>
            <w:pPr>
              <w:jc w:val="center"/>
              <w:ind w:left="188"/>
              <w:spacing w:after="0"/>
              <w:rPr>
                <w:sz w:val="20"/>
                <w:szCs w:val="20"/>
                <w:color w:val="auto"/>
              </w:rPr>
            </w:pPr>
            <w:r>
              <w:rPr>
                <w:rFonts w:ascii="Arial" w:cs="Arial" w:eastAsia="Arial" w:hAnsi="Arial"/>
                <w:sz w:val="14"/>
                <w:szCs w:val="14"/>
                <w:b w:val="1"/>
                <w:bCs w:val="1"/>
                <w:color w:val="00AF41"/>
              </w:rPr>
              <w:t>Matching MRP</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AF41"/>
              </w:rPr>
              <w:t>Medicare</w:t>
            </w:r>
          </w:p>
        </w:tc>
        <w:tc>
          <w:tcPr>
            <w:tcW w:w="1300" w:type="dxa"/>
            <w:vAlign w:val="bottom"/>
          </w:tcPr>
          <w:p>
            <w:pPr>
              <w:jc w:val="center"/>
              <w:ind w:left="208"/>
              <w:spacing w:after="0"/>
              <w:rPr>
                <w:sz w:val="20"/>
                <w:szCs w:val="20"/>
                <w:color w:val="auto"/>
              </w:rPr>
            </w:pPr>
            <w:r>
              <w:rPr>
                <w:rFonts w:ascii="Arial" w:cs="Arial" w:eastAsia="Arial" w:hAnsi="Arial"/>
                <w:sz w:val="14"/>
                <w:szCs w:val="14"/>
                <w:b w:val="1"/>
                <w:bCs w:val="1"/>
                <w:color w:val="00AF41"/>
              </w:rPr>
              <w:t>Other</w:t>
            </w:r>
          </w:p>
        </w:tc>
      </w:tr>
      <w:tr>
        <w:trPr>
          <w:trHeight w:val="171"/>
        </w:trPr>
        <w:tc>
          <w:tcPr>
            <w:tcW w:w="62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00AF41"/>
              </w:rPr>
              <w:t>Name</w:t>
            </w:r>
          </w:p>
        </w:tc>
        <w:tc>
          <w:tcPr>
            <w:tcW w:w="182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00AF41"/>
              </w:rPr>
              <w:t>Contributions</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AF41"/>
              </w:rPr>
              <w:t>Gross-ups</w:t>
            </w:r>
          </w:p>
        </w:tc>
        <w:tc>
          <w:tcPr>
            <w:tcW w:w="130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00AF41"/>
              </w:rPr>
              <w:t>Compensation</w:t>
            </w:r>
          </w:p>
        </w:tc>
      </w:tr>
      <w:tr>
        <w:trPr>
          <w:trHeight w:val="257"/>
        </w:trPr>
        <w:tc>
          <w:tcPr>
            <w:tcW w:w="628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4"/>
                <w:szCs w:val="14"/>
                <w:b w:val="1"/>
                <w:bCs w:val="1"/>
                <w:color w:val="auto"/>
              </w:rPr>
              <w:t>Peter W. Quigley</w:t>
            </w:r>
          </w:p>
        </w:tc>
        <w:tc>
          <w:tcPr>
            <w:tcW w:w="1820" w:type="dxa"/>
            <w:vAlign w:val="bottom"/>
            <w:tcBorders>
              <w:bottom w:val="single" w:sz="8" w:color="EDEDED"/>
            </w:tcBorders>
            <w:shd w:val="clear" w:color="auto" w:fill="EDEDED"/>
          </w:tcPr>
          <w:p>
            <w:pPr>
              <w:jc w:val="center"/>
              <w:ind w:left="188"/>
              <w:spacing w:after="0"/>
              <w:rPr>
                <w:sz w:val="20"/>
                <w:szCs w:val="20"/>
                <w:color w:val="auto"/>
              </w:rPr>
            </w:pPr>
            <w:r>
              <w:rPr>
                <w:rFonts w:ascii="Arial" w:cs="Arial" w:eastAsia="Arial" w:hAnsi="Arial"/>
                <w:sz w:val="14"/>
                <w:szCs w:val="14"/>
                <w:color w:val="auto"/>
              </w:rPr>
              <w:t>60,235</w:t>
            </w:r>
          </w:p>
        </w:tc>
        <w:tc>
          <w:tcPr>
            <w:tcW w:w="128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1,896</w:t>
            </w:r>
          </w:p>
        </w:tc>
        <w:tc>
          <w:tcPr>
            <w:tcW w:w="1300" w:type="dxa"/>
            <w:vAlign w:val="bottom"/>
            <w:tcBorders>
              <w:bottom w:val="single" w:sz="8" w:color="EDEDED"/>
            </w:tcBorders>
            <w:shd w:val="clear" w:color="auto" w:fill="EDEDED"/>
          </w:tcPr>
          <w:p>
            <w:pPr>
              <w:jc w:val="center"/>
              <w:ind w:left="188"/>
              <w:spacing w:after="0"/>
              <w:rPr>
                <w:sz w:val="20"/>
                <w:szCs w:val="20"/>
                <w:color w:val="auto"/>
              </w:rPr>
            </w:pPr>
            <w:r>
              <w:rPr>
                <w:rFonts w:ascii="Arial" w:cs="Arial" w:eastAsia="Arial" w:hAnsi="Arial"/>
                <w:sz w:val="14"/>
                <w:szCs w:val="14"/>
                <w:color w:val="auto"/>
              </w:rPr>
              <w:t>62,131</w:t>
            </w:r>
          </w:p>
        </w:tc>
      </w:tr>
      <w:tr>
        <w:trPr>
          <w:trHeight w:val="255"/>
        </w:trPr>
        <w:tc>
          <w:tcPr>
            <w:tcW w:w="6280" w:type="dxa"/>
            <w:vAlign w:val="bottom"/>
          </w:tcPr>
          <w:p>
            <w:pPr>
              <w:ind w:left="60"/>
              <w:spacing w:after="0"/>
              <w:rPr>
                <w:sz w:val="20"/>
                <w:szCs w:val="20"/>
                <w:color w:val="auto"/>
              </w:rPr>
            </w:pPr>
            <w:r>
              <w:rPr>
                <w:rFonts w:ascii="Arial" w:cs="Arial" w:eastAsia="Arial" w:hAnsi="Arial"/>
                <w:sz w:val="14"/>
                <w:szCs w:val="14"/>
                <w:b w:val="1"/>
                <w:bCs w:val="1"/>
                <w:color w:val="auto"/>
              </w:rPr>
              <w:t>Vanessa P. Williams</w:t>
            </w:r>
          </w:p>
        </w:tc>
        <w:tc>
          <w:tcPr>
            <w:tcW w:w="1820" w:type="dxa"/>
            <w:vAlign w:val="bottom"/>
          </w:tcPr>
          <w:p>
            <w:pPr>
              <w:jc w:val="center"/>
              <w:ind w:left="188"/>
              <w:spacing w:after="0"/>
              <w:rPr>
                <w:sz w:val="20"/>
                <w:szCs w:val="20"/>
                <w:color w:val="auto"/>
              </w:rPr>
            </w:pPr>
            <w:r>
              <w:rPr>
                <w:rFonts w:ascii="Arial" w:cs="Arial" w:eastAsia="Arial" w:hAnsi="Arial"/>
                <w:sz w:val="14"/>
                <w:szCs w:val="14"/>
                <w:color w:val="auto"/>
              </w:rPr>
              <w:t>20,666</w:t>
            </w:r>
          </w:p>
        </w:tc>
        <w:tc>
          <w:tcPr>
            <w:tcW w:w="1280" w:type="dxa"/>
            <w:vAlign w:val="bottom"/>
          </w:tcPr>
          <w:p>
            <w:pPr>
              <w:jc w:val="center"/>
              <w:spacing w:after="0"/>
              <w:rPr>
                <w:sz w:val="20"/>
                <w:szCs w:val="20"/>
                <w:color w:val="auto"/>
              </w:rPr>
            </w:pPr>
            <w:r>
              <w:rPr>
                <w:rFonts w:ascii="Arial" w:cs="Arial" w:eastAsia="Arial" w:hAnsi="Arial"/>
                <w:sz w:val="14"/>
                <w:szCs w:val="14"/>
                <w:color w:val="auto"/>
              </w:rPr>
              <w:t>—</w:t>
            </w:r>
          </w:p>
        </w:tc>
        <w:tc>
          <w:tcPr>
            <w:tcW w:w="1300" w:type="dxa"/>
            <w:vAlign w:val="bottom"/>
          </w:tcPr>
          <w:p>
            <w:pPr>
              <w:jc w:val="center"/>
              <w:ind w:left="188"/>
              <w:spacing w:after="0"/>
              <w:rPr>
                <w:sz w:val="20"/>
                <w:szCs w:val="20"/>
                <w:color w:val="auto"/>
              </w:rPr>
            </w:pPr>
            <w:r>
              <w:rPr>
                <w:rFonts w:ascii="Arial" w:cs="Arial" w:eastAsia="Arial" w:hAnsi="Arial"/>
                <w:sz w:val="14"/>
                <w:szCs w:val="14"/>
                <w:color w:val="auto"/>
              </w:rPr>
              <w:t>20,666</w:t>
            </w:r>
          </w:p>
        </w:tc>
      </w:tr>
      <w:tr>
        <w:trPr>
          <w:trHeight w:val="42"/>
        </w:trPr>
        <w:tc>
          <w:tcPr>
            <w:tcW w:w="62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628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4"/>
                <w:szCs w:val="14"/>
                <w:b w:val="1"/>
                <w:bCs w:val="1"/>
                <w:color w:val="auto"/>
              </w:rPr>
              <w:t>Darren L. Simons</w:t>
            </w:r>
          </w:p>
        </w:tc>
        <w:tc>
          <w:tcPr>
            <w:tcW w:w="1820" w:type="dxa"/>
            <w:vAlign w:val="bottom"/>
            <w:tcBorders>
              <w:bottom w:val="single" w:sz="8" w:color="EDEDED"/>
            </w:tcBorders>
            <w:shd w:val="clear" w:color="auto" w:fill="EDEDED"/>
          </w:tcPr>
          <w:p>
            <w:pPr>
              <w:jc w:val="center"/>
              <w:ind w:left="188"/>
              <w:spacing w:after="0"/>
              <w:rPr>
                <w:sz w:val="20"/>
                <w:szCs w:val="20"/>
                <w:color w:val="auto"/>
              </w:rPr>
            </w:pPr>
            <w:r>
              <w:rPr>
                <w:rFonts w:ascii="Arial" w:cs="Arial" w:eastAsia="Arial" w:hAnsi="Arial"/>
                <w:sz w:val="14"/>
                <w:szCs w:val="14"/>
                <w:color w:val="auto"/>
              </w:rPr>
              <w:t>6,741</w:t>
            </w:r>
          </w:p>
        </w:tc>
        <w:tc>
          <w:tcPr>
            <w:tcW w:w="128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EDEDED"/>
            </w:tcBorders>
            <w:shd w:val="clear" w:color="auto" w:fill="EDEDED"/>
          </w:tcPr>
          <w:p>
            <w:pPr>
              <w:jc w:val="center"/>
              <w:ind w:left="188"/>
              <w:spacing w:after="0"/>
              <w:rPr>
                <w:sz w:val="20"/>
                <w:szCs w:val="20"/>
                <w:color w:val="auto"/>
              </w:rPr>
            </w:pPr>
            <w:r>
              <w:rPr>
                <w:rFonts w:ascii="Arial" w:cs="Arial" w:eastAsia="Arial" w:hAnsi="Arial"/>
                <w:sz w:val="14"/>
                <w:szCs w:val="14"/>
                <w:color w:val="auto"/>
              </w:rPr>
              <w:t>6,741</w:t>
            </w:r>
          </w:p>
        </w:tc>
      </w:tr>
      <w:tr>
        <w:trPr>
          <w:trHeight w:val="20"/>
        </w:trPr>
        <w:tc>
          <w:tcPr>
            <w:tcW w:w="62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1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77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-142875</wp:posOffset>
            </wp:positionV>
            <wp:extent cx="411480" cy="1968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2022 Executive Compensation Tables</w:t>
      </w:r>
    </w:p>
    <w:p>
      <w:pPr>
        <w:spacing w:after="0" w:line="139" w:lineRule="exact"/>
        <w:rPr>
          <w:sz w:val="20"/>
          <w:szCs w:val="20"/>
          <w:color w:val="auto"/>
        </w:rPr>
      </w:pPr>
    </w:p>
    <w:p>
      <w:pPr>
        <w:ind w:left="440" w:right="120" w:hanging="324"/>
        <w:spacing w:after="0" w:line="207" w:lineRule="auto"/>
        <w:tabs>
          <w:tab w:leader="none" w:pos="440" w:val="left"/>
        </w:tabs>
        <w:numPr>
          <w:ilvl w:val="0"/>
          <w:numId w:val="52"/>
        </w:numPr>
        <w:rPr>
          <w:rFonts w:ascii="Arial" w:cs="Arial" w:eastAsia="Arial" w:hAnsi="Arial"/>
          <w:sz w:val="19"/>
          <w:szCs w:val="19"/>
          <w:color w:val="auto"/>
          <w:vertAlign w:val="superscript"/>
        </w:rPr>
      </w:pPr>
      <w:r>
        <w:rPr>
          <w:rFonts w:ascii="Arial" w:cs="Arial" w:eastAsia="Arial" w:hAnsi="Arial"/>
          <w:sz w:val="13"/>
          <w:szCs w:val="13"/>
          <w:color w:val="auto"/>
        </w:rPr>
        <w:t>The amount reported for Mr. Thirot includes his company matched MRP for his deferred portion of the 2021 STIP earnings, paid in 2022, Medicare tax gross up on the MRP contributions, carryover costs associated with his international assignment from Switzerland to the U.S.: fee’s related to U.S. tax preparation of $10,342, fee’s related to Switzerland tax preparation of $20,561, and additional administrative expenses of $1,545, car allowance, and supplemental contribution to the government-mandated occupational pension benefit program paid through Swiss payroll. The amount reported for Ms. Koolhaas includes her representation allowance, supplemental health care allowance, and supplemental contribution to the government-mandated occupational pension benefit program paid through Swiss payroll.</w:t>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560" w:type="dxa"/>
            <w:vAlign w:val="bottom"/>
          </w:tcPr>
          <w:p>
            <w:pPr>
              <w:jc w:val="center"/>
              <w:ind w:left="108"/>
              <w:spacing w:after="0"/>
              <w:rPr>
                <w:sz w:val="20"/>
                <w:szCs w:val="20"/>
                <w:color w:val="auto"/>
              </w:rPr>
            </w:pPr>
            <w:r>
              <w:rPr>
                <w:rFonts w:ascii="Arial" w:cs="Arial" w:eastAsia="Arial" w:hAnsi="Arial"/>
                <w:sz w:val="14"/>
                <w:szCs w:val="14"/>
                <w:b w:val="1"/>
                <w:bCs w:val="1"/>
                <w:color w:val="00AF41"/>
              </w:rPr>
              <w:t>Company</w:t>
            </w:r>
          </w:p>
        </w:tc>
        <w:tc>
          <w:tcPr>
            <w:tcW w:w="1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0AF41"/>
              </w:rPr>
              <w:t>International</w:t>
            </w:r>
          </w:p>
        </w:tc>
        <w:tc>
          <w:tcPr>
            <w:tcW w:w="1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2860" w:type="dxa"/>
            <w:vAlign w:val="bottom"/>
          </w:tcPr>
          <w:p>
            <w:pPr>
              <w:spacing w:after="0"/>
              <w:rPr>
                <w:sz w:val="14"/>
                <w:szCs w:val="14"/>
                <w:color w:val="auto"/>
              </w:rPr>
            </w:pPr>
          </w:p>
        </w:tc>
        <w:tc>
          <w:tcPr>
            <w:tcW w:w="1560" w:type="dxa"/>
            <w:vAlign w:val="bottom"/>
          </w:tcPr>
          <w:p>
            <w:pPr>
              <w:jc w:val="center"/>
              <w:ind w:left="108"/>
              <w:spacing w:after="0"/>
              <w:rPr>
                <w:sz w:val="20"/>
                <w:szCs w:val="20"/>
                <w:color w:val="auto"/>
              </w:rPr>
            </w:pPr>
            <w:r>
              <w:rPr>
                <w:rFonts w:ascii="Arial" w:cs="Arial" w:eastAsia="Arial" w:hAnsi="Arial"/>
                <w:sz w:val="14"/>
                <w:szCs w:val="14"/>
                <w:b w:val="1"/>
                <w:bCs w:val="1"/>
                <w:color w:val="00AF41"/>
              </w:rPr>
              <w:t>Matching</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0AF41"/>
              </w:rPr>
              <w:t>MRP</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0AF41"/>
              </w:rPr>
              <w:t>Assignment</w:t>
            </w:r>
          </w:p>
        </w:tc>
        <w:tc>
          <w:tcPr>
            <w:tcW w:w="114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Arial" w:cs="Arial" w:eastAsia="Arial" w:hAnsi="Arial"/>
                <w:sz w:val="14"/>
                <w:szCs w:val="14"/>
                <w:b w:val="1"/>
                <w:bCs w:val="1"/>
                <w:color w:val="00AF41"/>
              </w:rPr>
              <w:t>Supplemental</w:t>
            </w:r>
          </w:p>
        </w:tc>
        <w:tc>
          <w:tcPr>
            <w:tcW w:w="1280" w:type="dxa"/>
            <w:vAlign w:val="bottom"/>
          </w:tcPr>
          <w:p>
            <w:pPr>
              <w:jc w:val="center"/>
              <w:ind w:left="88"/>
              <w:spacing w:after="0"/>
              <w:rPr>
                <w:sz w:val="20"/>
                <w:szCs w:val="20"/>
                <w:color w:val="auto"/>
              </w:rPr>
            </w:pPr>
            <w:r>
              <w:rPr>
                <w:rFonts w:ascii="Arial" w:cs="Arial" w:eastAsia="Arial" w:hAnsi="Arial"/>
                <w:sz w:val="14"/>
                <w:szCs w:val="14"/>
                <w:b w:val="1"/>
                <w:bCs w:val="1"/>
                <w:color w:val="00AF41"/>
              </w:rPr>
              <w:t>Total All</w:t>
            </w:r>
          </w:p>
        </w:tc>
      </w:tr>
      <w:tr>
        <w:trPr>
          <w:trHeight w:val="162"/>
        </w:trPr>
        <w:tc>
          <w:tcPr>
            <w:tcW w:w="2860" w:type="dxa"/>
            <w:vAlign w:val="bottom"/>
          </w:tcPr>
          <w:p>
            <w:pPr>
              <w:spacing w:after="0"/>
              <w:rPr>
                <w:sz w:val="14"/>
                <w:szCs w:val="14"/>
                <w:color w:val="auto"/>
              </w:rPr>
            </w:pPr>
          </w:p>
        </w:tc>
        <w:tc>
          <w:tcPr>
            <w:tcW w:w="1560" w:type="dxa"/>
            <w:vAlign w:val="bottom"/>
          </w:tcPr>
          <w:p>
            <w:pPr>
              <w:jc w:val="center"/>
              <w:ind w:left="128"/>
              <w:spacing w:after="0"/>
              <w:rPr>
                <w:sz w:val="20"/>
                <w:szCs w:val="20"/>
                <w:color w:val="auto"/>
              </w:rPr>
            </w:pPr>
            <w:r>
              <w:rPr>
                <w:rFonts w:ascii="Arial" w:cs="Arial" w:eastAsia="Arial" w:hAnsi="Arial"/>
                <w:sz w:val="14"/>
                <w:szCs w:val="14"/>
                <w:b w:val="1"/>
                <w:bCs w:val="1"/>
                <w:color w:val="00AF41"/>
              </w:rPr>
              <w:t>MRP</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0AF41"/>
              </w:rPr>
              <w:t>Medicare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00AF41"/>
              </w:rPr>
              <w:t>Carryover</w:t>
            </w:r>
          </w:p>
        </w:tc>
        <w:tc>
          <w:tcPr>
            <w:tcW w:w="1140" w:type="dxa"/>
            <w:vAlign w:val="bottom"/>
          </w:tcPr>
          <w:p>
            <w:pPr>
              <w:jc w:val="right"/>
              <w:ind w:right="368"/>
              <w:spacing w:after="0"/>
              <w:rPr>
                <w:sz w:val="20"/>
                <w:szCs w:val="20"/>
                <w:color w:val="auto"/>
              </w:rPr>
            </w:pPr>
            <w:r>
              <w:rPr>
                <w:rFonts w:ascii="Arial" w:cs="Arial" w:eastAsia="Arial" w:hAnsi="Arial"/>
                <w:sz w:val="14"/>
                <w:szCs w:val="14"/>
                <w:b w:val="1"/>
                <w:bCs w:val="1"/>
                <w:color w:val="00AF41"/>
              </w:rPr>
              <w:t>Car</w:t>
            </w:r>
          </w:p>
        </w:tc>
        <w:tc>
          <w:tcPr>
            <w:tcW w:w="1380" w:type="dxa"/>
            <w:vAlign w:val="bottom"/>
          </w:tcPr>
          <w:p>
            <w:pPr>
              <w:jc w:val="right"/>
              <w:ind w:right="328"/>
              <w:spacing w:after="0"/>
              <w:rPr>
                <w:sz w:val="20"/>
                <w:szCs w:val="20"/>
                <w:color w:val="auto"/>
              </w:rPr>
            </w:pPr>
            <w:r>
              <w:rPr>
                <w:rFonts w:ascii="Arial" w:cs="Arial" w:eastAsia="Arial" w:hAnsi="Arial"/>
                <w:sz w:val="14"/>
                <w:szCs w:val="14"/>
                <w:b w:val="1"/>
                <w:bCs w:val="1"/>
                <w:color w:val="00AF41"/>
              </w:rPr>
              <w:t>Pension</w:t>
            </w:r>
          </w:p>
        </w:tc>
        <w:tc>
          <w:tcPr>
            <w:tcW w:w="1280" w:type="dxa"/>
            <w:vAlign w:val="bottom"/>
          </w:tcPr>
          <w:p>
            <w:pPr>
              <w:jc w:val="center"/>
              <w:ind w:left="108"/>
              <w:spacing w:after="0"/>
              <w:rPr>
                <w:sz w:val="20"/>
                <w:szCs w:val="20"/>
                <w:color w:val="auto"/>
              </w:rPr>
            </w:pPr>
            <w:r>
              <w:rPr>
                <w:rFonts w:ascii="Arial" w:cs="Arial" w:eastAsia="Arial" w:hAnsi="Arial"/>
                <w:sz w:val="14"/>
                <w:szCs w:val="14"/>
                <w:b w:val="1"/>
                <w:bCs w:val="1"/>
                <w:color w:val="00AF41"/>
              </w:rPr>
              <w:t>Other</w:t>
            </w:r>
          </w:p>
        </w:tc>
      </w:tr>
      <w:tr>
        <w:trPr>
          <w:trHeight w:val="171"/>
        </w:trPr>
        <w:tc>
          <w:tcPr>
            <w:tcW w:w="286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00AF41"/>
              </w:rPr>
              <w:t>Name</w:t>
            </w:r>
          </w:p>
        </w:tc>
        <w:tc>
          <w:tcPr>
            <w:tcW w:w="156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00AF41"/>
              </w:rPr>
              <w:t>Contributions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AF41"/>
              </w:rPr>
              <w:t>Gross-ups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AF41"/>
              </w:rPr>
              <w:t>Cost</w:t>
            </w:r>
          </w:p>
        </w:tc>
        <w:tc>
          <w:tcPr>
            <w:tcW w:w="1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00AF41"/>
              </w:rPr>
              <w:t>Allowance</w:t>
            </w:r>
          </w:p>
        </w:tc>
        <w:tc>
          <w:tcPr>
            <w:tcW w:w="1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00AF41"/>
              </w:rPr>
              <w:t>Contributions</w:t>
            </w:r>
          </w:p>
        </w:tc>
        <w:tc>
          <w:tcPr>
            <w:tcW w:w="128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00AF41"/>
              </w:rPr>
              <w:t>Compensation</w:t>
            </w:r>
          </w:p>
        </w:tc>
      </w:tr>
      <w:tr>
        <w:trPr>
          <w:trHeight w:val="257"/>
        </w:trPr>
        <w:tc>
          <w:tcPr>
            <w:tcW w:w="286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4"/>
                <w:szCs w:val="14"/>
                <w:b w:val="1"/>
                <w:bCs w:val="1"/>
                <w:color w:val="auto"/>
              </w:rPr>
              <w:t>Olivier G. Thirot</w:t>
            </w:r>
          </w:p>
        </w:tc>
        <w:tc>
          <w:tcPr>
            <w:tcW w:w="1560" w:type="dxa"/>
            <w:vAlign w:val="bottom"/>
            <w:tcBorders>
              <w:bottom w:val="single" w:sz="8" w:color="EDEDED"/>
            </w:tcBorders>
            <w:shd w:val="clear" w:color="auto" w:fill="EDEDED"/>
          </w:tcPr>
          <w:p>
            <w:pPr>
              <w:jc w:val="right"/>
              <w:ind w:right="148"/>
              <w:spacing w:after="0"/>
              <w:rPr>
                <w:sz w:val="20"/>
                <w:szCs w:val="20"/>
                <w:color w:val="auto"/>
              </w:rPr>
            </w:pPr>
            <w:r>
              <w:rPr>
                <w:rFonts w:ascii="Arial" w:cs="Arial" w:eastAsia="Arial" w:hAnsi="Arial"/>
                <w:sz w:val="14"/>
                <w:szCs w:val="14"/>
                <w:color w:val="auto"/>
              </w:rPr>
              <w:t>9,000</w:t>
            </w:r>
          </w:p>
        </w:tc>
        <w:tc>
          <w:tcPr>
            <w:tcW w:w="1160" w:type="dxa"/>
            <w:vAlign w:val="bottom"/>
            <w:tcBorders>
              <w:bottom w:val="single" w:sz="8" w:color="EDEDED"/>
            </w:tcBorders>
            <w:shd w:val="clear" w:color="auto" w:fill="EDEDED"/>
          </w:tcPr>
          <w:p>
            <w:pPr>
              <w:jc w:val="right"/>
              <w:ind w:right="148"/>
              <w:spacing w:after="0"/>
              <w:rPr>
                <w:sz w:val="20"/>
                <w:szCs w:val="20"/>
                <w:color w:val="auto"/>
              </w:rPr>
            </w:pPr>
            <w:r>
              <w:rPr>
                <w:rFonts w:ascii="Arial" w:cs="Arial" w:eastAsia="Arial" w:hAnsi="Arial"/>
                <w:sz w:val="14"/>
                <w:szCs w:val="14"/>
                <w:color w:val="auto"/>
              </w:rPr>
              <w:t>296</w:t>
            </w:r>
          </w:p>
        </w:tc>
        <w:tc>
          <w:tcPr>
            <w:tcW w:w="1300" w:type="dxa"/>
            <w:vAlign w:val="bottom"/>
            <w:tcBorders>
              <w:bottom w:val="single" w:sz="8" w:color="EDEDED"/>
            </w:tcBorders>
            <w:shd w:val="clear" w:color="auto" w:fill="EDEDED"/>
          </w:tcPr>
          <w:p>
            <w:pPr>
              <w:jc w:val="right"/>
              <w:ind w:right="148"/>
              <w:spacing w:after="0"/>
              <w:rPr>
                <w:sz w:val="20"/>
                <w:szCs w:val="20"/>
                <w:color w:val="auto"/>
              </w:rPr>
            </w:pPr>
            <w:r>
              <w:rPr>
                <w:rFonts w:ascii="Arial" w:cs="Arial" w:eastAsia="Arial" w:hAnsi="Arial"/>
                <w:sz w:val="14"/>
                <w:szCs w:val="14"/>
                <w:color w:val="auto"/>
              </w:rPr>
              <w:t>32,448</w:t>
            </w:r>
          </w:p>
        </w:tc>
        <w:tc>
          <w:tcPr>
            <w:tcW w:w="1140" w:type="dxa"/>
            <w:vAlign w:val="bottom"/>
            <w:tcBorders>
              <w:bottom w:val="single" w:sz="8" w:color="EDEDED"/>
            </w:tcBorders>
            <w:shd w:val="clear" w:color="auto" w:fill="EDEDED"/>
          </w:tcPr>
          <w:p>
            <w:pPr>
              <w:jc w:val="right"/>
              <w:ind w:right="128"/>
              <w:spacing w:after="0"/>
              <w:rPr>
                <w:sz w:val="20"/>
                <w:szCs w:val="20"/>
                <w:color w:val="auto"/>
              </w:rPr>
            </w:pPr>
            <w:r>
              <w:rPr>
                <w:rFonts w:ascii="Arial" w:cs="Arial" w:eastAsia="Arial" w:hAnsi="Arial"/>
                <w:sz w:val="14"/>
                <w:szCs w:val="14"/>
                <w:color w:val="auto"/>
              </w:rPr>
              <w:t>21,359</w:t>
            </w:r>
          </w:p>
        </w:tc>
        <w:tc>
          <w:tcPr>
            <w:tcW w:w="1380" w:type="dxa"/>
            <w:vAlign w:val="bottom"/>
            <w:tcBorders>
              <w:bottom w:val="single" w:sz="8" w:color="EDEDED"/>
            </w:tcBorders>
            <w:shd w:val="clear" w:color="auto" w:fill="EDEDED"/>
          </w:tcPr>
          <w:p>
            <w:pPr>
              <w:jc w:val="right"/>
              <w:ind w:right="148"/>
              <w:spacing w:after="0"/>
              <w:rPr>
                <w:sz w:val="20"/>
                <w:szCs w:val="20"/>
                <w:color w:val="auto"/>
              </w:rPr>
            </w:pPr>
            <w:r>
              <w:rPr>
                <w:rFonts w:ascii="Arial" w:cs="Arial" w:eastAsia="Arial" w:hAnsi="Arial"/>
                <w:sz w:val="14"/>
                <w:szCs w:val="14"/>
                <w:color w:val="auto"/>
              </w:rPr>
              <w:t>13,078</w:t>
            </w:r>
          </w:p>
        </w:tc>
        <w:tc>
          <w:tcPr>
            <w:tcW w:w="1280" w:type="dxa"/>
            <w:vAlign w:val="bottom"/>
            <w:tcBorders>
              <w:bottom w:val="single" w:sz="8" w:color="EDEDED"/>
            </w:tcBorders>
            <w:shd w:val="clear" w:color="auto" w:fill="EDEDED"/>
          </w:tcPr>
          <w:p>
            <w:pPr>
              <w:jc w:val="right"/>
              <w:spacing w:after="0"/>
              <w:rPr>
                <w:sz w:val="20"/>
                <w:szCs w:val="20"/>
                <w:color w:val="auto"/>
              </w:rPr>
            </w:pPr>
            <w:r>
              <w:rPr>
                <w:rFonts w:ascii="Arial" w:cs="Arial" w:eastAsia="Arial" w:hAnsi="Arial"/>
                <w:sz w:val="14"/>
                <w:szCs w:val="14"/>
                <w:color w:val="auto"/>
              </w:rPr>
              <w:t>76,181</w:t>
            </w:r>
          </w:p>
        </w:tc>
      </w:tr>
      <w:tr>
        <w:trPr>
          <w:trHeight w:val="20"/>
        </w:trPr>
        <w:tc>
          <w:tcPr>
            <w:tcW w:w="28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234"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60" w:type="dxa"/>
            <w:vAlign w:val="bottom"/>
          </w:tcPr>
          <w:p>
            <w:pPr>
              <w:jc w:val="right"/>
              <w:ind w:right="328"/>
              <w:spacing w:after="0"/>
              <w:rPr>
                <w:sz w:val="20"/>
                <w:szCs w:val="20"/>
                <w:color w:val="auto"/>
              </w:rPr>
            </w:pPr>
            <w:r>
              <w:rPr>
                <w:rFonts w:ascii="Arial" w:cs="Arial" w:eastAsia="Arial" w:hAnsi="Arial"/>
                <w:sz w:val="14"/>
                <w:szCs w:val="14"/>
                <w:b w:val="1"/>
                <w:bCs w:val="1"/>
                <w:color w:val="00AF41"/>
              </w:rPr>
              <w:t>Supplemental</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00AF41"/>
              </w:rPr>
              <w:t>Total All</w:t>
            </w:r>
          </w:p>
        </w:tc>
      </w:tr>
      <w:tr>
        <w:trPr>
          <w:trHeight w:val="162"/>
        </w:trPr>
        <w:tc>
          <w:tcPr>
            <w:tcW w:w="3580" w:type="dxa"/>
            <w:vAlign w:val="bottom"/>
          </w:tcPr>
          <w:p>
            <w:pPr>
              <w:spacing w:after="0"/>
              <w:rPr>
                <w:sz w:val="14"/>
                <w:szCs w:val="14"/>
                <w:color w:val="auto"/>
              </w:rPr>
            </w:pPr>
          </w:p>
        </w:tc>
        <w:tc>
          <w:tcPr>
            <w:tcW w:w="1760" w:type="dxa"/>
            <w:vAlign w:val="bottom"/>
          </w:tcPr>
          <w:p>
            <w:pPr>
              <w:jc w:val="right"/>
              <w:ind w:right="288"/>
              <w:spacing w:after="0"/>
              <w:rPr>
                <w:sz w:val="20"/>
                <w:szCs w:val="20"/>
                <w:color w:val="auto"/>
              </w:rPr>
            </w:pPr>
            <w:r>
              <w:rPr>
                <w:rFonts w:ascii="Arial" w:cs="Arial" w:eastAsia="Arial" w:hAnsi="Arial"/>
                <w:sz w:val="14"/>
                <w:szCs w:val="14"/>
                <w:b w:val="1"/>
                <w:bCs w:val="1"/>
                <w:color w:val="00AF41"/>
              </w:rPr>
              <w:t>Representation</w:t>
            </w:r>
          </w:p>
        </w:tc>
        <w:tc>
          <w:tcPr>
            <w:tcW w:w="1740" w:type="dxa"/>
            <w:vAlign w:val="bottom"/>
          </w:tcPr>
          <w:p>
            <w:pPr>
              <w:jc w:val="right"/>
              <w:ind w:right="348"/>
              <w:spacing w:after="0"/>
              <w:rPr>
                <w:sz w:val="20"/>
                <w:szCs w:val="20"/>
                <w:color w:val="auto"/>
              </w:rPr>
            </w:pPr>
            <w:r>
              <w:rPr>
                <w:rFonts w:ascii="Arial" w:cs="Arial" w:eastAsia="Arial" w:hAnsi="Arial"/>
                <w:sz w:val="14"/>
                <w:szCs w:val="14"/>
                <w:b w:val="1"/>
                <w:bCs w:val="1"/>
                <w:color w:val="00AF41"/>
              </w:rPr>
              <w:t>Supplemental</w:t>
            </w:r>
          </w:p>
        </w:tc>
        <w:tc>
          <w:tcPr>
            <w:tcW w:w="1760" w:type="dxa"/>
            <w:vAlign w:val="bottom"/>
          </w:tcPr>
          <w:p>
            <w:pPr>
              <w:jc w:val="right"/>
              <w:ind w:right="528"/>
              <w:spacing w:after="0"/>
              <w:rPr>
                <w:sz w:val="20"/>
                <w:szCs w:val="20"/>
                <w:color w:val="auto"/>
              </w:rPr>
            </w:pPr>
            <w:r>
              <w:rPr>
                <w:rFonts w:ascii="Arial" w:cs="Arial" w:eastAsia="Arial" w:hAnsi="Arial"/>
                <w:sz w:val="14"/>
                <w:szCs w:val="14"/>
                <w:b w:val="1"/>
                <w:bCs w:val="1"/>
                <w:color w:val="00AF41"/>
              </w:rPr>
              <w:t>Pension</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00AF41"/>
              </w:rPr>
              <w:t>Other</w:t>
            </w:r>
          </w:p>
        </w:tc>
      </w:tr>
      <w:tr>
        <w:trPr>
          <w:trHeight w:val="171"/>
        </w:trPr>
        <w:tc>
          <w:tcPr>
            <w:tcW w:w="35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00AF41"/>
              </w:rPr>
              <w:t>Name</w:t>
            </w:r>
          </w:p>
        </w:tc>
        <w:tc>
          <w:tcPr>
            <w:tcW w:w="17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00AF41"/>
              </w:rPr>
              <w:t>Allowance</w:t>
            </w:r>
          </w:p>
        </w:tc>
        <w:tc>
          <w:tcPr>
            <w:tcW w:w="17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00AF41"/>
              </w:rPr>
              <w:t>Health Care</w:t>
            </w:r>
          </w:p>
        </w:tc>
        <w:tc>
          <w:tcPr>
            <w:tcW w:w="17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00AF41"/>
              </w:rPr>
              <w:t>Contributions</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AF41"/>
              </w:rPr>
              <w:t>Compensation</w:t>
            </w:r>
          </w:p>
        </w:tc>
      </w:tr>
      <w:tr>
        <w:trPr>
          <w:trHeight w:val="257"/>
        </w:trPr>
        <w:tc>
          <w:tcPr>
            <w:tcW w:w="358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4"/>
                <w:szCs w:val="14"/>
                <w:b w:val="1"/>
                <w:bCs w:val="1"/>
                <w:color w:val="auto"/>
              </w:rPr>
              <w:t>Dinette Koolhaas</w:t>
            </w:r>
          </w:p>
        </w:tc>
        <w:tc>
          <w:tcPr>
            <w:tcW w:w="1760" w:type="dxa"/>
            <w:vAlign w:val="bottom"/>
            <w:tcBorders>
              <w:bottom w:val="single" w:sz="8" w:color="EDEDED"/>
            </w:tcBorders>
            <w:shd w:val="clear" w:color="auto" w:fill="EDEDED"/>
          </w:tcPr>
          <w:p>
            <w:pPr>
              <w:jc w:val="right"/>
              <w:ind w:right="288"/>
              <w:spacing w:after="0"/>
              <w:rPr>
                <w:sz w:val="20"/>
                <w:szCs w:val="20"/>
                <w:color w:val="auto"/>
              </w:rPr>
            </w:pPr>
            <w:r>
              <w:rPr>
                <w:rFonts w:ascii="Arial" w:cs="Arial" w:eastAsia="Arial" w:hAnsi="Arial"/>
                <w:sz w:val="14"/>
                <w:szCs w:val="14"/>
                <w:color w:val="auto"/>
              </w:rPr>
              <w:t>18,846</w:t>
            </w:r>
          </w:p>
        </w:tc>
        <w:tc>
          <w:tcPr>
            <w:tcW w:w="1740" w:type="dxa"/>
            <w:vAlign w:val="bottom"/>
            <w:tcBorders>
              <w:bottom w:val="single" w:sz="8" w:color="EDEDED"/>
            </w:tcBorders>
            <w:shd w:val="clear" w:color="auto" w:fill="EDEDED"/>
          </w:tcPr>
          <w:p>
            <w:pPr>
              <w:jc w:val="right"/>
              <w:ind w:right="348"/>
              <w:spacing w:after="0"/>
              <w:rPr>
                <w:sz w:val="20"/>
                <w:szCs w:val="20"/>
                <w:color w:val="auto"/>
              </w:rPr>
            </w:pPr>
            <w:r>
              <w:rPr>
                <w:rFonts w:ascii="Arial" w:cs="Arial" w:eastAsia="Arial" w:hAnsi="Arial"/>
                <w:sz w:val="14"/>
                <w:szCs w:val="14"/>
                <w:color w:val="auto"/>
              </w:rPr>
              <w:t>5,654</w:t>
            </w:r>
          </w:p>
        </w:tc>
        <w:tc>
          <w:tcPr>
            <w:tcW w:w="1760" w:type="dxa"/>
            <w:vAlign w:val="bottom"/>
            <w:tcBorders>
              <w:bottom w:val="single" w:sz="8" w:color="EDEDED"/>
            </w:tcBorders>
            <w:shd w:val="clear" w:color="auto" w:fill="EDEDED"/>
          </w:tcPr>
          <w:p>
            <w:pPr>
              <w:jc w:val="right"/>
              <w:ind w:right="328"/>
              <w:spacing w:after="0"/>
              <w:rPr>
                <w:sz w:val="20"/>
                <w:szCs w:val="20"/>
                <w:color w:val="auto"/>
              </w:rPr>
            </w:pPr>
            <w:r>
              <w:rPr>
                <w:rFonts w:ascii="Arial" w:cs="Arial" w:eastAsia="Arial" w:hAnsi="Arial"/>
                <w:sz w:val="14"/>
                <w:szCs w:val="14"/>
                <w:color w:val="auto"/>
              </w:rPr>
              <w:t>8,359</w:t>
            </w:r>
          </w:p>
        </w:tc>
        <w:tc>
          <w:tcPr>
            <w:tcW w:w="1840" w:type="dxa"/>
            <w:vAlign w:val="bottom"/>
            <w:tcBorders>
              <w:bottom w:val="single" w:sz="8" w:color="EDEDED"/>
            </w:tcBorders>
            <w:shd w:val="clear" w:color="auto" w:fill="EDEDED"/>
          </w:tcPr>
          <w:p>
            <w:pPr>
              <w:jc w:val="right"/>
              <w:ind w:right="348"/>
              <w:spacing w:after="0"/>
              <w:rPr>
                <w:sz w:val="20"/>
                <w:szCs w:val="20"/>
                <w:color w:val="auto"/>
              </w:rPr>
            </w:pPr>
            <w:r>
              <w:rPr>
                <w:rFonts w:ascii="Arial" w:cs="Arial" w:eastAsia="Arial" w:hAnsi="Arial"/>
                <w:sz w:val="14"/>
                <w:szCs w:val="14"/>
                <w:color w:val="auto"/>
              </w:rPr>
              <w:t>32,859</w:t>
            </w:r>
          </w:p>
        </w:tc>
      </w:tr>
      <w:tr>
        <w:trPr>
          <w:trHeight w:val="20"/>
        </w:trPr>
        <w:tc>
          <w:tcPr>
            <w:tcW w:w="35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bl>
    <w:p>
      <w:pPr>
        <w:spacing w:after="0" w:line="50" w:lineRule="exact"/>
        <w:rPr>
          <w:sz w:val="20"/>
          <w:szCs w:val="20"/>
          <w:color w:val="auto"/>
        </w:rPr>
      </w:pPr>
    </w:p>
    <w:p>
      <w:pPr>
        <w:ind w:left="440" w:right="40" w:hanging="324"/>
        <w:spacing w:after="0" w:line="196" w:lineRule="auto"/>
        <w:tabs>
          <w:tab w:leader="none" w:pos="440" w:val="left"/>
        </w:tabs>
        <w:numPr>
          <w:ilvl w:val="0"/>
          <w:numId w:val="53"/>
        </w:numPr>
        <w:rPr>
          <w:rFonts w:ascii="Arial" w:cs="Arial" w:eastAsia="Arial" w:hAnsi="Arial"/>
          <w:sz w:val="19"/>
          <w:szCs w:val="19"/>
          <w:color w:val="auto"/>
          <w:vertAlign w:val="superscript"/>
        </w:rPr>
      </w:pPr>
      <w:r>
        <w:rPr>
          <w:rFonts w:ascii="Arial" w:cs="Arial" w:eastAsia="Arial" w:hAnsi="Arial"/>
          <w:sz w:val="13"/>
          <w:szCs w:val="13"/>
          <w:color w:val="auto"/>
        </w:rPr>
        <w:t>Amounts reported for Mr. Thirot and Ms. Koolhaas are converted from Swiss Francs to U.S. Dollars at an exchange rate of 1 CHF = 1.047 USD. This is calculated using the IRS Yearly Average Currency Exchange Rate for Switzerland for 2022 of 0.955 (1 CHF ÷ 0.955 = $1.047.</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Grants of Plan-Based Awards 2022</w:t>
      </w:r>
      <w:r>
        <w:rPr>
          <w:rFonts w:ascii="Arial" w:cs="Arial" w:eastAsia="Arial" w:hAnsi="Arial"/>
          <w:sz w:val="16"/>
          <w:szCs w:val="16"/>
          <w:b w:val="1"/>
          <w:bCs w:val="1"/>
          <w:color w:val="auto"/>
        </w:rPr>
        <w:t>(1)</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jc w:val="center"/>
              <w:ind w:left="9"/>
              <w:spacing w:after="0"/>
              <w:rPr>
                <w:sz w:val="20"/>
                <w:szCs w:val="20"/>
                <w:color w:val="auto"/>
              </w:rPr>
            </w:pPr>
            <w:r>
              <w:rPr>
                <w:rFonts w:ascii="Arial" w:cs="Arial" w:eastAsia="Arial" w:hAnsi="Arial"/>
                <w:sz w:val="14"/>
                <w:szCs w:val="14"/>
                <w:b w:val="1"/>
                <w:bCs w:val="1"/>
                <w:color w:val="00AF41"/>
              </w:rPr>
              <w:t>All</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jc w:val="center"/>
              <w:ind w:left="9"/>
              <w:spacing w:after="0"/>
              <w:rPr>
                <w:sz w:val="20"/>
                <w:szCs w:val="20"/>
                <w:color w:val="auto"/>
              </w:rPr>
            </w:pPr>
            <w:r>
              <w:rPr>
                <w:rFonts w:ascii="Arial" w:cs="Arial" w:eastAsia="Arial" w:hAnsi="Arial"/>
                <w:sz w:val="14"/>
                <w:szCs w:val="14"/>
                <w:b w:val="1"/>
                <w:bCs w:val="1"/>
                <w:color w:val="00AF41"/>
              </w:rPr>
              <w:t>Other</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jc w:val="center"/>
              <w:ind w:left="9"/>
              <w:spacing w:after="0"/>
              <w:rPr>
                <w:sz w:val="20"/>
                <w:szCs w:val="20"/>
                <w:color w:val="auto"/>
              </w:rPr>
            </w:pPr>
            <w:r>
              <w:rPr>
                <w:rFonts w:ascii="Arial" w:cs="Arial" w:eastAsia="Arial" w:hAnsi="Arial"/>
                <w:sz w:val="14"/>
                <w:szCs w:val="14"/>
                <w:b w:val="1"/>
                <w:bCs w:val="1"/>
                <w:color w:val="00AF41"/>
                <w:w w:val="99"/>
              </w:rPr>
              <w:t>Stock</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00AF41"/>
              </w:rPr>
              <w:t>Estimated Future Payouts</w:t>
            </w:r>
          </w:p>
        </w:tc>
        <w:tc>
          <w:tcPr>
            <w:tcW w:w="21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00AF41"/>
              </w:rPr>
              <w:t>Estimated Future Payouts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00AF41"/>
              </w:rPr>
              <w:t>Awards:</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700" w:type="dxa"/>
            <w:vAlign w:val="bottom"/>
          </w:tcPr>
          <w:p>
            <w:pPr>
              <w:jc w:val="center"/>
              <w:ind w:left="9"/>
              <w:spacing w:after="0" w:line="145" w:lineRule="exact"/>
              <w:rPr>
                <w:sz w:val="20"/>
                <w:szCs w:val="20"/>
                <w:color w:val="auto"/>
              </w:rPr>
            </w:pPr>
            <w:r>
              <w:rPr>
                <w:rFonts w:ascii="Arial" w:cs="Arial" w:eastAsia="Arial" w:hAnsi="Arial"/>
                <w:sz w:val="14"/>
                <w:szCs w:val="14"/>
                <w:b w:val="1"/>
                <w:bCs w:val="1"/>
                <w:color w:val="00AF41"/>
              </w:rPr>
              <w:t>Number</w:t>
            </w:r>
          </w:p>
        </w:tc>
        <w:tc>
          <w:tcPr>
            <w:tcW w:w="680" w:type="dxa"/>
            <w:vAlign w:val="bottom"/>
          </w:tcPr>
          <w:p>
            <w:pPr>
              <w:jc w:val="center"/>
              <w:spacing w:after="0" w:line="145" w:lineRule="exact"/>
              <w:rPr>
                <w:sz w:val="20"/>
                <w:szCs w:val="20"/>
                <w:color w:val="auto"/>
              </w:rPr>
            </w:pPr>
            <w:r>
              <w:rPr>
                <w:rFonts w:ascii="Arial" w:cs="Arial" w:eastAsia="Arial" w:hAnsi="Arial"/>
                <w:sz w:val="14"/>
                <w:szCs w:val="14"/>
                <w:b w:val="1"/>
                <w:bCs w:val="1"/>
                <w:color w:val="00AF41"/>
              </w:rPr>
              <w:t>Grant</w:t>
            </w:r>
          </w:p>
        </w:tc>
        <w:tc>
          <w:tcPr>
            <w:tcW w:w="0" w:type="dxa"/>
            <w:vAlign w:val="bottom"/>
          </w:tcPr>
          <w:p>
            <w:pPr>
              <w:spacing w:after="0"/>
              <w:rPr>
                <w:sz w:val="1"/>
                <w:szCs w:val="1"/>
                <w:color w:val="auto"/>
              </w:rPr>
            </w:pPr>
          </w:p>
        </w:tc>
      </w:tr>
      <w:tr>
        <w:trPr>
          <w:trHeight w:val="145"/>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8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00AF41"/>
              </w:rPr>
              <w:t>Under Non-Equity Incentive</w:t>
            </w:r>
          </w:p>
        </w:tc>
        <w:tc>
          <w:tcPr>
            <w:tcW w:w="2100" w:type="dxa"/>
            <w:vAlign w:val="bottom"/>
            <w:gridSpan w:val="3"/>
          </w:tcPr>
          <w:p>
            <w:pPr>
              <w:jc w:val="center"/>
              <w:spacing w:after="0" w:line="145" w:lineRule="exact"/>
              <w:rPr>
                <w:sz w:val="20"/>
                <w:szCs w:val="20"/>
                <w:color w:val="auto"/>
              </w:rPr>
            </w:pPr>
            <w:r>
              <w:rPr>
                <w:rFonts w:ascii="Arial" w:cs="Arial" w:eastAsia="Arial" w:hAnsi="Arial"/>
                <w:sz w:val="14"/>
                <w:szCs w:val="14"/>
                <w:b w:val="1"/>
                <w:bCs w:val="1"/>
                <w:color w:val="00AF41"/>
              </w:rPr>
              <w:t>Under Equity Incentive Plan</w:t>
            </w:r>
          </w:p>
        </w:tc>
        <w:tc>
          <w:tcPr>
            <w:tcW w:w="700" w:type="dxa"/>
            <w:vAlign w:val="bottom"/>
          </w:tcPr>
          <w:p>
            <w:pPr>
              <w:jc w:val="center"/>
              <w:ind w:left="9"/>
              <w:spacing w:after="0" w:line="145" w:lineRule="exact"/>
              <w:rPr>
                <w:sz w:val="20"/>
                <w:szCs w:val="20"/>
                <w:color w:val="auto"/>
              </w:rPr>
            </w:pPr>
            <w:r>
              <w:rPr>
                <w:rFonts w:ascii="Arial" w:cs="Arial" w:eastAsia="Arial" w:hAnsi="Arial"/>
                <w:sz w:val="14"/>
                <w:szCs w:val="14"/>
                <w:b w:val="1"/>
                <w:bCs w:val="1"/>
                <w:color w:val="00AF41"/>
              </w:rPr>
              <w:t>of</w:t>
            </w:r>
          </w:p>
        </w:tc>
        <w:tc>
          <w:tcPr>
            <w:tcW w:w="680" w:type="dxa"/>
            <w:vAlign w:val="bottom"/>
          </w:tcPr>
          <w:p>
            <w:pPr>
              <w:jc w:val="center"/>
              <w:spacing w:after="0" w:line="145" w:lineRule="exact"/>
              <w:rPr>
                <w:sz w:val="20"/>
                <w:szCs w:val="20"/>
                <w:color w:val="auto"/>
              </w:rPr>
            </w:pPr>
            <w:r>
              <w:rPr>
                <w:rFonts w:ascii="Arial" w:cs="Arial" w:eastAsia="Arial" w:hAnsi="Arial"/>
                <w:sz w:val="14"/>
                <w:szCs w:val="14"/>
                <w:b w:val="1"/>
                <w:bCs w:val="1"/>
                <w:color w:val="00AF41"/>
              </w:rPr>
              <w:t>Date Fair</w:t>
            </w:r>
          </w:p>
        </w:tc>
        <w:tc>
          <w:tcPr>
            <w:tcW w:w="0" w:type="dxa"/>
            <w:vAlign w:val="bottom"/>
          </w:tcPr>
          <w:p>
            <w:pPr>
              <w:spacing w:after="0"/>
              <w:rPr>
                <w:sz w:val="1"/>
                <w:szCs w:val="1"/>
                <w:color w:val="auto"/>
              </w:rPr>
            </w:pPr>
          </w:p>
        </w:tc>
      </w:tr>
      <w:tr>
        <w:trPr>
          <w:trHeight w:val="197"/>
        </w:trPr>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80" w:type="dxa"/>
            <w:vAlign w:val="bottom"/>
            <w:gridSpan w:val="3"/>
          </w:tcPr>
          <w:p>
            <w:pPr>
              <w:jc w:val="center"/>
              <w:spacing w:after="0" w:line="197" w:lineRule="exact"/>
              <w:rPr>
                <w:sz w:val="20"/>
                <w:szCs w:val="20"/>
                <w:color w:val="auto"/>
              </w:rPr>
            </w:pPr>
            <w:r>
              <w:rPr>
                <w:rFonts w:ascii="Arial" w:cs="Arial" w:eastAsia="Arial" w:hAnsi="Arial"/>
                <w:sz w:val="14"/>
                <w:szCs w:val="14"/>
                <w:b w:val="1"/>
                <w:bCs w:val="1"/>
                <w:color w:val="00AF41"/>
                <w:w w:val="96"/>
              </w:rPr>
              <w:t>Plan Awards</w:t>
            </w:r>
            <w:r>
              <w:rPr>
                <w:rFonts w:ascii="Arial" w:cs="Arial" w:eastAsia="Arial" w:hAnsi="Arial"/>
                <w:sz w:val="21"/>
                <w:szCs w:val="21"/>
                <w:b w:val="1"/>
                <w:bCs w:val="1"/>
                <w:color w:val="00AF41"/>
                <w:w w:val="96"/>
                <w:vertAlign w:val="superscript"/>
              </w:rPr>
              <w:t>(4)</w:t>
            </w:r>
          </w:p>
        </w:tc>
        <w:tc>
          <w:tcPr>
            <w:tcW w:w="680" w:type="dxa"/>
            <w:vAlign w:val="bottom"/>
          </w:tcPr>
          <w:p>
            <w:pPr>
              <w:spacing w:after="0"/>
              <w:rPr>
                <w:sz w:val="17"/>
                <w:szCs w:val="17"/>
                <w:color w:val="auto"/>
              </w:rPr>
            </w:pPr>
          </w:p>
        </w:tc>
        <w:tc>
          <w:tcPr>
            <w:tcW w:w="740" w:type="dxa"/>
            <w:vAlign w:val="bottom"/>
          </w:tcPr>
          <w:p>
            <w:pPr>
              <w:jc w:val="center"/>
              <w:spacing w:after="0" w:line="197" w:lineRule="exact"/>
              <w:rPr>
                <w:sz w:val="20"/>
                <w:szCs w:val="20"/>
                <w:color w:val="auto"/>
              </w:rPr>
            </w:pPr>
            <w:r>
              <w:rPr>
                <w:rFonts w:ascii="Arial" w:cs="Arial" w:eastAsia="Arial" w:hAnsi="Arial"/>
                <w:sz w:val="14"/>
                <w:szCs w:val="14"/>
                <w:b w:val="1"/>
                <w:bCs w:val="1"/>
                <w:color w:val="00AF41"/>
                <w:w w:val="94"/>
              </w:rPr>
              <w:t>Awards</w:t>
            </w:r>
            <w:r>
              <w:rPr>
                <w:rFonts w:ascii="Arial" w:cs="Arial" w:eastAsia="Arial" w:hAnsi="Arial"/>
                <w:sz w:val="21"/>
                <w:szCs w:val="21"/>
                <w:b w:val="1"/>
                <w:bCs w:val="1"/>
                <w:color w:val="00AF41"/>
                <w:w w:val="94"/>
                <w:vertAlign w:val="superscript"/>
              </w:rPr>
              <w:t>(5)</w:t>
            </w:r>
          </w:p>
        </w:tc>
        <w:tc>
          <w:tcPr>
            <w:tcW w:w="6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00AF41"/>
              </w:rPr>
              <w:t>Shares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00AF41"/>
              </w:rPr>
              <w:t>Value of</w:t>
            </w:r>
          </w:p>
        </w:tc>
        <w:tc>
          <w:tcPr>
            <w:tcW w:w="0" w:type="dxa"/>
            <w:vAlign w:val="bottom"/>
          </w:tcPr>
          <w:p>
            <w:pPr>
              <w:spacing w:after="0"/>
              <w:rPr>
                <w:sz w:val="1"/>
                <w:szCs w:val="1"/>
                <w:color w:val="auto"/>
              </w:rPr>
            </w:pPr>
          </w:p>
        </w:tc>
      </w:tr>
      <w:tr>
        <w:trPr>
          <w:trHeight w:val="36"/>
        </w:trPr>
        <w:tc>
          <w:tcPr>
            <w:tcW w:w="3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00" w:type="dxa"/>
            <w:vAlign w:val="bottom"/>
            <w:vMerge w:val="restart"/>
          </w:tcPr>
          <w:p>
            <w:pPr>
              <w:jc w:val="center"/>
              <w:ind w:left="9"/>
              <w:spacing w:after="0"/>
              <w:rPr>
                <w:sz w:val="20"/>
                <w:szCs w:val="20"/>
                <w:color w:val="auto"/>
              </w:rPr>
            </w:pPr>
            <w:r>
              <w:rPr>
                <w:rFonts w:ascii="Arial" w:cs="Arial" w:eastAsia="Arial" w:hAnsi="Arial"/>
                <w:sz w:val="14"/>
                <w:szCs w:val="14"/>
                <w:b w:val="1"/>
                <w:bCs w:val="1"/>
                <w:color w:val="00AF41"/>
              </w:rPr>
              <w:t>of</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00AF41"/>
              </w:rPr>
              <w:t>Stock</w:t>
            </w:r>
          </w:p>
        </w:tc>
        <w:tc>
          <w:tcPr>
            <w:tcW w:w="0" w:type="dxa"/>
            <w:vAlign w:val="bottom"/>
          </w:tcPr>
          <w:p>
            <w:pPr>
              <w:spacing w:after="0"/>
              <w:rPr>
                <w:sz w:val="1"/>
                <w:szCs w:val="1"/>
                <w:color w:val="auto"/>
              </w:rPr>
            </w:pPr>
          </w:p>
        </w:tc>
      </w:tr>
      <w:tr>
        <w:trPr>
          <w:trHeight w:val="106"/>
        </w:trPr>
        <w:tc>
          <w:tcPr>
            <w:tcW w:w="3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jc w:val="center"/>
              <w:ind w:left="9"/>
              <w:spacing w:after="0"/>
              <w:rPr>
                <w:sz w:val="20"/>
                <w:szCs w:val="20"/>
                <w:color w:val="auto"/>
              </w:rPr>
            </w:pPr>
            <w:r>
              <w:rPr>
                <w:rFonts w:ascii="Arial" w:cs="Arial" w:eastAsia="Arial" w:hAnsi="Arial"/>
                <w:sz w:val="14"/>
                <w:szCs w:val="14"/>
                <w:b w:val="1"/>
                <w:bCs w:val="1"/>
                <w:color w:val="00AF41"/>
                <w:w w:val="99"/>
              </w:rPr>
              <w:t>Stock</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00AF41"/>
                <w:w w:val="96"/>
              </w:rPr>
              <w:t>and</w:t>
            </w:r>
          </w:p>
        </w:tc>
        <w:tc>
          <w:tcPr>
            <w:tcW w:w="0" w:type="dxa"/>
            <w:vAlign w:val="bottom"/>
          </w:tcPr>
          <w:p>
            <w:pPr>
              <w:spacing w:after="0"/>
              <w:rPr>
                <w:sz w:val="1"/>
                <w:szCs w:val="1"/>
                <w:color w:val="auto"/>
              </w:rPr>
            </w:pPr>
          </w:p>
        </w:tc>
      </w:tr>
      <w:tr>
        <w:trPr>
          <w:trHeight w:val="158"/>
        </w:trPr>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00AF41"/>
              </w:rPr>
              <w:t>Grant</w:t>
            </w:r>
          </w:p>
        </w:tc>
        <w:tc>
          <w:tcPr>
            <w:tcW w:w="10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00AF41"/>
              </w:rPr>
              <w:t>Approval</w:t>
            </w:r>
          </w:p>
        </w:tc>
        <w:tc>
          <w:tcPr>
            <w:tcW w:w="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jc w:val="center"/>
              <w:ind w:left="9"/>
              <w:spacing w:after="0" w:line="158" w:lineRule="exact"/>
              <w:rPr>
                <w:sz w:val="20"/>
                <w:szCs w:val="20"/>
                <w:color w:val="auto"/>
              </w:rPr>
            </w:pPr>
            <w:r>
              <w:rPr>
                <w:rFonts w:ascii="Arial" w:cs="Arial" w:eastAsia="Arial" w:hAnsi="Arial"/>
                <w:sz w:val="14"/>
                <w:szCs w:val="14"/>
                <w:b w:val="1"/>
                <w:bCs w:val="1"/>
                <w:color w:val="00AF41"/>
                <w:w w:val="99"/>
              </w:rPr>
              <w:t>or</w:t>
            </w: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00AF41"/>
              </w:rPr>
              <w:t>Option</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60" w:type="dxa"/>
            <w:vAlign w:val="bottom"/>
          </w:tcPr>
          <w:p>
            <w:pPr>
              <w:ind w:left="120"/>
              <w:spacing w:after="0" w:line="149" w:lineRule="exact"/>
              <w:rPr>
                <w:sz w:val="20"/>
                <w:szCs w:val="20"/>
                <w:color w:val="auto"/>
              </w:rPr>
            </w:pPr>
            <w:r>
              <w:rPr>
                <w:rFonts w:ascii="Arial" w:cs="Arial" w:eastAsia="Arial" w:hAnsi="Arial"/>
                <w:sz w:val="14"/>
                <w:szCs w:val="14"/>
                <w:b w:val="1"/>
                <w:bCs w:val="1"/>
                <w:color w:val="00AF41"/>
              </w:rPr>
              <w:t>Threshold</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00AF41"/>
              </w:rPr>
              <w:t>Target</w:t>
            </w:r>
          </w:p>
        </w:tc>
        <w:tc>
          <w:tcPr>
            <w:tcW w:w="780" w:type="dxa"/>
            <w:vAlign w:val="bottom"/>
          </w:tcPr>
          <w:p>
            <w:pPr>
              <w:ind w:left="60"/>
              <w:spacing w:after="0" w:line="149" w:lineRule="exact"/>
              <w:rPr>
                <w:sz w:val="20"/>
                <w:szCs w:val="20"/>
                <w:color w:val="auto"/>
              </w:rPr>
            </w:pPr>
            <w:r>
              <w:rPr>
                <w:rFonts w:ascii="Arial" w:cs="Arial" w:eastAsia="Arial" w:hAnsi="Arial"/>
                <w:sz w:val="14"/>
                <w:szCs w:val="14"/>
                <w:b w:val="1"/>
                <w:bCs w:val="1"/>
                <w:color w:val="00AF41"/>
              </w:rPr>
              <w:t>Maximum</w:t>
            </w:r>
          </w:p>
        </w:tc>
        <w:tc>
          <w:tcPr>
            <w:tcW w:w="14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00AF41"/>
              </w:rPr>
              <w:t>Threshold  Target</w:t>
            </w:r>
          </w:p>
        </w:tc>
        <w:tc>
          <w:tcPr>
            <w:tcW w:w="680" w:type="dxa"/>
            <w:vAlign w:val="bottom"/>
          </w:tcPr>
          <w:p>
            <w:pPr>
              <w:spacing w:after="0" w:line="149" w:lineRule="exact"/>
              <w:rPr>
                <w:sz w:val="20"/>
                <w:szCs w:val="20"/>
                <w:color w:val="auto"/>
              </w:rPr>
            </w:pPr>
            <w:r>
              <w:rPr>
                <w:rFonts w:ascii="Arial" w:cs="Arial" w:eastAsia="Arial" w:hAnsi="Arial"/>
                <w:sz w:val="14"/>
                <w:szCs w:val="14"/>
                <w:b w:val="1"/>
                <w:bCs w:val="1"/>
                <w:color w:val="00AF41"/>
              </w:rPr>
              <w:t>Maximum</w:t>
            </w:r>
          </w:p>
        </w:tc>
        <w:tc>
          <w:tcPr>
            <w:tcW w:w="700" w:type="dxa"/>
            <w:vAlign w:val="bottom"/>
          </w:tcPr>
          <w:p>
            <w:pPr>
              <w:jc w:val="center"/>
              <w:ind w:left="9"/>
              <w:spacing w:after="0" w:line="149" w:lineRule="exact"/>
              <w:rPr>
                <w:sz w:val="20"/>
                <w:szCs w:val="20"/>
                <w:color w:val="auto"/>
              </w:rPr>
            </w:pPr>
            <w:r>
              <w:rPr>
                <w:rFonts w:ascii="Arial" w:cs="Arial" w:eastAsia="Arial" w:hAnsi="Arial"/>
                <w:sz w:val="12"/>
                <w:szCs w:val="12"/>
                <w:b w:val="1"/>
                <w:bCs w:val="1"/>
                <w:color w:val="00AF41"/>
              </w:rPr>
              <w:t>Units</w:t>
            </w:r>
            <w:r>
              <w:rPr>
                <w:rFonts w:ascii="Arial" w:cs="Arial" w:eastAsia="Arial" w:hAnsi="Arial"/>
                <w:sz w:val="17"/>
                <w:szCs w:val="17"/>
                <w:b w:val="1"/>
                <w:bCs w:val="1"/>
                <w:color w:val="00AF41"/>
                <w:vertAlign w:val="superscript"/>
              </w:rPr>
              <w:t>(6)</w:t>
            </w:r>
          </w:p>
        </w:tc>
        <w:tc>
          <w:tcPr>
            <w:tcW w:w="680" w:type="dxa"/>
            <w:vAlign w:val="bottom"/>
          </w:tcPr>
          <w:p>
            <w:pPr>
              <w:jc w:val="center"/>
              <w:spacing w:after="0" w:line="149" w:lineRule="exact"/>
              <w:rPr>
                <w:sz w:val="20"/>
                <w:szCs w:val="20"/>
                <w:color w:val="auto"/>
              </w:rPr>
            </w:pPr>
            <w:r>
              <w:rPr>
                <w:rFonts w:ascii="Arial" w:cs="Arial" w:eastAsia="Arial" w:hAnsi="Arial"/>
                <w:sz w:val="12"/>
                <w:szCs w:val="12"/>
                <w:b w:val="1"/>
                <w:bCs w:val="1"/>
                <w:color w:val="00AF41"/>
              </w:rPr>
              <w:t>Awards</w:t>
            </w:r>
            <w:r>
              <w:rPr>
                <w:rFonts w:ascii="Arial" w:cs="Arial" w:eastAsia="Arial" w:hAnsi="Arial"/>
                <w:sz w:val="17"/>
                <w:szCs w:val="17"/>
                <w:b w:val="1"/>
                <w:bCs w:val="1"/>
                <w:color w:val="00AF41"/>
                <w:vertAlign w:val="superscript"/>
              </w:rPr>
              <w:t>(7)</w:t>
            </w:r>
          </w:p>
        </w:tc>
        <w:tc>
          <w:tcPr>
            <w:tcW w:w="0" w:type="dxa"/>
            <w:vAlign w:val="bottom"/>
          </w:tcPr>
          <w:p>
            <w:pPr>
              <w:spacing w:after="0"/>
              <w:rPr>
                <w:sz w:val="1"/>
                <w:szCs w:val="1"/>
                <w:color w:val="auto"/>
              </w:rPr>
            </w:pPr>
          </w:p>
        </w:tc>
      </w:tr>
      <w:tr>
        <w:trPr>
          <w:trHeight w:val="256"/>
        </w:trPr>
        <w:tc>
          <w:tcPr>
            <w:tcW w:w="3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AF41"/>
              </w:rPr>
              <w:t>Name</w:t>
            </w: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AF41"/>
                <w:w w:val="92"/>
              </w:rPr>
              <w:t>Date</w:t>
            </w:r>
            <w:r>
              <w:rPr>
                <w:rFonts w:ascii="Arial" w:cs="Arial" w:eastAsia="Arial" w:hAnsi="Arial"/>
                <w:sz w:val="21"/>
                <w:szCs w:val="21"/>
                <w:b w:val="1"/>
                <w:bCs w:val="1"/>
                <w:color w:val="00AF41"/>
                <w:w w:val="92"/>
                <w:vertAlign w:val="superscript"/>
              </w:rPr>
              <w:t>(2)</w:t>
            </w: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AF41"/>
                <w:w w:val="92"/>
              </w:rPr>
              <w:t>Date</w:t>
            </w:r>
            <w:r>
              <w:rPr>
                <w:rFonts w:ascii="Arial" w:cs="Arial" w:eastAsia="Arial" w:hAnsi="Arial"/>
                <w:sz w:val="21"/>
                <w:szCs w:val="21"/>
                <w:b w:val="1"/>
                <w:bCs w:val="1"/>
                <w:color w:val="00AF41"/>
                <w:w w:val="92"/>
                <w:vertAlign w:val="superscript"/>
              </w:rPr>
              <w:t>(3)</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AF41"/>
                <w:w w:val="93"/>
              </w:rPr>
              <w:t>($)</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AF41"/>
              </w:rPr>
              <w:t>($)</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AF41"/>
              </w:rPr>
              <w:t>($)</w:t>
            </w:r>
          </w:p>
        </w:tc>
        <w:tc>
          <w:tcPr>
            <w:tcW w:w="68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00AF41"/>
              </w:rPr>
              <w:t>(#)</w:t>
            </w:r>
          </w:p>
        </w:tc>
        <w:tc>
          <w:tcPr>
            <w:tcW w:w="7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00AF41"/>
              </w:rPr>
              <w:t>(#)</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AF41"/>
              </w:rPr>
              <w:t>(#)</w:t>
            </w:r>
          </w:p>
        </w:tc>
        <w:tc>
          <w:tcPr>
            <w:tcW w:w="70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00AF41"/>
              </w:rPr>
              <w:t>(#)</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AF41"/>
                <w:w w:val="93"/>
              </w:rPr>
              <w:t>($)</w:t>
            </w:r>
          </w:p>
        </w:tc>
        <w:tc>
          <w:tcPr>
            <w:tcW w:w="0" w:type="dxa"/>
            <w:vAlign w:val="bottom"/>
          </w:tcPr>
          <w:p>
            <w:pPr>
              <w:spacing w:after="0"/>
              <w:rPr>
                <w:sz w:val="1"/>
                <w:szCs w:val="1"/>
                <w:color w:val="auto"/>
              </w:rPr>
            </w:pPr>
          </w:p>
        </w:tc>
      </w:tr>
      <w:tr>
        <w:trPr>
          <w:trHeight w:val="194"/>
        </w:trPr>
        <w:tc>
          <w:tcPr>
            <w:tcW w:w="3760" w:type="dxa"/>
            <w:vAlign w:val="bottom"/>
            <w:shd w:val="clear" w:color="auto" w:fill="EDEDED"/>
          </w:tcPr>
          <w:p>
            <w:pPr>
              <w:ind w:left="60"/>
              <w:spacing w:after="0"/>
              <w:rPr>
                <w:sz w:val="20"/>
                <w:szCs w:val="20"/>
                <w:color w:val="auto"/>
              </w:rPr>
            </w:pPr>
            <w:r>
              <w:rPr>
                <w:rFonts w:ascii="Arial" w:cs="Arial" w:eastAsia="Arial" w:hAnsi="Arial"/>
                <w:sz w:val="14"/>
                <w:szCs w:val="14"/>
                <w:b w:val="1"/>
                <w:bCs w:val="1"/>
                <w:color w:val="auto"/>
              </w:rPr>
              <w:t>Peter W. Quigley</w:t>
            </w:r>
          </w:p>
        </w:tc>
        <w:tc>
          <w:tcPr>
            <w:tcW w:w="120" w:type="dxa"/>
            <w:vAlign w:val="bottom"/>
            <w:shd w:val="clear" w:color="auto" w:fill="EDEDED"/>
          </w:tcPr>
          <w:p>
            <w:pPr>
              <w:spacing w:after="0"/>
              <w:rPr>
                <w:sz w:val="16"/>
                <w:szCs w:val="16"/>
                <w:color w:val="auto"/>
              </w:rPr>
            </w:pPr>
          </w:p>
        </w:tc>
        <w:tc>
          <w:tcPr>
            <w:tcW w:w="64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STIP</w:t>
            </w:r>
          </w:p>
        </w:tc>
        <w:tc>
          <w:tcPr>
            <w:tcW w:w="100" w:type="dxa"/>
            <w:vAlign w:val="bottom"/>
            <w:shd w:val="clear" w:color="auto" w:fill="EDEDED"/>
          </w:tcPr>
          <w:p>
            <w:pPr>
              <w:spacing w:after="0"/>
              <w:rPr>
                <w:sz w:val="16"/>
                <w:szCs w:val="16"/>
                <w:color w:val="auto"/>
              </w:rPr>
            </w:pPr>
          </w:p>
        </w:tc>
        <w:tc>
          <w:tcPr>
            <w:tcW w:w="640" w:type="dxa"/>
            <w:vAlign w:val="bottom"/>
            <w:shd w:val="clear" w:color="auto" w:fill="EDEDED"/>
          </w:tcPr>
          <w:p>
            <w:pPr>
              <w:spacing w:after="0"/>
              <w:rPr>
                <w:sz w:val="16"/>
                <w:szCs w:val="16"/>
                <w:color w:val="auto"/>
              </w:rPr>
            </w:pPr>
          </w:p>
        </w:tc>
        <w:tc>
          <w:tcPr>
            <w:tcW w:w="86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243,121</w:t>
            </w:r>
          </w:p>
        </w:tc>
        <w:tc>
          <w:tcPr>
            <w:tcW w:w="64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972,485</w:t>
            </w:r>
          </w:p>
        </w:tc>
        <w:tc>
          <w:tcPr>
            <w:tcW w:w="78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1,458,727</w:t>
            </w:r>
          </w:p>
        </w:tc>
        <w:tc>
          <w:tcPr>
            <w:tcW w:w="680" w:type="dxa"/>
            <w:vAlign w:val="bottom"/>
            <w:shd w:val="clear" w:color="auto" w:fill="EDEDED"/>
          </w:tcPr>
          <w:p>
            <w:pPr>
              <w:spacing w:after="0"/>
              <w:rPr>
                <w:sz w:val="16"/>
                <w:szCs w:val="16"/>
                <w:color w:val="auto"/>
              </w:rPr>
            </w:pPr>
          </w:p>
        </w:tc>
        <w:tc>
          <w:tcPr>
            <w:tcW w:w="740" w:type="dxa"/>
            <w:vAlign w:val="bottom"/>
            <w:shd w:val="clear" w:color="auto" w:fill="EDEDED"/>
          </w:tcPr>
          <w:p>
            <w:pPr>
              <w:spacing w:after="0"/>
              <w:rPr>
                <w:sz w:val="16"/>
                <w:szCs w:val="16"/>
                <w:color w:val="auto"/>
              </w:rPr>
            </w:pPr>
          </w:p>
        </w:tc>
        <w:tc>
          <w:tcPr>
            <w:tcW w:w="680" w:type="dxa"/>
            <w:vAlign w:val="bottom"/>
            <w:shd w:val="clear" w:color="auto" w:fill="EDEDED"/>
          </w:tcPr>
          <w:p>
            <w:pPr>
              <w:spacing w:after="0"/>
              <w:rPr>
                <w:sz w:val="16"/>
                <w:szCs w:val="16"/>
                <w:color w:val="auto"/>
              </w:rPr>
            </w:pPr>
          </w:p>
        </w:tc>
        <w:tc>
          <w:tcPr>
            <w:tcW w:w="700" w:type="dxa"/>
            <w:vAlign w:val="bottom"/>
            <w:shd w:val="clear" w:color="auto" w:fill="EDEDED"/>
          </w:tcPr>
          <w:p>
            <w:pPr>
              <w:spacing w:after="0"/>
              <w:rPr>
                <w:sz w:val="16"/>
                <w:szCs w:val="16"/>
                <w:color w:val="auto"/>
              </w:rPr>
            </w:pPr>
          </w:p>
        </w:tc>
        <w:tc>
          <w:tcPr>
            <w:tcW w:w="680" w:type="dxa"/>
            <w:vAlign w:val="bottom"/>
            <w:shd w:val="clear" w:color="auto" w:fill="EDEDED"/>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760" w:type="dxa"/>
            <w:vAlign w:val="bottom"/>
            <w:shd w:val="clear" w:color="auto" w:fill="EDEDED"/>
          </w:tcPr>
          <w:p>
            <w:pPr>
              <w:spacing w:after="0"/>
              <w:rPr>
                <w:sz w:val="16"/>
                <w:szCs w:val="16"/>
                <w:color w:val="auto"/>
              </w:rPr>
            </w:pPr>
          </w:p>
        </w:tc>
        <w:tc>
          <w:tcPr>
            <w:tcW w:w="120" w:type="dxa"/>
            <w:vAlign w:val="bottom"/>
            <w:shd w:val="clear" w:color="auto" w:fill="EDEDED"/>
          </w:tcPr>
          <w:p>
            <w:pPr>
              <w:spacing w:after="0"/>
              <w:rPr>
                <w:sz w:val="16"/>
                <w:szCs w:val="16"/>
                <w:color w:val="auto"/>
              </w:rPr>
            </w:pPr>
          </w:p>
        </w:tc>
        <w:tc>
          <w:tcPr>
            <w:tcW w:w="64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2/15/2022</w:t>
            </w:r>
          </w:p>
        </w:tc>
        <w:tc>
          <w:tcPr>
            <w:tcW w:w="100" w:type="dxa"/>
            <w:vAlign w:val="bottom"/>
            <w:shd w:val="clear" w:color="auto" w:fill="EDEDED"/>
          </w:tcPr>
          <w:p>
            <w:pPr>
              <w:spacing w:after="0"/>
              <w:rPr>
                <w:sz w:val="16"/>
                <w:szCs w:val="16"/>
                <w:color w:val="auto"/>
              </w:rPr>
            </w:pPr>
          </w:p>
        </w:tc>
        <w:tc>
          <w:tcPr>
            <w:tcW w:w="640" w:type="dxa"/>
            <w:vAlign w:val="bottom"/>
            <w:shd w:val="clear" w:color="auto" w:fill="EDEDED"/>
          </w:tcPr>
          <w:p>
            <w:pPr>
              <w:spacing w:after="0"/>
              <w:rPr>
                <w:sz w:val="16"/>
                <w:szCs w:val="16"/>
                <w:color w:val="auto"/>
              </w:rPr>
            </w:pPr>
          </w:p>
        </w:tc>
        <w:tc>
          <w:tcPr>
            <w:tcW w:w="860" w:type="dxa"/>
            <w:vAlign w:val="bottom"/>
            <w:shd w:val="clear" w:color="auto" w:fill="EDEDED"/>
          </w:tcPr>
          <w:p>
            <w:pPr>
              <w:spacing w:after="0"/>
              <w:rPr>
                <w:sz w:val="16"/>
                <w:szCs w:val="16"/>
                <w:color w:val="auto"/>
              </w:rPr>
            </w:pPr>
          </w:p>
        </w:tc>
        <w:tc>
          <w:tcPr>
            <w:tcW w:w="640" w:type="dxa"/>
            <w:vAlign w:val="bottom"/>
            <w:shd w:val="clear" w:color="auto" w:fill="EDEDED"/>
          </w:tcPr>
          <w:p>
            <w:pPr>
              <w:spacing w:after="0"/>
              <w:rPr>
                <w:sz w:val="16"/>
                <w:szCs w:val="16"/>
                <w:color w:val="auto"/>
              </w:rPr>
            </w:pPr>
          </w:p>
        </w:tc>
        <w:tc>
          <w:tcPr>
            <w:tcW w:w="780" w:type="dxa"/>
            <w:vAlign w:val="bottom"/>
            <w:shd w:val="clear" w:color="auto" w:fill="EDEDED"/>
          </w:tcPr>
          <w:p>
            <w:pPr>
              <w:spacing w:after="0"/>
              <w:rPr>
                <w:sz w:val="16"/>
                <w:szCs w:val="16"/>
                <w:color w:val="auto"/>
              </w:rPr>
            </w:pPr>
          </w:p>
        </w:tc>
        <w:tc>
          <w:tcPr>
            <w:tcW w:w="680" w:type="dxa"/>
            <w:vAlign w:val="bottom"/>
            <w:shd w:val="clear" w:color="auto" w:fill="EDEDED"/>
          </w:tcPr>
          <w:p>
            <w:pPr>
              <w:jc w:val="center"/>
              <w:ind w:left="48"/>
              <w:spacing w:after="0"/>
              <w:rPr>
                <w:sz w:val="20"/>
                <w:szCs w:val="20"/>
                <w:color w:val="auto"/>
              </w:rPr>
            </w:pPr>
            <w:r>
              <w:rPr>
                <w:rFonts w:ascii="Arial" w:cs="Arial" w:eastAsia="Arial" w:hAnsi="Arial"/>
                <w:sz w:val="14"/>
                <w:szCs w:val="14"/>
                <w:color w:val="auto"/>
              </w:rPr>
              <w:t>31,833</w:t>
            </w:r>
          </w:p>
        </w:tc>
        <w:tc>
          <w:tcPr>
            <w:tcW w:w="74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63,666</w:t>
            </w:r>
          </w:p>
        </w:tc>
        <w:tc>
          <w:tcPr>
            <w:tcW w:w="68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127,332</w:t>
            </w:r>
          </w:p>
        </w:tc>
        <w:tc>
          <w:tcPr>
            <w:tcW w:w="700" w:type="dxa"/>
            <w:vAlign w:val="bottom"/>
            <w:shd w:val="clear" w:color="auto" w:fill="EDEDED"/>
          </w:tcPr>
          <w:p>
            <w:pPr>
              <w:spacing w:after="0"/>
              <w:rPr>
                <w:sz w:val="16"/>
                <w:szCs w:val="16"/>
                <w:color w:val="auto"/>
              </w:rPr>
            </w:pPr>
          </w:p>
        </w:tc>
        <w:tc>
          <w:tcPr>
            <w:tcW w:w="68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1,349,083</w:t>
            </w:r>
          </w:p>
        </w:tc>
        <w:tc>
          <w:tcPr>
            <w:tcW w:w="0" w:type="dxa"/>
            <w:vAlign w:val="bottom"/>
          </w:tcPr>
          <w:p>
            <w:pPr>
              <w:spacing w:after="0"/>
              <w:rPr>
                <w:sz w:val="1"/>
                <w:szCs w:val="1"/>
                <w:color w:val="auto"/>
              </w:rPr>
            </w:pPr>
          </w:p>
        </w:tc>
      </w:tr>
      <w:tr>
        <w:trPr>
          <w:trHeight w:val="190"/>
        </w:trPr>
        <w:tc>
          <w:tcPr>
            <w:tcW w:w="3760" w:type="dxa"/>
            <w:vAlign w:val="bottom"/>
            <w:shd w:val="clear" w:color="auto" w:fill="EDEDED"/>
          </w:tcPr>
          <w:p>
            <w:pPr>
              <w:spacing w:after="0"/>
              <w:rPr>
                <w:sz w:val="16"/>
                <w:szCs w:val="16"/>
                <w:color w:val="auto"/>
              </w:rPr>
            </w:pPr>
          </w:p>
        </w:tc>
        <w:tc>
          <w:tcPr>
            <w:tcW w:w="120" w:type="dxa"/>
            <w:vAlign w:val="bottom"/>
            <w:shd w:val="clear" w:color="auto" w:fill="EDEDED"/>
          </w:tcPr>
          <w:p>
            <w:pPr>
              <w:spacing w:after="0"/>
              <w:rPr>
                <w:sz w:val="16"/>
                <w:szCs w:val="16"/>
                <w:color w:val="auto"/>
              </w:rPr>
            </w:pPr>
          </w:p>
        </w:tc>
        <w:tc>
          <w:tcPr>
            <w:tcW w:w="64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2/15/2022</w:t>
            </w:r>
          </w:p>
        </w:tc>
        <w:tc>
          <w:tcPr>
            <w:tcW w:w="100" w:type="dxa"/>
            <w:vAlign w:val="bottom"/>
            <w:shd w:val="clear" w:color="auto" w:fill="EDEDED"/>
          </w:tcPr>
          <w:p>
            <w:pPr>
              <w:spacing w:after="0"/>
              <w:rPr>
                <w:sz w:val="16"/>
                <w:szCs w:val="16"/>
                <w:color w:val="auto"/>
              </w:rPr>
            </w:pPr>
          </w:p>
        </w:tc>
        <w:tc>
          <w:tcPr>
            <w:tcW w:w="640" w:type="dxa"/>
            <w:vAlign w:val="bottom"/>
            <w:shd w:val="clear" w:color="auto" w:fill="EDEDED"/>
          </w:tcPr>
          <w:p>
            <w:pPr>
              <w:spacing w:after="0"/>
              <w:rPr>
                <w:sz w:val="16"/>
                <w:szCs w:val="16"/>
                <w:color w:val="auto"/>
              </w:rPr>
            </w:pPr>
          </w:p>
        </w:tc>
        <w:tc>
          <w:tcPr>
            <w:tcW w:w="860" w:type="dxa"/>
            <w:vAlign w:val="bottom"/>
            <w:shd w:val="clear" w:color="auto" w:fill="EDEDED"/>
          </w:tcPr>
          <w:p>
            <w:pPr>
              <w:spacing w:after="0"/>
              <w:rPr>
                <w:sz w:val="16"/>
                <w:szCs w:val="16"/>
                <w:color w:val="auto"/>
              </w:rPr>
            </w:pPr>
          </w:p>
        </w:tc>
        <w:tc>
          <w:tcPr>
            <w:tcW w:w="640" w:type="dxa"/>
            <w:vAlign w:val="bottom"/>
            <w:shd w:val="clear" w:color="auto" w:fill="EDEDED"/>
          </w:tcPr>
          <w:p>
            <w:pPr>
              <w:spacing w:after="0"/>
              <w:rPr>
                <w:sz w:val="16"/>
                <w:szCs w:val="16"/>
                <w:color w:val="auto"/>
              </w:rPr>
            </w:pPr>
          </w:p>
        </w:tc>
        <w:tc>
          <w:tcPr>
            <w:tcW w:w="780" w:type="dxa"/>
            <w:vAlign w:val="bottom"/>
            <w:shd w:val="clear" w:color="auto" w:fill="EDEDED"/>
          </w:tcPr>
          <w:p>
            <w:pPr>
              <w:spacing w:after="0"/>
              <w:rPr>
                <w:sz w:val="16"/>
                <w:szCs w:val="16"/>
                <w:color w:val="auto"/>
              </w:rPr>
            </w:pPr>
          </w:p>
        </w:tc>
        <w:tc>
          <w:tcPr>
            <w:tcW w:w="680" w:type="dxa"/>
            <w:vAlign w:val="bottom"/>
            <w:shd w:val="clear" w:color="auto" w:fill="EDEDED"/>
          </w:tcPr>
          <w:p>
            <w:pPr>
              <w:spacing w:after="0"/>
              <w:rPr>
                <w:sz w:val="16"/>
                <w:szCs w:val="16"/>
                <w:color w:val="auto"/>
              </w:rPr>
            </w:pPr>
          </w:p>
        </w:tc>
        <w:tc>
          <w:tcPr>
            <w:tcW w:w="740" w:type="dxa"/>
            <w:vAlign w:val="bottom"/>
            <w:shd w:val="clear" w:color="auto" w:fill="EDEDED"/>
          </w:tcPr>
          <w:p>
            <w:pPr>
              <w:spacing w:after="0"/>
              <w:rPr>
                <w:sz w:val="16"/>
                <w:szCs w:val="16"/>
                <w:color w:val="auto"/>
              </w:rPr>
            </w:pPr>
          </w:p>
        </w:tc>
        <w:tc>
          <w:tcPr>
            <w:tcW w:w="680" w:type="dxa"/>
            <w:vAlign w:val="bottom"/>
            <w:shd w:val="clear" w:color="auto" w:fill="EDEDED"/>
          </w:tcPr>
          <w:p>
            <w:pPr>
              <w:spacing w:after="0"/>
              <w:rPr>
                <w:sz w:val="16"/>
                <w:szCs w:val="16"/>
                <w:color w:val="auto"/>
              </w:rPr>
            </w:pPr>
          </w:p>
        </w:tc>
        <w:tc>
          <w:tcPr>
            <w:tcW w:w="70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21,222</w:t>
            </w:r>
          </w:p>
        </w:tc>
        <w:tc>
          <w:tcPr>
            <w:tcW w:w="68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462,003</w:t>
            </w:r>
          </w:p>
        </w:tc>
        <w:tc>
          <w:tcPr>
            <w:tcW w:w="0" w:type="dxa"/>
            <w:vAlign w:val="bottom"/>
          </w:tcPr>
          <w:p>
            <w:pPr>
              <w:spacing w:after="0"/>
              <w:rPr>
                <w:sz w:val="1"/>
                <w:szCs w:val="1"/>
                <w:color w:val="auto"/>
              </w:rPr>
            </w:pPr>
          </w:p>
        </w:tc>
      </w:tr>
      <w:tr>
        <w:trPr>
          <w:trHeight w:val="207"/>
        </w:trPr>
        <w:tc>
          <w:tcPr>
            <w:tcW w:w="3760" w:type="dxa"/>
            <w:vAlign w:val="bottom"/>
          </w:tcPr>
          <w:p>
            <w:pPr>
              <w:ind w:left="60"/>
              <w:spacing w:after="0"/>
              <w:rPr>
                <w:sz w:val="20"/>
                <w:szCs w:val="20"/>
                <w:color w:val="auto"/>
              </w:rPr>
            </w:pPr>
            <w:r>
              <w:rPr>
                <w:rFonts w:ascii="Arial" w:cs="Arial" w:eastAsia="Arial" w:hAnsi="Arial"/>
                <w:sz w:val="14"/>
                <w:szCs w:val="14"/>
                <w:b w:val="1"/>
                <w:bCs w:val="1"/>
                <w:color w:val="auto"/>
              </w:rPr>
              <w:t>Olivier G. Thirot</w:t>
            </w:r>
          </w:p>
        </w:tc>
        <w:tc>
          <w:tcPr>
            <w:tcW w:w="12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STIP</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131,874</w:t>
            </w:r>
          </w:p>
        </w:tc>
        <w:tc>
          <w:tcPr>
            <w:tcW w:w="640" w:type="dxa"/>
            <w:vAlign w:val="bottom"/>
          </w:tcPr>
          <w:p>
            <w:pPr>
              <w:jc w:val="center"/>
              <w:spacing w:after="0"/>
              <w:rPr>
                <w:sz w:val="20"/>
                <w:szCs w:val="20"/>
                <w:color w:val="auto"/>
              </w:rPr>
            </w:pPr>
            <w:r>
              <w:rPr>
                <w:rFonts w:ascii="Arial" w:cs="Arial" w:eastAsia="Arial" w:hAnsi="Arial"/>
                <w:sz w:val="14"/>
                <w:szCs w:val="14"/>
                <w:color w:val="auto"/>
              </w:rPr>
              <w:t>527,496</w:t>
            </w:r>
          </w:p>
        </w:tc>
        <w:tc>
          <w:tcPr>
            <w:tcW w:w="780" w:type="dxa"/>
            <w:vAlign w:val="bottom"/>
          </w:tcPr>
          <w:p>
            <w:pPr>
              <w:jc w:val="center"/>
              <w:spacing w:after="0"/>
              <w:rPr>
                <w:sz w:val="20"/>
                <w:szCs w:val="20"/>
                <w:color w:val="auto"/>
              </w:rPr>
            </w:pPr>
            <w:r>
              <w:rPr>
                <w:rFonts w:ascii="Arial" w:cs="Arial" w:eastAsia="Arial" w:hAnsi="Arial"/>
                <w:sz w:val="14"/>
                <w:szCs w:val="14"/>
                <w:color w:val="auto"/>
              </w:rPr>
              <w:t>791,243</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60" w:type="dxa"/>
            <w:vAlign w:val="bottom"/>
          </w:tcPr>
          <w:p>
            <w:pPr>
              <w:spacing w:after="0"/>
              <w:rPr>
                <w:sz w:val="16"/>
                <w:szCs w:val="16"/>
                <w:color w:val="auto"/>
              </w:rPr>
            </w:pPr>
          </w:p>
        </w:tc>
        <w:tc>
          <w:tcPr>
            <w:tcW w:w="760" w:type="dxa"/>
            <w:vAlign w:val="bottom"/>
            <w:gridSpan w:val="2"/>
          </w:tcPr>
          <w:p>
            <w:pPr>
              <w:jc w:val="center"/>
              <w:ind w:left="48"/>
              <w:spacing w:after="0"/>
              <w:rPr>
                <w:sz w:val="20"/>
                <w:szCs w:val="20"/>
                <w:color w:val="auto"/>
              </w:rPr>
            </w:pPr>
            <w:r>
              <w:rPr>
                <w:rFonts w:ascii="Arial" w:cs="Arial" w:eastAsia="Arial" w:hAnsi="Arial"/>
                <w:sz w:val="14"/>
                <w:szCs w:val="14"/>
                <w:color w:val="auto"/>
              </w:rPr>
              <w:t>2/15/2022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jc w:val="center"/>
              <w:ind w:left="48"/>
              <w:spacing w:after="0"/>
              <w:rPr>
                <w:sz w:val="20"/>
                <w:szCs w:val="20"/>
                <w:color w:val="auto"/>
              </w:rPr>
            </w:pPr>
            <w:r>
              <w:rPr>
                <w:rFonts w:ascii="Arial" w:cs="Arial" w:eastAsia="Arial" w:hAnsi="Arial"/>
                <w:sz w:val="14"/>
                <w:szCs w:val="14"/>
                <w:color w:val="auto"/>
              </w:rPr>
              <w:t>15,193</w:t>
            </w:r>
          </w:p>
        </w:tc>
        <w:tc>
          <w:tcPr>
            <w:tcW w:w="740" w:type="dxa"/>
            <w:vAlign w:val="bottom"/>
          </w:tcPr>
          <w:p>
            <w:pPr>
              <w:jc w:val="center"/>
              <w:spacing w:after="0"/>
              <w:rPr>
                <w:sz w:val="20"/>
                <w:szCs w:val="20"/>
                <w:color w:val="auto"/>
              </w:rPr>
            </w:pPr>
            <w:r>
              <w:rPr>
                <w:rFonts w:ascii="Arial" w:cs="Arial" w:eastAsia="Arial" w:hAnsi="Arial"/>
                <w:sz w:val="14"/>
                <w:szCs w:val="14"/>
                <w:color w:val="auto"/>
              </w:rPr>
              <w:t>30,386</w:t>
            </w:r>
          </w:p>
        </w:tc>
        <w:tc>
          <w:tcPr>
            <w:tcW w:w="680" w:type="dxa"/>
            <w:vAlign w:val="bottom"/>
          </w:tcPr>
          <w:p>
            <w:pPr>
              <w:jc w:val="center"/>
              <w:spacing w:after="0"/>
              <w:rPr>
                <w:sz w:val="20"/>
                <w:szCs w:val="20"/>
                <w:color w:val="auto"/>
              </w:rPr>
            </w:pPr>
            <w:r>
              <w:rPr>
                <w:rFonts w:ascii="Arial" w:cs="Arial" w:eastAsia="Arial" w:hAnsi="Arial"/>
                <w:sz w:val="14"/>
                <w:szCs w:val="14"/>
                <w:color w:val="auto"/>
              </w:rPr>
              <w:t>60,772</w:t>
            </w:r>
          </w:p>
        </w:tc>
        <w:tc>
          <w:tcPr>
            <w:tcW w:w="7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643,879</w:t>
            </w:r>
          </w:p>
        </w:tc>
        <w:tc>
          <w:tcPr>
            <w:tcW w:w="0" w:type="dxa"/>
            <w:vAlign w:val="bottom"/>
          </w:tcPr>
          <w:p>
            <w:pPr>
              <w:spacing w:after="0"/>
              <w:rPr>
                <w:sz w:val="1"/>
                <w:szCs w:val="1"/>
                <w:color w:val="auto"/>
              </w:rPr>
            </w:pPr>
          </w:p>
        </w:tc>
      </w:tr>
      <w:tr>
        <w:trPr>
          <w:trHeight w:val="194"/>
        </w:trPr>
        <w:tc>
          <w:tcPr>
            <w:tcW w:w="3760" w:type="dxa"/>
            <w:vAlign w:val="bottom"/>
          </w:tcPr>
          <w:p>
            <w:pPr>
              <w:spacing w:after="0"/>
              <w:rPr>
                <w:sz w:val="16"/>
                <w:szCs w:val="16"/>
                <w:color w:val="auto"/>
              </w:rPr>
            </w:pPr>
          </w:p>
        </w:tc>
        <w:tc>
          <w:tcPr>
            <w:tcW w:w="760" w:type="dxa"/>
            <w:vAlign w:val="bottom"/>
            <w:gridSpan w:val="2"/>
          </w:tcPr>
          <w:p>
            <w:pPr>
              <w:jc w:val="center"/>
              <w:ind w:left="48"/>
              <w:spacing w:after="0"/>
              <w:rPr>
                <w:sz w:val="20"/>
                <w:szCs w:val="20"/>
                <w:color w:val="auto"/>
              </w:rPr>
            </w:pPr>
            <w:r>
              <w:rPr>
                <w:rFonts w:ascii="Arial" w:cs="Arial" w:eastAsia="Arial" w:hAnsi="Arial"/>
                <w:sz w:val="14"/>
                <w:szCs w:val="14"/>
                <w:color w:val="auto"/>
              </w:rPr>
              <w:t>2/15/2022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10,129</w:t>
            </w:r>
          </w:p>
        </w:tc>
        <w:tc>
          <w:tcPr>
            <w:tcW w:w="680" w:type="dxa"/>
            <w:vAlign w:val="bottom"/>
          </w:tcPr>
          <w:p>
            <w:pPr>
              <w:jc w:val="center"/>
              <w:spacing w:after="0"/>
              <w:rPr>
                <w:sz w:val="20"/>
                <w:szCs w:val="20"/>
                <w:color w:val="auto"/>
              </w:rPr>
            </w:pPr>
            <w:r>
              <w:rPr>
                <w:rFonts w:ascii="Arial" w:cs="Arial" w:eastAsia="Arial" w:hAnsi="Arial"/>
                <w:sz w:val="14"/>
                <w:szCs w:val="14"/>
                <w:color w:val="auto"/>
              </w:rPr>
              <w:t>220,508</w:t>
            </w:r>
          </w:p>
        </w:tc>
        <w:tc>
          <w:tcPr>
            <w:tcW w:w="0" w:type="dxa"/>
            <w:vAlign w:val="bottom"/>
          </w:tcPr>
          <w:p>
            <w:pPr>
              <w:spacing w:after="0"/>
              <w:rPr>
                <w:sz w:val="1"/>
                <w:szCs w:val="1"/>
                <w:color w:val="auto"/>
              </w:rPr>
            </w:pPr>
          </w:p>
        </w:tc>
      </w:tr>
      <w:tr>
        <w:trPr>
          <w:trHeight w:val="218"/>
        </w:trPr>
        <w:tc>
          <w:tcPr>
            <w:tcW w:w="3760" w:type="dxa"/>
            <w:vAlign w:val="bottom"/>
            <w:shd w:val="clear" w:color="auto" w:fill="EDEDED"/>
          </w:tcPr>
          <w:p>
            <w:pPr>
              <w:ind w:left="60"/>
              <w:spacing w:after="0"/>
              <w:rPr>
                <w:sz w:val="20"/>
                <w:szCs w:val="20"/>
                <w:color w:val="auto"/>
              </w:rPr>
            </w:pPr>
            <w:r>
              <w:rPr>
                <w:rFonts w:ascii="Arial" w:cs="Arial" w:eastAsia="Arial" w:hAnsi="Arial"/>
                <w:sz w:val="14"/>
                <w:szCs w:val="14"/>
                <w:b w:val="1"/>
                <w:bCs w:val="1"/>
                <w:color w:val="auto"/>
              </w:rPr>
              <w:t>Dinette Koolhaas</w:t>
            </w:r>
          </w:p>
        </w:tc>
        <w:tc>
          <w:tcPr>
            <w:tcW w:w="120" w:type="dxa"/>
            <w:vAlign w:val="bottom"/>
            <w:shd w:val="clear" w:color="auto" w:fill="EDEDED"/>
          </w:tcPr>
          <w:p>
            <w:pPr>
              <w:spacing w:after="0"/>
              <w:rPr>
                <w:sz w:val="18"/>
                <w:szCs w:val="18"/>
                <w:color w:val="auto"/>
              </w:rPr>
            </w:pPr>
          </w:p>
        </w:tc>
        <w:tc>
          <w:tcPr>
            <w:tcW w:w="64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STIP</w:t>
            </w:r>
          </w:p>
        </w:tc>
        <w:tc>
          <w:tcPr>
            <w:tcW w:w="100" w:type="dxa"/>
            <w:vAlign w:val="bottom"/>
            <w:shd w:val="clear" w:color="auto" w:fill="EDEDED"/>
          </w:tcPr>
          <w:p>
            <w:pPr>
              <w:spacing w:after="0"/>
              <w:rPr>
                <w:sz w:val="18"/>
                <w:szCs w:val="18"/>
                <w:color w:val="auto"/>
              </w:rPr>
            </w:pPr>
          </w:p>
        </w:tc>
        <w:tc>
          <w:tcPr>
            <w:tcW w:w="640" w:type="dxa"/>
            <w:vAlign w:val="bottom"/>
            <w:shd w:val="clear" w:color="auto" w:fill="EDEDED"/>
          </w:tcPr>
          <w:p>
            <w:pPr>
              <w:spacing w:after="0"/>
              <w:rPr>
                <w:sz w:val="18"/>
                <w:szCs w:val="18"/>
                <w:color w:val="auto"/>
              </w:rPr>
            </w:pPr>
          </w:p>
        </w:tc>
        <w:tc>
          <w:tcPr>
            <w:tcW w:w="86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71,756</w:t>
            </w:r>
          </w:p>
        </w:tc>
        <w:tc>
          <w:tcPr>
            <w:tcW w:w="64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287,026</w:t>
            </w:r>
          </w:p>
        </w:tc>
        <w:tc>
          <w:tcPr>
            <w:tcW w:w="78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430,539</w:t>
            </w:r>
          </w:p>
        </w:tc>
        <w:tc>
          <w:tcPr>
            <w:tcW w:w="680" w:type="dxa"/>
            <w:vAlign w:val="bottom"/>
            <w:shd w:val="clear" w:color="auto" w:fill="EDEDED"/>
          </w:tcPr>
          <w:p>
            <w:pPr>
              <w:spacing w:after="0"/>
              <w:rPr>
                <w:sz w:val="18"/>
                <w:szCs w:val="18"/>
                <w:color w:val="auto"/>
              </w:rPr>
            </w:pPr>
          </w:p>
        </w:tc>
        <w:tc>
          <w:tcPr>
            <w:tcW w:w="740" w:type="dxa"/>
            <w:vAlign w:val="bottom"/>
            <w:shd w:val="clear" w:color="auto" w:fill="EDEDED"/>
          </w:tcPr>
          <w:p>
            <w:pPr>
              <w:spacing w:after="0"/>
              <w:rPr>
                <w:sz w:val="18"/>
                <w:szCs w:val="18"/>
                <w:color w:val="auto"/>
              </w:rPr>
            </w:pPr>
          </w:p>
        </w:tc>
        <w:tc>
          <w:tcPr>
            <w:tcW w:w="680" w:type="dxa"/>
            <w:vAlign w:val="bottom"/>
            <w:shd w:val="clear" w:color="auto" w:fill="EDEDED"/>
          </w:tcPr>
          <w:p>
            <w:pPr>
              <w:spacing w:after="0"/>
              <w:rPr>
                <w:sz w:val="18"/>
                <w:szCs w:val="18"/>
                <w:color w:val="auto"/>
              </w:rPr>
            </w:pPr>
          </w:p>
        </w:tc>
        <w:tc>
          <w:tcPr>
            <w:tcW w:w="700" w:type="dxa"/>
            <w:vAlign w:val="bottom"/>
            <w:shd w:val="clear" w:color="auto" w:fill="EDEDED"/>
          </w:tcPr>
          <w:p>
            <w:pPr>
              <w:spacing w:after="0"/>
              <w:rPr>
                <w:sz w:val="18"/>
                <w:szCs w:val="18"/>
                <w:color w:val="auto"/>
              </w:rPr>
            </w:pPr>
          </w:p>
        </w:tc>
        <w:tc>
          <w:tcPr>
            <w:tcW w:w="680" w:type="dxa"/>
            <w:vAlign w:val="bottom"/>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760" w:type="dxa"/>
            <w:vAlign w:val="bottom"/>
            <w:shd w:val="clear" w:color="auto" w:fill="EDEDED"/>
          </w:tcPr>
          <w:p>
            <w:pPr>
              <w:spacing w:after="0"/>
              <w:rPr>
                <w:sz w:val="16"/>
                <w:szCs w:val="16"/>
                <w:color w:val="auto"/>
              </w:rPr>
            </w:pPr>
          </w:p>
        </w:tc>
        <w:tc>
          <w:tcPr>
            <w:tcW w:w="120" w:type="dxa"/>
            <w:vAlign w:val="bottom"/>
            <w:shd w:val="clear" w:color="auto" w:fill="EDEDED"/>
          </w:tcPr>
          <w:p>
            <w:pPr>
              <w:spacing w:after="0"/>
              <w:rPr>
                <w:sz w:val="16"/>
                <w:szCs w:val="16"/>
                <w:color w:val="auto"/>
              </w:rPr>
            </w:pPr>
          </w:p>
        </w:tc>
        <w:tc>
          <w:tcPr>
            <w:tcW w:w="64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2/15/2022</w:t>
            </w:r>
          </w:p>
        </w:tc>
        <w:tc>
          <w:tcPr>
            <w:tcW w:w="100" w:type="dxa"/>
            <w:vAlign w:val="bottom"/>
            <w:shd w:val="clear" w:color="auto" w:fill="EDEDED"/>
          </w:tcPr>
          <w:p>
            <w:pPr>
              <w:spacing w:after="0"/>
              <w:rPr>
                <w:sz w:val="16"/>
                <w:szCs w:val="16"/>
                <w:color w:val="auto"/>
              </w:rPr>
            </w:pPr>
          </w:p>
        </w:tc>
        <w:tc>
          <w:tcPr>
            <w:tcW w:w="640" w:type="dxa"/>
            <w:vAlign w:val="bottom"/>
            <w:shd w:val="clear" w:color="auto" w:fill="EDEDED"/>
          </w:tcPr>
          <w:p>
            <w:pPr>
              <w:spacing w:after="0"/>
              <w:rPr>
                <w:sz w:val="16"/>
                <w:szCs w:val="16"/>
                <w:color w:val="auto"/>
              </w:rPr>
            </w:pPr>
          </w:p>
        </w:tc>
        <w:tc>
          <w:tcPr>
            <w:tcW w:w="860" w:type="dxa"/>
            <w:vAlign w:val="bottom"/>
            <w:shd w:val="clear" w:color="auto" w:fill="EDEDED"/>
          </w:tcPr>
          <w:p>
            <w:pPr>
              <w:spacing w:after="0"/>
              <w:rPr>
                <w:sz w:val="16"/>
                <w:szCs w:val="16"/>
                <w:color w:val="auto"/>
              </w:rPr>
            </w:pPr>
          </w:p>
        </w:tc>
        <w:tc>
          <w:tcPr>
            <w:tcW w:w="640" w:type="dxa"/>
            <w:vAlign w:val="bottom"/>
            <w:shd w:val="clear" w:color="auto" w:fill="EDEDED"/>
          </w:tcPr>
          <w:p>
            <w:pPr>
              <w:spacing w:after="0"/>
              <w:rPr>
                <w:sz w:val="16"/>
                <w:szCs w:val="16"/>
                <w:color w:val="auto"/>
              </w:rPr>
            </w:pPr>
          </w:p>
        </w:tc>
        <w:tc>
          <w:tcPr>
            <w:tcW w:w="780" w:type="dxa"/>
            <w:vAlign w:val="bottom"/>
            <w:shd w:val="clear" w:color="auto" w:fill="EDEDED"/>
          </w:tcPr>
          <w:p>
            <w:pPr>
              <w:spacing w:after="0"/>
              <w:rPr>
                <w:sz w:val="16"/>
                <w:szCs w:val="16"/>
                <w:color w:val="auto"/>
              </w:rPr>
            </w:pPr>
          </w:p>
        </w:tc>
        <w:tc>
          <w:tcPr>
            <w:tcW w:w="680" w:type="dxa"/>
            <w:vAlign w:val="bottom"/>
            <w:shd w:val="clear" w:color="auto" w:fill="EDEDED"/>
          </w:tcPr>
          <w:p>
            <w:pPr>
              <w:jc w:val="center"/>
              <w:ind w:left="48"/>
              <w:spacing w:after="0"/>
              <w:rPr>
                <w:sz w:val="20"/>
                <w:szCs w:val="20"/>
                <w:color w:val="auto"/>
              </w:rPr>
            </w:pPr>
            <w:r>
              <w:rPr>
                <w:rFonts w:ascii="Arial" w:cs="Arial" w:eastAsia="Arial" w:hAnsi="Arial"/>
                <w:sz w:val="14"/>
                <w:szCs w:val="14"/>
                <w:color w:val="auto"/>
              </w:rPr>
              <w:t>6,477</w:t>
            </w:r>
          </w:p>
        </w:tc>
        <w:tc>
          <w:tcPr>
            <w:tcW w:w="74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12,954</w:t>
            </w:r>
          </w:p>
        </w:tc>
        <w:tc>
          <w:tcPr>
            <w:tcW w:w="68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25,908</w:t>
            </w:r>
          </w:p>
        </w:tc>
        <w:tc>
          <w:tcPr>
            <w:tcW w:w="700" w:type="dxa"/>
            <w:vAlign w:val="bottom"/>
            <w:shd w:val="clear" w:color="auto" w:fill="EDEDED"/>
          </w:tcPr>
          <w:p>
            <w:pPr>
              <w:spacing w:after="0"/>
              <w:rPr>
                <w:sz w:val="16"/>
                <w:szCs w:val="16"/>
                <w:color w:val="auto"/>
              </w:rPr>
            </w:pPr>
          </w:p>
        </w:tc>
        <w:tc>
          <w:tcPr>
            <w:tcW w:w="68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274,495</w:t>
            </w:r>
          </w:p>
        </w:tc>
        <w:tc>
          <w:tcPr>
            <w:tcW w:w="0" w:type="dxa"/>
            <w:vAlign w:val="bottom"/>
          </w:tcPr>
          <w:p>
            <w:pPr>
              <w:spacing w:after="0"/>
              <w:rPr>
                <w:sz w:val="1"/>
                <w:szCs w:val="1"/>
                <w:color w:val="auto"/>
              </w:rPr>
            </w:pPr>
          </w:p>
        </w:tc>
      </w:tr>
      <w:tr>
        <w:trPr>
          <w:trHeight w:val="190"/>
        </w:trPr>
        <w:tc>
          <w:tcPr>
            <w:tcW w:w="3760" w:type="dxa"/>
            <w:vAlign w:val="bottom"/>
            <w:shd w:val="clear" w:color="auto" w:fill="EDEDED"/>
          </w:tcPr>
          <w:p>
            <w:pPr>
              <w:spacing w:after="0"/>
              <w:rPr>
                <w:sz w:val="16"/>
                <w:szCs w:val="16"/>
                <w:color w:val="auto"/>
              </w:rPr>
            </w:pPr>
          </w:p>
        </w:tc>
        <w:tc>
          <w:tcPr>
            <w:tcW w:w="120" w:type="dxa"/>
            <w:vAlign w:val="bottom"/>
            <w:shd w:val="clear" w:color="auto" w:fill="EDEDED"/>
          </w:tcPr>
          <w:p>
            <w:pPr>
              <w:spacing w:after="0"/>
              <w:rPr>
                <w:sz w:val="16"/>
                <w:szCs w:val="16"/>
                <w:color w:val="auto"/>
              </w:rPr>
            </w:pPr>
          </w:p>
        </w:tc>
        <w:tc>
          <w:tcPr>
            <w:tcW w:w="64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2/15/2022</w:t>
            </w:r>
          </w:p>
        </w:tc>
        <w:tc>
          <w:tcPr>
            <w:tcW w:w="100" w:type="dxa"/>
            <w:vAlign w:val="bottom"/>
            <w:shd w:val="clear" w:color="auto" w:fill="EDEDED"/>
          </w:tcPr>
          <w:p>
            <w:pPr>
              <w:spacing w:after="0"/>
              <w:rPr>
                <w:sz w:val="16"/>
                <w:szCs w:val="16"/>
                <w:color w:val="auto"/>
              </w:rPr>
            </w:pPr>
          </w:p>
        </w:tc>
        <w:tc>
          <w:tcPr>
            <w:tcW w:w="640" w:type="dxa"/>
            <w:vAlign w:val="bottom"/>
            <w:shd w:val="clear" w:color="auto" w:fill="EDEDED"/>
          </w:tcPr>
          <w:p>
            <w:pPr>
              <w:spacing w:after="0"/>
              <w:rPr>
                <w:sz w:val="16"/>
                <w:szCs w:val="16"/>
                <w:color w:val="auto"/>
              </w:rPr>
            </w:pPr>
          </w:p>
        </w:tc>
        <w:tc>
          <w:tcPr>
            <w:tcW w:w="860" w:type="dxa"/>
            <w:vAlign w:val="bottom"/>
            <w:shd w:val="clear" w:color="auto" w:fill="EDEDED"/>
          </w:tcPr>
          <w:p>
            <w:pPr>
              <w:spacing w:after="0"/>
              <w:rPr>
                <w:sz w:val="16"/>
                <w:szCs w:val="16"/>
                <w:color w:val="auto"/>
              </w:rPr>
            </w:pPr>
          </w:p>
        </w:tc>
        <w:tc>
          <w:tcPr>
            <w:tcW w:w="640" w:type="dxa"/>
            <w:vAlign w:val="bottom"/>
            <w:shd w:val="clear" w:color="auto" w:fill="EDEDED"/>
          </w:tcPr>
          <w:p>
            <w:pPr>
              <w:spacing w:after="0"/>
              <w:rPr>
                <w:sz w:val="16"/>
                <w:szCs w:val="16"/>
                <w:color w:val="auto"/>
              </w:rPr>
            </w:pPr>
          </w:p>
        </w:tc>
        <w:tc>
          <w:tcPr>
            <w:tcW w:w="780" w:type="dxa"/>
            <w:vAlign w:val="bottom"/>
            <w:shd w:val="clear" w:color="auto" w:fill="EDEDED"/>
          </w:tcPr>
          <w:p>
            <w:pPr>
              <w:spacing w:after="0"/>
              <w:rPr>
                <w:sz w:val="16"/>
                <w:szCs w:val="16"/>
                <w:color w:val="auto"/>
              </w:rPr>
            </w:pPr>
          </w:p>
        </w:tc>
        <w:tc>
          <w:tcPr>
            <w:tcW w:w="680" w:type="dxa"/>
            <w:vAlign w:val="bottom"/>
            <w:shd w:val="clear" w:color="auto" w:fill="EDEDED"/>
          </w:tcPr>
          <w:p>
            <w:pPr>
              <w:spacing w:after="0"/>
              <w:rPr>
                <w:sz w:val="16"/>
                <w:szCs w:val="16"/>
                <w:color w:val="auto"/>
              </w:rPr>
            </w:pPr>
          </w:p>
        </w:tc>
        <w:tc>
          <w:tcPr>
            <w:tcW w:w="740" w:type="dxa"/>
            <w:vAlign w:val="bottom"/>
            <w:shd w:val="clear" w:color="auto" w:fill="EDEDED"/>
          </w:tcPr>
          <w:p>
            <w:pPr>
              <w:spacing w:after="0"/>
              <w:rPr>
                <w:sz w:val="16"/>
                <w:szCs w:val="16"/>
                <w:color w:val="auto"/>
              </w:rPr>
            </w:pPr>
          </w:p>
        </w:tc>
        <w:tc>
          <w:tcPr>
            <w:tcW w:w="680" w:type="dxa"/>
            <w:vAlign w:val="bottom"/>
            <w:shd w:val="clear" w:color="auto" w:fill="EDEDED"/>
          </w:tcPr>
          <w:p>
            <w:pPr>
              <w:spacing w:after="0"/>
              <w:rPr>
                <w:sz w:val="16"/>
                <w:szCs w:val="16"/>
                <w:color w:val="auto"/>
              </w:rPr>
            </w:pPr>
          </w:p>
        </w:tc>
        <w:tc>
          <w:tcPr>
            <w:tcW w:w="70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4,318</w:t>
            </w:r>
          </w:p>
        </w:tc>
        <w:tc>
          <w:tcPr>
            <w:tcW w:w="68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94,003</w:t>
            </w:r>
          </w:p>
        </w:tc>
        <w:tc>
          <w:tcPr>
            <w:tcW w:w="0" w:type="dxa"/>
            <w:vAlign w:val="bottom"/>
          </w:tcPr>
          <w:p>
            <w:pPr>
              <w:spacing w:after="0"/>
              <w:rPr>
                <w:sz w:val="1"/>
                <w:szCs w:val="1"/>
                <w:color w:val="auto"/>
              </w:rPr>
            </w:pPr>
          </w:p>
        </w:tc>
      </w:tr>
      <w:tr>
        <w:trPr>
          <w:trHeight w:val="207"/>
        </w:trPr>
        <w:tc>
          <w:tcPr>
            <w:tcW w:w="3760" w:type="dxa"/>
            <w:vAlign w:val="bottom"/>
          </w:tcPr>
          <w:p>
            <w:pPr>
              <w:ind w:left="60"/>
              <w:spacing w:after="0"/>
              <w:rPr>
                <w:sz w:val="20"/>
                <w:szCs w:val="20"/>
                <w:color w:val="auto"/>
              </w:rPr>
            </w:pPr>
            <w:r>
              <w:rPr>
                <w:rFonts w:ascii="Arial" w:cs="Arial" w:eastAsia="Arial" w:hAnsi="Arial"/>
                <w:sz w:val="14"/>
                <w:szCs w:val="14"/>
                <w:b w:val="1"/>
                <w:bCs w:val="1"/>
                <w:color w:val="auto"/>
              </w:rPr>
              <w:t>Vanessa P. Williams</w:t>
            </w:r>
          </w:p>
        </w:tc>
        <w:tc>
          <w:tcPr>
            <w:tcW w:w="12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STIP</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67,131</w:t>
            </w:r>
          </w:p>
        </w:tc>
        <w:tc>
          <w:tcPr>
            <w:tcW w:w="640" w:type="dxa"/>
            <w:vAlign w:val="bottom"/>
          </w:tcPr>
          <w:p>
            <w:pPr>
              <w:jc w:val="center"/>
              <w:spacing w:after="0"/>
              <w:rPr>
                <w:sz w:val="20"/>
                <w:szCs w:val="20"/>
                <w:color w:val="auto"/>
              </w:rPr>
            </w:pPr>
            <w:r>
              <w:rPr>
                <w:rFonts w:ascii="Arial" w:cs="Arial" w:eastAsia="Arial" w:hAnsi="Arial"/>
                <w:sz w:val="14"/>
                <w:szCs w:val="14"/>
                <w:color w:val="auto"/>
              </w:rPr>
              <w:t>268,525</w:t>
            </w:r>
          </w:p>
        </w:tc>
        <w:tc>
          <w:tcPr>
            <w:tcW w:w="780" w:type="dxa"/>
            <w:vAlign w:val="bottom"/>
          </w:tcPr>
          <w:p>
            <w:pPr>
              <w:jc w:val="center"/>
              <w:spacing w:after="0"/>
              <w:rPr>
                <w:sz w:val="20"/>
                <w:szCs w:val="20"/>
                <w:color w:val="auto"/>
              </w:rPr>
            </w:pPr>
            <w:r>
              <w:rPr>
                <w:rFonts w:ascii="Arial" w:cs="Arial" w:eastAsia="Arial" w:hAnsi="Arial"/>
                <w:sz w:val="14"/>
                <w:szCs w:val="14"/>
                <w:color w:val="auto"/>
              </w:rPr>
              <w:t>402,788</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60" w:type="dxa"/>
            <w:vAlign w:val="bottom"/>
          </w:tcPr>
          <w:p>
            <w:pPr>
              <w:spacing w:after="0"/>
              <w:rPr>
                <w:sz w:val="16"/>
                <w:szCs w:val="16"/>
                <w:color w:val="auto"/>
              </w:rPr>
            </w:pPr>
          </w:p>
        </w:tc>
        <w:tc>
          <w:tcPr>
            <w:tcW w:w="760" w:type="dxa"/>
            <w:vAlign w:val="bottom"/>
            <w:gridSpan w:val="2"/>
          </w:tcPr>
          <w:p>
            <w:pPr>
              <w:jc w:val="center"/>
              <w:ind w:left="48"/>
              <w:spacing w:after="0"/>
              <w:rPr>
                <w:sz w:val="20"/>
                <w:szCs w:val="20"/>
                <w:color w:val="auto"/>
              </w:rPr>
            </w:pPr>
            <w:r>
              <w:rPr>
                <w:rFonts w:ascii="Arial" w:cs="Arial" w:eastAsia="Arial" w:hAnsi="Arial"/>
                <w:sz w:val="14"/>
                <w:szCs w:val="14"/>
                <w:color w:val="auto"/>
              </w:rPr>
              <w:t>2/15/2022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jc w:val="center"/>
              <w:ind w:left="48"/>
              <w:spacing w:after="0"/>
              <w:rPr>
                <w:sz w:val="20"/>
                <w:szCs w:val="20"/>
                <w:color w:val="auto"/>
              </w:rPr>
            </w:pPr>
            <w:r>
              <w:rPr>
                <w:rFonts w:ascii="Arial" w:cs="Arial" w:eastAsia="Arial" w:hAnsi="Arial"/>
                <w:sz w:val="14"/>
                <w:szCs w:val="14"/>
                <w:color w:val="auto"/>
              </w:rPr>
              <w:t>7,131</w:t>
            </w:r>
          </w:p>
        </w:tc>
        <w:tc>
          <w:tcPr>
            <w:tcW w:w="740" w:type="dxa"/>
            <w:vAlign w:val="bottom"/>
          </w:tcPr>
          <w:p>
            <w:pPr>
              <w:jc w:val="center"/>
              <w:spacing w:after="0"/>
              <w:rPr>
                <w:sz w:val="20"/>
                <w:szCs w:val="20"/>
                <w:color w:val="auto"/>
              </w:rPr>
            </w:pPr>
            <w:r>
              <w:rPr>
                <w:rFonts w:ascii="Arial" w:cs="Arial" w:eastAsia="Arial" w:hAnsi="Arial"/>
                <w:sz w:val="14"/>
                <w:szCs w:val="14"/>
                <w:color w:val="auto"/>
              </w:rPr>
              <w:t>14,262</w:t>
            </w:r>
          </w:p>
        </w:tc>
        <w:tc>
          <w:tcPr>
            <w:tcW w:w="680" w:type="dxa"/>
            <w:vAlign w:val="bottom"/>
          </w:tcPr>
          <w:p>
            <w:pPr>
              <w:jc w:val="center"/>
              <w:spacing w:after="0"/>
              <w:rPr>
                <w:sz w:val="20"/>
                <w:szCs w:val="20"/>
                <w:color w:val="auto"/>
              </w:rPr>
            </w:pPr>
            <w:r>
              <w:rPr>
                <w:rFonts w:ascii="Arial" w:cs="Arial" w:eastAsia="Arial" w:hAnsi="Arial"/>
                <w:sz w:val="14"/>
                <w:szCs w:val="14"/>
                <w:color w:val="auto"/>
              </w:rPr>
              <w:t>28,524</w:t>
            </w:r>
          </w:p>
        </w:tc>
        <w:tc>
          <w:tcPr>
            <w:tcW w:w="70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rPr>
              <w:t>302,212</w:t>
            </w:r>
          </w:p>
        </w:tc>
        <w:tc>
          <w:tcPr>
            <w:tcW w:w="0" w:type="dxa"/>
            <w:vAlign w:val="bottom"/>
          </w:tcPr>
          <w:p>
            <w:pPr>
              <w:spacing w:after="0"/>
              <w:rPr>
                <w:sz w:val="1"/>
                <w:szCs w:val="1"/>
                <w:color w:val="auto"/>
              </w:rPr>
            </w:pPr>
          </w:p>
        </w:tc>
      </w:tr>
      <w:tr>
        <w:trPr>
          <w:trHeight w:val="194"/>
        </w:trPr>
        <w:tc>
          <w:tcPr>
            <w:tcW w:w="3760" w:type="dxa"/>
            <w:vAlign w:val="bottom"/>
          </w:tcPr>
          <w:p>
            <w:pPr>
              <w:spacing w:after="0"/>
              <w:rPr>
                <w:sz w:val="16"/>
                <w:szCs w:val="16"/>
                <w:color w:val="auto"/>
              </w:rPr>
            </w:pPr>
          </w:p>
        </w:tc>
        <w:tc>
          <w:tcPr>
            <w:tcW w:w="760" w:type="dxa"/>
            <w:vAlign w:val="bottom"/>
            <w:gridSpan w:val="2"/>
          </w:tcPr>
          <w:p>
            <w:pPr>
              <w:jc w:val="center"/>
              <w:ind w:left="48"/>
              <w:spacing w:after="0"/>
              <w:rPr>
                <w:sz w:val="20"/>
                <w:szCs w:val="20"/>
                <w:color w:val="auto"/>
              </w:rPr>
            </w:pPr>
            <w:r>
              <w:rPr>
                <w:rFonts w:ascii="Arial" w:cs="Arial" w:eastAsia="Arial" w:hAnsi="Arial"/>
                <w:sz w:val="14"/>
                <w:szCs w:val="14"/>
                <w:color w:val="auto"/>
              </w:rPr>
              <w:t>2/15/2022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rPr>
              <w:t>4,754</w:t>
            </w:r>
          </w:p>
        </w:tc>
        <w:tc>
          <w:tcPr>
            <w:tcW w:w="680" w:type="dxa"/>
            <w:vAlign w:val="bottom"/>
          </w:tcPr>
          <w:p>
            <w:pPr>
              <w:jc w:val="center"/>
              <w:spacing w:after="0"/>
              <w:rPr>
                <w:sz w:val="20"/>
                <w:szCs w:val="20"/>
                <w:color w:val="auto"/>
              </w:rPr>
            </w:pPr>
            <w:r>
              <w:rPr>
                <w:rFonts w:ascii="Arial" w:cs="Arial" w:eastAsia="Arial" w:hAnsi="Arial"/>
                <w:sz w:val="14"/>
                <w:szCs w:val="14"/>
                <w:color w:val="auto"/>
              </w:rPr>
              <w:t>103,495</w:t>
            </w:r>
          </w:p>
        </w:tc>
        <w:tc>
          <w:tcPr>
            <w:tcW w:w="0" w:type="dxa"/>
            <w:vAlign w:val="bottom"/>
          </w:tcPr>
          <w:p>
            <w:pPr>
              <w:spacing w:after="0"/>
              <w:rPr>
                <w:sz w:val="1"/>
                <w:szCs w:val="1"/>
                <w:color w:val="auto"/>
              </w:rPr>
            </w:pPr>
          </w:p>
        </w:tc>
      </w:tr>
      <w:tr>
        <w:trPr>
          <w:trHeight w:val="218"/>
        </w:trPr>
        <w:tc>
          <w:tcPr>
            <w:tcW w:w="3760" w:type="dxa"/>
            <w:vAlign w:val="bottom"/>
            <w:shd w:val="clear" w:color="auto" w:fill="EDEDED"/>
          </w:tcPr>
          <w:p>
            <w:pPr>
              <w:ind w:left="60"/>
              <w:spacing w:after="0"/>
              <w:rPr>
                <w:sz w:val="20"/>
                <w:szCs w:val="20"/>
                <w:color w:val="auto"/>
              </w:rPr>
            </w:pPr>
            <w:r>
              <w:rPr>
                <w:rFonts w:ascii="Arial" w:cs="Arial" w:eastAsia="Arial" w:hAnsi="Arial"/>
                <w:sz w:val="14"/>
                <w:szCs w:val="14"/>
                <w:b w:val="1"/>
                <w:bCs w:val="1"/>
                <w:color w:val="auto"/>
              </w:rPr>
              <w:t>Darren L. Simons</w:t>
            </w:r>
          </w:p>
        </w:tc>
        <w:tc>
          <w:tcPr>
            <w:tcW w:w="120" w:type="dxa"/>
            <w:vAlign w:val="bottom"/>
            <w:shd w:val="clear" w:color="auto" w:fill="EDEDED"/>
          </w:tcPr>
          <w:p>
            <w:pPr>
              <w:spacing w:after="0"/>
              <w:rPr>
                <w:sz w:val="18"/>
                <w:szCs w:val="18"/>
                <w:color w:val="auto"/>
              </w:rPr>
            </w:pPr>
          </w:p>
        </w:tc>
        <w:tc>
          <w:tcPr>
            <w:tcW w:w="64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STIP</w:t>
            </w:r>
          </w:p>
        </w:tc>
        <w:tc>
          <w:tcPr>
            <w:tcW w:w="100" w:type="dxa"/>
            <w:vAlign w:val="bottom"/>
            <w:shd w:val="clear" w:color="auto" w:fill="EDEDED"/>
          </w:tcPr>
          <w:p>
            <w:pPr>
              <w:spacing w:after="0"/>
              <w:rPr>
                <w:sz w:val="18"/>
                <w:szCs w:val="18"/>
                <w:color w:val="auto"/>
              </w:rPr>
            </w:pPr>
          </w:p>
        </w:tc>
        <w:tc>
          <w:tcPr>
            <w:tcW w:w="640" w:type="dxa"/>
            <w:vAlign w:val="bottom"/>
            <w:shd w:val="clear" w:color="auto" w:fill="EDEDED"/>
          </w:tcPr>
          <w:p>
            <w:pPr>
              <w:spacing w:after="0"/>
              <w:rPr>
                <w:sz w:val="18"/>
                <w:szCs w:val="18"/>
                <w:color w:val="auto"/>
              </w:rPr>
            </w:pPr>
          </w:p>
        </w:tc>
        <w:tc>
          <w:tcPr>
            <w:tcW w:w="86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51,726</w:t>
            </w:r>
          </w:p>
        </w:tc>
        <w:tc>
          <w:tcPr>
            <w:tcW w:w="64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206,906</w:t>
            </w:r>
          </w:p>
        </w:tc>
        <w:tc>
          <w:tcPr>
            <w:tcW w:w="78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310,359</w:t>
            </w:r>
          </w:p>
        </w:tc>
        <w:tc>
          <w:tcPr>
            <w:tcW w:w="680" w:type="dxa"/>
            <w:vAlign w:val="bottom"/>
            <w:shd w:val="clear" w:color="auto" w:fill="EDEDED"/>
          </w:tcPr>
          <w:p>
            <w:pPr>
              <w:spacing w:after="0"/>
              <w:rPr>
                <w:sz w:val="18"/>
                <w:szCs w:val="18"/>
                <w:color w:val="auto"/>
              </w:rPr>
            </w:pPr>
          </w:p>
        </w:tc>
        <w:tc>
          <w:tcPr>
            <w:tcW w:w="740" w:type="dxa"/>
            <w:vAlign w:val="bottom"/>
            <w:shd w:val="clear" w:color="auto" w:fill="EDEDED"/>
          </w:tcPr>
          <w:p>
            <w:pPr>
              <w:spacing w:after="0"/>
              <w:rPr>
                <w:sz w:val="18"/>
                <w:szCs w:val="18"/>
                <w:color w:val="auto"/>
              </w:rPr>
            </w:pPr>
          </w:p>
        </w:tc>
        <w:tc>
          <w:tcPr>
            <w:tcW w:w="680" w:type="dxa"/>
            <w:vAlign w:val="bottom"/>
            <w:shd w:val="clear" w:color="auto" w:fill="EDEDED"/>
          </w:tcPr>
          <w:p>
            <w:pPr>
              <w:spacing w:after="0"/>
              <w:rPr>
                <w:sz w:val="18"/>
                <w:szCs w:val="18"/>
                <w:color w:val="auto"/>
              </w:rPr>
            </w:pPr>
          </w:p>
        </w:tc>
        <w:tc>
          <w:tcPr>
            <w:tcW w:w="700" w:type="dxa"/>
            <w:vAlign w:val="bottom"/>
            <w:shd w:val="clear" w:color="auto" w:fill="EDEDED"/>
          </w:tcPr>
          <w:p>
            <w:pPr>
              <w:spacing w:after="0"/>
              <w:rPr>
                <w:sz w:val="18"/>
                <w:szCs w:val="18"/>
                <w:color w:val="auto"/>
              </w:rPr>
            </w:pPr>
          </w:p>
        </w:tc>
        <w:tc>
          <w:tcPr>
            <w:tcW w:w="680" w:type="dxa"/>
            <w:vAlign w:val="bottom"/>
            <w:shd w:val="clear" w:color="auto" w:fill="EDEDED"/>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760" w:type="dxa"/>
            <w:vAlign w:val="bottom"/>
            <w:shd w:val="clear" w:color="auto" w:fill="EDEDED"/>
          </w:tcPr>
          <w:p>
            <w:pPr>
              <w:spacing w:after="0"/>
              <w:rPr>
                <w:sz w:val="16"/>
                <w:szCs w:val="16"/>
                <w:color w:val="auto"/>
              </w:rPr>
            </w:pPr>
          </w:p>
        </w:tc>
        <w:tc>
          <w:tcPr>
            <w:tcW w:w="120" w:type="dxa"/>
            <w:vAlign w:val="bottom"/>
            <w:shd w:val="clear" w:color="auto" w:fill="EDEDED"/>
          </w:tcPr>
          <w:p>
            <w:pPr>
              <w:spacing w:after="0"/>
              <w:rPr>
                <w:sz w:val="16"/>
                <w:szCs w:val="16"/>
                <w:color w:val="auto"/>
              </w:rPr>
            </w:pPr>
          </w:p>
        </w:tc>
        <w:tc>
          <w:tcPr>
            <w:tcW w:w="64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2/15/2022</w:t>
            </w:r>
          </w:p>
        </w:tc>
        <w:tc>
          <w:tcPr>
            <w:tcW w:w="100" w:type="dxa"/>
            <w:vAlign w:val="bottom"/>
            <w:shd w:val="clear" w:color="auto" w:fill="EDEDED"/>
          </w:tcPr>
          <w:p>
            <w:pPr>
              <w:spacing w:after="0"/>
              <w:rPr>
                <w:sz w:val="16"/>
                <w:szCs w:val="16"/>
                <w:color w:val="auto"/>
              </w:rPr>
            </w:pPr>
          </w:p>
        </w:tc>
        <w:tc>
          <w:tcPr>
            <w:tcW w:w="640" w:type="dxa"/>
            <w:vAlign w:val="bottom"/>
            <w:shd w:val="clear" w:color="auto" w:fill="EDEDED"/>
          </w:tcPr>
          <w:p>
            <w:pPr>
              <w:spacing w:after="0"/>
              <w:rPr>
                <w:sz w:val="16"/>
                <w:szCs w:val="16"/>
                <w:color w:val="auto"/>
              </w:rPr>
            </w:pPr>
          </w:p>
        </w:tc>
        <w:tc>
          <w:tcPr>
            <w:tcW w:w="860" w:type="dxa"/>
            <w:vAlign w:val="bottom"/>
            <w:shd w:val="clear" w:color="auto" w:fill="EDEDED"/>
          </w:tcPr>
          <w:p>
            <w:pPr>
              <w:spacing w:after="0"/>
              <w:rPr>
                <w:sz w:val="16"/>
                <w:szCs w:val="16"/>
                <w:color w:val="auto"/>
              </w:rPr>
            </w:pPr>
          </w:p>
        </w:tc>
        <w:tc>
          <w:tcPr>
            <w:tcW w:w="640" w:type="dxa"/>
            <w:vAlign w:val="bottom"/>
            <w:shd w:val="clear" w:color="auto" w:fill="EDEDED"/>
          </w:tcPr>
          <w:p>
            <w:pPr>
              <w:spacing w:after="0"/>
              <w:rPr>
                <w:sz w:val="16"/>
                <w:szCs w:val="16"/>
                <w:color w:val="auto"/>
              </w:rPr>
            </w:pPr>
          </w:p>
        </w:tc>
        <w:tc>
          <w:tcPr>
            <w:tcW w:w="780" w:type="dxa"/>
            <w:vAlign w:val="bottom"/>
            <w:shd w:val="clear" w:color="auto" w:fill="EDEDED"/>
          </w:tcPr>
          <w:p>
            <w:pPr>
              <w:spacing w:after="0"/>
              <w:rPr>
                <w:sz w:val="16"/>
                <w:szCs w:val="16"/>
                <w:color w:val="auto"/>
              </w:rPr>
            </w:pPr>
          </w:p>
        </w:tc>
        <w:tc>
          <w:tcPr>
            <w:tcW w:w="680" w:type="dxa"/>
            <w:vAlign w:val="bottom"/>
            <w:shd w:val="clear" w:color="auto" w:fill="EDEDED"/>
          </w:tcPr>
          <w:p>
            <w:pPr>
              <w:jc w:val="center"/>
              <w:ind w:left="48"/>
              <w:spacing w:after="0"/>
              <w:rPr>
                <w:sz w:val="20"/>
                <w:szCs w:val="20"/>
                <w:color w:val="auto"/>
              </w:rPr>
            </w:pPr>
            <w:r>
              <w:rPr>
                <w:rFonts w:ascii="Arial" w:cs="Arial" w:eastAsia="Arial" w:hAnsi="Arial"/>
                <w:sz w:val="14"/>
                <w:szCs w:val="14"/>
                <w:color w:val="auto"/>
              </w:rPr>
              <w:t>4,545</w:t>
            </w:r>
          </w:p>
        </w:tc>
        <w:tc>
          <w:tcPr>
            <w:tcW w:w="74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9,090</w:t>
            </w:r>
          </w:p>
        </w:tc>
        <w:tc>
          <w:tcPr>
            <w:tcW w:w="68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18,180</w:t>
            </w:r>
          </w:p>
        </w:tc>
        <w:tc>
          <w:tcPr>
            <w:tcW w:w="700" w:type="dxa"/>
            <w:vAlign w:val="bottom"/>
            <w:shd w:val="clear" w:color="auto" w:fill="EDEDED"/>
          </w:tcPr>
          <w:p>
            <w:pPr>
              <w:spacing w:after="0"/>
              <w:rPr>
                <w:sz w:val="16"/>
                <w:szCs w:val="16"/>
                <w:color w:val="auto"/>
              </w:rPr>
            </w:pPr>
          </w:p>
        </w:tc>
        <w:tc>
          <w:tcPr>
            <w:tcW w:w="68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192,617</w:t>
            </w:r>
          </w:p>
        </w:tc>
        <w:tc>
          <w:tcPr>
            <w:tcW w:w="0" w:type="dxa"/>
            <w:vAlign w:val="bottom"/>
          </w:tcPr>
          <w:p>
            <w:pPr>
              <w:spacing w:after="0"/>
              <w:rPr>
                <w:sz w:val="1"/>
                <w:szCs w:val="1"/>
                <w:color w:val="auto"/>
              </w:rPr>
            </w:pPr>
          </w:p>
        </w:tc>
      </w:tr>
      <w:tr>
        <w:trPr>
          <w:trHeight w:val="190"/>
        </w:trPr>
        <w:tc>
          <w:tcPr>
            <w:tcW w:w="3760" w:type="dxa"/>
            <w:vAlign w:val="bottom"/>
            <w:shd w:val="clear" w:color="auto" w:fill="EDEDED"/>
          </w:tcPr>
          <w:p>
            <w:pPr>
              <w:spacing w:after="0"/>
              <w:rPr>
                <w:sz w:val="16"/>
                <w:szCs w:val="16"/>
                <w:color w:val="auto"/>
              </w:rPr>
            </w:pPr>
          </w:p>
        </w:tc>
        <w:tc>
          <w:tcPr>
            <w:tcW w:w="120" w:type="dxa"/>
            <w:vAlign w:val="bottom"/>
            <w:shd w:val="clear" w:color="auto" w:fill="EDEDED"/>
          </w:tcPr>
          <w:p>
            <w:pPr>
              <w:spacing w:after="0"/>
              <w:rPr>
                <w:sz w:val="16"/>
                <w:szCs w:val="16"/>
                <w:color w:val="auto"/>
              </w:rPr>
            </w:pPr>
          </w:p>
        </w:tc>
        <w:tc>
          <w:tcPr>
            <w:tcW w:w="64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2/15/2022</w:t>
            </w:r>
          </w:p>
        </w:tc>
        <w:tc>
          <w:tcPr>
            <w:tcW w:w="100" w:type="dxa"/>
            <w:vAlign w:val="bottom"/>
            <w:shd w:val="clear" w:color="auto" w:fill="EDEDED"/>
          </w:tcPr>
          <w:p>
            <w:pPr>
              <w:spacing w:after="0"/>
              <w:rPr>
                <w:sz w:val="16"/>
                <w:szCs w:val="16"/>
                <w:color w:val="auto"/>
              </w:rPr>
            </w:pPr>
          </w:p>
        </w:tc>
        <w:tc>
          <w:tcPr>
            <w:tcW w:w="640" w:type="dxa"/>
            <w:vAlign w:val="bottom"/>
            <w:shd w:val="clear" w:color="auto" w:fill="EDEDED"/>
          </w:tcPr>
          <w:p>
            <w:pPr>
              <w:spacing w:after="0"/>
              <w:rPr>
                <w:sz w:val="16"/>
                <w:szCs w:val="16"/>
                <w:color w:val="auto"/>
              </w:rPr>
            </w:pPr>
          </w:p>
        </w:tc>
        <w:tc>
          <w:tcPr>
            <w:tcW w:w="860" w:type="dxa"/>
            <w:vAlign w:val="bottom"/>
            <w:shd w:val="clear" w:color="auto" w:fill="EDEDED"/>
          </w:tcPr>
          <w:p>
            <w:pPr>
              <w:spacing w:after="0"/>
              <w:rPr>
                <w:sz w:val="16"/>
                <w:szCs w:val="16"/>
                <w:color w:val="auto"/>
              </w:rPr>
            </w:pPr>
          </w:p>
        </w:tc>
        <w:tc>
          <w:tcPr>
            <w:tcW w:w="640" w:type="dxa"/>
            <w:vAlign w:val="bottom"/>
            <w:shd w:val="clear" w:color="auto" w:fill="EDEDED"/>
          </w:tcPr>
          <w:p>
            <w:pPr>
              <w:spacing w:after="0"/>
              <w:rPr>
                <w:sz w:val="16"/>
                <w:szCs w:val="16"/>
                <w:color w:val="auto"/>
              </w:rPr>
            </w:pPr>
          </w:p>
        </w:tc>
        <w:tc>
          <w:tcPr>
            <w:tcW w:w="780" w:type="dxa"/>
            <w:vAlign w:val="bottom"/>
            <w:shd w:val="clear" w:color="auto" w:fill="EDEDED"/>
          </w:tcPr>
          <w:p>
            <w:pPr>
              <w:spacing w:after="0"/>
              <w:rPr>
                <w:sz w:val="16"/>
                <w:szCs w:val="16"/>
                <w:color w:val="auto"/>
              </w:rPr>
            </w:pPr>
          </w:p>
        </w:tc>
        <w:tc>
          <w:tcPr>
            <w:tcW w:w="680" w:type="dxa"/>
            <w:vAlign w:val="bottom"/>
            <w:shd w:val="clear" w:color="auto" w:fill="EDEDED"/>
          </w:tcPr>
          <w:p>
            <w:pPr>
              <w:spacing w:after="0"/>
              <w:rPr>
                <w:sz w:val="16"/>
                <w:szCs w:val="16"/>
                <w:color w:val="auto"/>
              </w:rPr>
            </w:pPr>
          </w:p>
        </w:tc>
        <w:tc>
          <w:tcPr>
            <w:tcW w:w="740" w:type="dxa"/>
            <w:vAlign w:val="bottom"/>
            <w:shd w:val="clear" w:color="auto" w:fill="EDEDED"/>
          </w:tcPr>
          <w:p>
            <w:pPr>
              <w:spacing w:after="0"/>
              <w:rPr>
                <w:sz w:val="16"/>
                <w:szCs w:val="16"/>
                <w:color w:val="auto"/>
              </w:rPr>
            </w:pPr>
          </w:p>
        </w:tc>
        <w:tc>
          <w:tcPr>
            <w:tcW w:w="680" w:type="dxa"/>
            <w:vAlign w:val="bottom"/>
            <w:shd w:val="clear" w:color="auto" w:fill="EDEDED"/>
          </w:tcPr>
          <w:p>
            <w:pPr>
              <w:spacing w:after="0"/>
              <w:rPr>
                <w:sz w:val="16"/>
                <w:szCs w:val="16"/>
                <w:color w:val="auto"/>
              </w:rPr>
            </w:pPr>
          </w:p>
        </w:tc>
        <w:tc>
          <w:tcPr>
            <w:tcW w:w="70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3,030</w:t>
            </w:r>
          </w:p>
        </w:tc>
        <w:tc>
          <w:tcPr>
            <w:tcW w:w="68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65,963</w:t>
            </w:r>
          </w:p>
        </w:tc>
        <w:tc>
          <w:tcPr>
            <w:tcW w:w="0" w:type="dxa"/>
            <w:vAlign w:val="bottom"/>
          </w:tcPr>
          <w:p>
            <w:pPr>
              <w:spacing w:after="0"/>
              <w:rPr>
                <w:sz w:val="1"/>
                <w:szCs w:val="1"/>
                <w:color w:val="auto"/>
              </w:rPr>
            </w:pPr>
          </w:p>
        </w:tc>
      </w:tr>
      <w:tr>
        <w:trPr>
          <w:trHeight w:val="189"/>
        </w:trPr>
        <w:tc>
          <w:tcPr>
            <w:tcW w:w="3760" w:type="dxa"/>
            <w:vAlign w:val="bottom"/>
            <w:tcBorders>
              <w:bottom w:val="single" w:sz="8" w:color="auto"/>
            </w:tcBorders>
            <w:shd w:val="clear" w:color="auto" w:fill="EDEDED"/>
          </w:tcPr>
          <w:p>
            <w:pPr>
              <w:spacing w:after="0"/>
              <w:rPr>
                <w:sz w:val="16"/>
                <w:szCs w:val="16"/>
                <w:color w:val="auto"/>
              </w:rPr>
            </w:pPr>
          </w:p>
        </w:tc>
        <w:tc>
          <w:tcPr>
            <w:tcW w:w="120" w:type="dxa"/>
            <w:vAlign w:val="bottom"/>
            <w:tcBorders>
              <w:bottom w:val="single" w:sz="8" w:color="auto"/>
            </w:tcBorders>
            <w:shd w:val="clear" w:color="auto" w:fill="EDEDED"/>
          </w:tcPr>
          <w:p>
            <w:pPr>
              <w:spacing w:after="0"/>
              <w:rPr>
                <w:sz w:val="16"/>
                <w:szCs w:val="16"/>
                <w:color w:val="auto"/>
              </w:rPr>
            </w:pPr>
          </w:p>
        </w:tc>
        <w:tc>
          <w:tcPr>
            <w:tcW w:w="640" w:type="dxa"/>
            <w:vAlign w:val="bottom"/>
            <w:tcBorders>
              <w:bottom w:val="single" w:sz="8" w:color="auto"/>
            </w:tcBorders>
            <w:shd w:val="clear" w:color="auto" w:fill="EDEDED"/>
          </w:tcPr>
          <w:p>
            <w:pPr>
              <w:jc w:val="center"/>
              <w:spacing w:after="0"/>
              <w:rPr>
                <w:sz w:val="20"/>
                <w:szCs w:val="20"/>
                <w:color w:val="auto"/>
              </w:rPr>
            </w:pPr>
            <w:r>
              <w:rPr>
                <w:rFonts w:ascii="Arial" w:cs="Arial" w:eastAsia="Arial" w:hAnsi="Arial"/>
                <w:sz w:val="14"/>
                <w:szCs w:val="14"/>
                <w:color w:val="auto"/>
              </w:rPr>
              <w:t>6/15/2022</w:t>
            </w:r>
          </w:p>
        </w:tc>
        <w:tc>
          <w:tcPr>
            <w:tcW w:w="100" w:type="dxa"/>
            <w:vAlign w:val="bottom"/>
            <w:tcBorders>
              <w:bottom w:val="single" w:sz="8" w:color="auto"/>
            </w:tcBorders>
            <w:shd w:val="clear" w:color="auto" w:fill="EDEDED"/>
          </w:tcPr>
          <w:p>
            <w:pPr>
              <w:spacing w:after="0"/>
              <w:rPr>
                <w:sz w:val="16"/>
                <w:szCs w:val="16"/>
                <w:color w:val="auto"/>
              </w:rPr>
            </w:pPr>
          </w:p>
        </w:tc>
        <w:tc>
          <w:tcPr>
            <w:tcW w:w="640" w:type="dxa"/>
            <w:vAlign w:val="bottom"/>
            <w:tcBorders>
              <w:bottom w:val="single" w:sz="8" w:color="auto"/>
            </w:tcBorders>
            <w:shd w:val="clear" w:color="auto" w:fill="EDEDED"/>
          </w:tcPr>
          <w:p>
            <w:pPr>
              <w:spacing w:after="0"/>
              <w:rPr>
                <w:sz w:val="16"/>
                <w:szCs w:val="16"/>
                <w:color w:val="auto"/>
              </w:rPr>
            </w:pPr>
          </w:p>
        </w:tc>
        <w:tc>
          <w:tcPr>
            <w:tcW w:w="860" w:type="dxa"/>
            <w:vAlign w:val="bottom"/>
            <w:tcBorders>
              <w:bottom w:val="single" w:sz="8" w:color="auto"/>
            </w:tcBorders>
            <w:shd w:val="clear" w:color="auto" w:fill="EDEDED"/>
          </w:tcPr>
          <w:p>
            <w:pPr>
              <w:spacing w:after="0"/>
              <w:rPr>
                <w:sz w:val="16"/>
                <w:szCs w:val="16"/>
                <w:color w:val="auto"/>
              </w:rPr>
            </w:pPr>
          </w:p>
        </w:tc>
        <w:tc>
          <w:tcPr>
            <w:tcW w:w="640" w:type="dxa"/>
            <w:vAlign w:val="bottom"/>
            <w:tcBorders>
              <w:bottom w:val="single" w:sz="8" w:color="auto"/>
            </w:tcBorders>
            <w:shd w:val="clear" w:color="auto" w:fill="EDEDED"/>
          </w:tcPr>
          <w:p>
            <w:pPr>
              <w:spacing w:after="0"/>
              <w:rPr>
                <w:sz w:val="16"/>
                <w:szCs w:val="16"/>
                <w:color w:val="auto"/>
              </w:rPr>
            </w:pPr>
          </w:p>
        </w:tc>
        <w:tc>
          <w:tcPr>
            <w:tcW w:w="780" w:type="dxa"/>
            <w:vAlign w:val="bottom"/>
            <w:tcBorders>
              <w:bottom w:val="single" w:sz="8" w:color="auto"/>
            </w:tcBorders>
            <w:shd w:val="clear" w:color="auto" w:fill="EDEDED"/>
          </w:tcPr>
          <w:p>
            <w:pPr>
              <w:spacing w:after="0"/>
              <w:rPr>
                <w:sz w:val="16"/>
                <w:szCs w:val="16"/>
                <w:color w:val="auto"/>
              </w:rPr>
            </w:pPr>
          </w:p>
        </w:tc>
        <w:tc>
          <w:tcPr>
            <w:tcW w:w="680" w:type="dxa"/>
            <w:vAlign w:val="bottom"/>
            <w:tcBorders>
              <w:bottom w:val="single" w:sz="8" w:color="auto"/>
            </w:tcBorders>
            <w:shd w:val="clear" w:color="auto" w:fill="EDEDED"/>
          </w:tcPr>
          <w:p>
            <w:pPr>
              <w:spacing w:after="0"/>
              <w:rPr>
                <w:sz w:val="16"/>
                <w:szCs w:val="16"/>
                <w:color w:val="auto"/>
              </w:rPr>
            </w:pPr>
          </w:p>
        </w:tc>
        <w:tc>
          <w:tcPr>
            <w:tcW w:w="740" w:type="dxa"/>
            <w:vAlign w:val="bottom"/>
            <w:tcBorders>
              <w:bottom w:val="single" w:sz="8" w:color="auto"/>
            </w:tcBorders>
            <w:shd w:val="clear" w:color="auto" w:fill="EDEDED"/>
          </w:tcPr>
          <w:p>
            <w:pPr>
              <w:spacing w:after="0"/>
              <w:rPr>
                <w:sz w:val="16"/>
                <w:szCs w:val="16"/>
                <w:color w:val="auto"/>
              </w:rPr>
            </w:pPr>
          </w:p>
        </w:tc>
        <w:tc>
          <w:tcPr>
            <w:tcW w:w="680" w:type="dxa"/>
            <w:vAlign w:val="bottom"/>
            <w:tcBorders>
              <w:bottom w:val="single" w:sz="8" w:color="auto"/>
            </w:tcBorders>
            <w:shd w:val="clear" w:color="auto" w:fill="EDEDED"/>
          </w:tcPr>
          <w:p>
            <w:pPr>
              <w:spacing w:after="0"/>
              <w:rPr>
                <w:sz w:val="16"/>
                <w:szCs w:val="16"/>
                <w:color w:val="auto"/>
              </w:rPr>
            </w:pPr>
          </w:p>
        </w:tc>
        <w:tc>
          <w:tcPr>
            <w:tcW w:w="700" w:type="dxa"/>
            <w:vAlign w:val="bottom"/>
            <w:tcBorders>
              <w:bottom w:val="single" w:sz="8" w:color="auto"/>
            </w:tcBorders>
            <w:shd w:val="clear" w:color="auto" w:fill="EDEDED"/>
          </w:tcPr>
          <w:p>
            <w:pPr>
              <w:jc w:val="center"/>
              <w:spacing w:after="0"/>
              <w:rPr>
                <w:sz w:val="20"/>
                <w:szCs w:val="20"/>
                <w:color w:val="auto"/>
              </w:rPr>
            </w:pPr>
            <w:r>
              <w:rPr>
                <w:rFonts w:ascii="Arial" w:cs="Arial" w:eastAsia="Arial" w:hAnsi="Arial"/>
                <w:sz w:val="14"/>
                <w:szCs w:val="14"/>
                <w:color w:val="auto"/>
              </w:rPr>
              <w:t>10,971</w:t>
            </w:r>
          </w:p>
        </w:tc>
        <w:tc>
          <w:tcPr>
            <w:tcW w:w="680" w:type="dxa"/>
            <w:vAlign w:val="bottom"/>
            <w:tcBorders>
              <w:bottom w:val="single" w:sz="8" w:color="auto"/>
            </w:tcBorders>
            <w:shd w:val="clear" w:color="auto" w:fill="EDEDED"/>
          </w:tcPr>
          <w:p>
            <w:pPr>
              <w:jc w:val="center"/>
              <w:spacing w:after="0"/>
              <w:rPr>
                <w:sz w:val="20"/>
                <w:szCs w:val="20"/>
                <w:color w:val="auto"/>
              </w:rPr>
            </w:pPr>
            <w:r>
              <w:rPr>
                <w:rFonts w:ascii="Arial" w:cs="Arial" w:eastAsia="Arial" w:hAnsi="Arial"/>
                <w:sz w:val="14"/>
                <w:szCs w:val="14"/>
                <w:color w:val="auto"/>
              </w:rPr>
              <w:t>200,001</w:t>
            </w:r>
          </w:p>
        </w:tc>
        <w:tc>
          <w:tcPr>
            <w:tcW w:w="0" w:type="dxa"/>
            <w:vAlign w:val="bottom"/>
          </w:tcPr>
          <w:p>
            <w:pPr>
              <w:spacing w:after="0"/>
              <w:rPr>
                <w:sz w:val="1"/>
                <w:szCs w:val="1"/>
                <w:color w:val="auto"/>
              </w:rPr>
            </w:pPr>
          </w:p>
        </w:tc>
      </w:tr>
    </w:tbl>
    <w:p>
      <w:pPr>
        <w:ind w:left="440" w:hanging="324"/>
        <w:spacing w:after="0" w:line="236" w:lineRule="auto"/>
        <w:tabs>
          <w:tab w:leader="none" w:pos="440" w:val="left"/>
        </w:tabs>
        <w:numPr>
          <w:ilvl w:val="0"/>
          <w:numId w:val="54"/>
        </w:numPr>
        <w:rPr>
          <w:rFonts w:ascii="Arial" w:cs="Arial" w:eastAsia="Arial" w:hAnsi="Arial"/>
          <w:sz w:val="19"/>
          <w:szCs w:val="19"/>
          <w:color w:val="auto"/>
          <w:vertAlign w:val="superscript"/>
        </w:rPr>
      </w:pPr>
      <w:r>
        <w:rPr>
          <w:rFonts w:ascii="Arial" w:cs="Arial" w:eastAsia="Arial" w:hAnsi="Arial"/>
          <w:sz w:val="13"/>
          <w:szCs w:val="13"/>
          <w:color w:val="auto"/>
        </w:rPr>
        <w:t>The Company has not granted stock options since 2004, including 2022. Accordingly, this column has been eliminated from the table.</w:t>
      </w:r>
    </w:p>
    <w:p>
      <w:pPr>
        <w:spacing w:after="0" w:line="49" w:lineRule="exact"/>
        <w:rPr>
          <w:rFonts w:ascii="Arial" w:cs="Arial" w:eastAsia="Arial" w:hAnsi="Arial"/>
          <w:sz w:val="19"/>
          <w:szCs w:val="19"/>
          <w:color w:val="auto"/>
          <w:vertAlign w:val="superscript"/>
        </w:rPr>
      </w:pPr>
    </w:p>
    <w:p>
      <w:pPr>
        <w:ind w:left="440" w:right="420" w:hanging="324"/>
        <w:spacing w:after="0" w:line="188" w:lineRule="auto"/>
        <w:tabs>
          <w:tab w:leader="none" w:pos="440" w:val="left"/>
        </w:tabs>
        <w:numPr>
          <w:ilvl w:val="0"/>
          <w:numId w:val="54"/>
        </w:numPr>
        <w:rPr>
          <w:rFonts w:ascii="Arial" w:cs="Arial" w:eastAsia="Arial" w:hAnsi="Arial"/>
          <w:sz w:val="19"/>
          <w:szCs w:val="19"/>
          <w:color w:val="auto"/>
          <w:vertAlign w:val="superscript"/>
        </w:rPr>
      </w:pPr>
      <w:r>
        <w:rPr>
          <w:rFonts w:ascii="Arial" w:cs="Arial" w:eastAsia="Arial" w:hAnsi="Arial"/>
          <w:sz w:val="13"/>
          <w:szCs w:val="13"/>
          <w:color w:val="auto"/>
        </w:rPr>
        <w:t>Long-term incentive grants to named executive officers, consisting of Restricted Stock Awards/Units and Performance Shares, were approved by the Committee at its February 15, 2022 meeting.</w:t>
      </w:r>
    </w:p>
    <w:p>
      <w:pPr>
        <w:ind w:left="440" w:hanging="324"/>
        <w:spacing w:after="0" w:line="222" w:lineRule="auto"/>
        <w:tabs>
          <w:tab w:leader="none" w:pos="440" w:val="left"/>
        </w:tabs>
        <w:numPr>
          <w:ilvl w:val="0"/>
          <w:numId w:val="54"/>
        </w:numPr>
        <w:rPr>
          <w:rFonts w:ascii="Arial" w:cs="Arial" w:eastAsia="Arial" w:hAnsi="Arial"/>
          <w:sz w:val="19"/>
          <w:szCs w:val="19"/>
          <w:color w:val="auto"/>
          <w:vertAlign w:val="superscript"/>
        </w:rPr>
      </w:pPr>
      <w:r>
        <w:rPr>
          <w:rFonts w:ascii="Arial" w:cs="Arial" w:eastAsia="Arial" w:hAnsi="Arial"/>
          <w:sz w:val="13"/>
          <w:szCs w:val="13"/>
          <w:color w:val="auto"/>
        </w:rPr>
        <w:t>On May 17, 2022, the Committee approved a Restricted Stock Award to Mr. Simons, with an effective date of June 15, 2022.</w:t>
      </w:r>
    </w:p>
    <w:p>
      <w:pPr>
        <w:spacing w:after="0" w:line="48" w:lineRule="exact"/>
        <w:rPr>
          <w:rFonts w:ascii="Arial" w:cs="Arial" w:eastAsia="Arial" w:hAnsi="Arial"/>
          <w:sz w:val="19"/>
          <w:szCs w:val="19"/>
          <w:color w:val="auto"/>
          <w:vertAlign w:val="superscript"/>
        </w:rPr>
      </w:pPr>
    </w:p>
    <w:p>
      <w:pPr>
        <w:ind w:left="440" w:right="20" w:hanging="324"/>
        <w:spacing w:after="0" w:line="196" w:lineRule="auto"/>
        <w:tabs>
          <w:tab w:leader="none" w:pos="440" w:val="left"/>
        </w:tabs>
        <w:numPr>
          <w:ilvl w:val="0"/>
          <w:numId w:val="54"/>
        </w:numPr>
        <w:rPr>
          <w:rFonts w:ascii="Arial" w:cs="Arial" w:eastAsia="Arial" w:hAnsi="Arial"/>
          <w:sz w:val="19"/>
          <w:szCs w:val="19"/>
          <w:color w:val="auto"/>
          <w:vertAlign w:val="superscript"/>
        </w:rPr>
      </w:pPr>
      <w:r>
        <w:rPr>
          <w:rFonts w:ascii="Arial" w:cs="Arial" w:eastAsia="Arial" w:hAnsi="Arial"/>
          <w:sz w:val="13"/>
          <w:szCs w:val="13"/>
          <w:color w:val="auto"/>
        </w:rPr>
        <w:t>Shown are the Threshold, Target, and Maximum payouts for which each executive was eligible under our STIP with respect to fiscal 2022 performance. Amounts actually earned with respect to these awards are included in the Summary Compensation Table as Non-Equity Incentive Plan compensation. Further detail regarding actual 2022 STIP awards appear in the Compensation Discussion &amp; Analysis.</w:t>
      </w:r>
    </w:p>
    <w:p>
      <w:pPr>
        <w:spacing w:after="0" w:line="37" w:lineRule="exact"/>
        <w:rPr>
          <w:rFonts w:ascii="Arial" w:cs="Arial" w:eastAsia="Arial" w:hAnsi="Arial"/>
          <w:sz w:val="19"/>
          <w:szCs w:val="19"/>
          <w:color w:val="auto"/>
          <w:vertAlign w:val="superscript"/>
        </w:rPr>
      </w:pPr>
    </w:p>
    <w:p>
      <w:pPr>
        <w:ind w:left="440" w:right="300" w:hanging="324"/>
        <w:spacing w:after="0" w:line="205" w:lineRule="auto"/>
        <w:tabs>
          <w:tab w:leader="none" w:pos="440" w:val="left"/>
        </w:tabs>
        <w:numPr>
          <w:ilvl w:val="0"/>
          <w:numId w:val="54"/>
        </w:numPr>
        <w:rPr>
          <w:rFonts w:ascii="Arial" w:cs="Arial" w:eastAsia="Arial" w:hAnsi="Arial"/>
          <w:sz w:val="19"/>
          <w:szCs w:val="19"/>
          <w:color w:val="auto"/>
          <w:vertAlign w:val="superscript"/>
        </w:rPr>
      </w:pPr>
      <w:r>
        <w:rPr>
          <w:rFonts w:ascii="Arial" w:cs="Arial" w:eastAsia="Arial" w:hAnsi="Arial"/>
          <w:sz w:val="13"/>
          <w:szCs w:val="13"/>
          <w:color w:val="auto"/>
        </w:rPr>
        <w:t>Performance Shares granted in 2022 are earned based upon achievement of two financial measures. These two measures are equally weighted. Achievement of a threshold level of performance on either measure results in 50% of the target shares for that measure being earned. Achievement of the target level of performance on either measure results in 100% of the target shares for that measure being earned. Achievement of the maximum level performance on either measure results in 200% of the target shares for that measure being earned by the named executive officer. Achievement between these levels for each measure is interpolated on a straight-line basis.</w:t>
      </w:r>
    </w:p>
    <w:p>
      <w:pPr>
        <w:spacing w:after="0" w:line="110" w:lineRule="exact"/>
        <w:rPr>
          <w:sz w:val="20"/>
          <w:szCs w:val="20"/>
          <w:color w:val="auto"/>
        </w:rPr>
      </w:pPr>
    </w:p>
    <w:p>
      <w:pPr>
        <w:ind w:left="10820"/>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1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-142875</wp:posOffset>
            </wp:positionV>
            <wp:extent cx="411480" cy="1968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2022 Executive Compensation Tables</w:t>
      </w:r>
    </w:p>
    <w:p>
      <w:pPr>
        <w:spacing w:after="0" w:line="139" w:lineRule="exact"/>
        <w:rPr>
          <w:sz w:val="20"/>
          <w:szCs w:val="20"/>
          <w:color w:val="auto"/>
        </w:rPr>
      </w:pPr>
    </w:p>
    <w:p>
      <w:pPr>
        <w:ind w:left="440" w:right="520" w:hanging="324"/>
        <w:spacing w:after="0" w:line="196" w:lineRule="auto"/>
        <w:tabs>
          <w:tab w:leader="none" w:pos="440" w:val="left"/>
        </w:tabs>
        <w:numPr>
          <w:ilvl w:val="0"/>
          <w:numId w:val="55"/>
        </w:numPr>
        <w:rPr>
          <w:rFonts w:ascii="Arial" w:cs="Arial" w:eastAsia="Arial" w:hAnsi="Arial"/>
          <w:sz w:val="19"/>
          <w:szCs w:val="19"/>
          <w:color w:val="auto"/>
          <w:vertAlign w:val="superscript"/>
        </w:rPr>
      </w:pPr>
      <w:r>
        <w:rPr>
          <w:rFonts w:ascii="Arial" w:cs="Arial" w:eastAsia="Arial" w:hAnsi="Arial"/>
          <w:sz w:val="13"/>
          <w:szCs w:val="13"/>
          <w:color w:val="auto"/>
        </w:rPr>
        <w:t>Restricted Stock Awards/Units granted on February 15, 2022 vest ratably on each of the first four anniversaries of the date of grant (25% per year). Restricted Stock Awards granted to Mr. Simons on June 15, 2022 will cliff vest on the second anniversary of the date of grant.</w:t>
      </w:r>
    </w:p>
    <w:p>
      <w:pPr>
        <w:spacing w:after="0" w:line="36" w:lineRule="exact"/>
        <w:rPr>
          <w:rFonts w:ascii="Arial" w:cs="Arial" w:eastAsia="Arial" w:hAnsi="Arial"/>
          <w:sz w:val="19"/>
          <w:szCs w:val="19"/>
          <w:color w:val="auto"/>
          <w:vertAlign w:val="superscript"/>
        </w:rPr>
      </w:pPr>
    </w:p>
    <w:p>
      <w:pPr>
        <w:ind w:left="440" w:right="20" w:hanging="324"/>
        <w:spacing w:after="0" w:line="205" w:lineRule="auto"/>
        <w:tabs>
          <w:tab w:leader="none" w:pos="440" w:val="left"/>
        </w:tabs>
        <w:numPr>
          <w:ilvl w:val="0"/>
          <w:numId w:val="55"/>
        </w:numPr>
        <w:rPr>
          <w:rFonts w:ascii="Arial" w:cs="Arial" w:eastAsia="Arial" w:hAnsi="Arial"/>
          <w:sz w:val="19"/>
          <w:szCs w:val="19"/>
          <w:color w:val="auto"/>
          <w:vertAlign w:val="superscript"/>
        </w:rPr>
      </w:pPr>
      <w:r>
        <w:rPr>
          <w:rFonts w:ascii="Arial" w:cs="Arial" w:eastAsia="Arial" w:hAnsi="Arial"/>
          <w:sz w:val="13"/>
          <w:szCs w:val="13"/>
          <w:color w:val="auto"/>
        </w:rPr>
        <w:t>The grant date fair values reported for 2022 are determined by multiplying the number of shares granted by the Market Value (“MV”) on the grant date. MV for Restricted Stock is determined by the closing price on the date of grant. MV for Performance Shares is determined by the closing stock price on the date of grant, discounted because these shares are not eligible for dividends. The MV for the Restricted Stock granted to all named officers on February 15, 2022 is $21.77 and to Mr. Simons on June 15, 2022 is $18.23. The MV for Performance Shares granted to all named officers on February 15, 2022 is $21.19.</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Outstanding Equity Awards at Fiscal Year End 2022</w:t>
      </w:r>
      <w:r>
        <w:rPr>
          <w:rFonts w:ascii="Arial" w:cs="Arial" w:eastAsia="Arial" w:hAnsi="Arial"/>
          <w:sz w:val="16"/>
          <w:szCs w:val="16"/>
          <w:b w:val="1"/>
          <w:bCs w:val="1"/>
          <w:color w:val="auto"/>
        </w:rPr>
        <w:t>(1)</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3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940" w:type="dxa"/>
            <w:vAlign w:val="bottom"/>
          </w:tcPr>
          <w:p>
            <w:pPr>
              <w:ind w:left="200"/>
              <w:spacing w:after="0"/>
              <w:rPr>
                <w:sz w:val="20"/>
                <w:szCs w:val="20"/>
                <w:color w:val="auto"/>
              </w:rPr>
            </w:pPr>
            <w:r>
              <w:rPr>
                <w:rFonts w:ascii="Arial" w:cs="Arial" w:eastAsia="Arial" w:hAnsi="Arial"/>
                <w:sz w:val="14"/>
                <w:szCs w:val="14"/>
                <w:b w:val="1"/>
                <w:bCs w:val="1"/>
                <w:color w:val="00AF41"/>
              </w:rPr>
              <w:t>Stock Awards</w:t>
            </w:r>
          </w:p>
        </w:tc>
        <w:tc>
          <w:tcPr>
            <w:tcW w:w="1620" w:type="dxa"/>
            <w:vAlign w:val="bottom"/>
          </w:tcPr>
          <w:p>
            <w:pPr>
              <w:spacing w:after="0"/>
              <w:rPr>
                <w:sz w:val="17"/>
                <w:szCs w:val="17"/>
                <w:color w:val="auto"/>
              </w:rPr>
            </w:pPr>
          </w:p>
        </w:tc>
      </w:tr>
      <w:tr>
        <w:trPr>
          <w:trHeight w:val="43"/>
        </w:trPr>
        <w:tc>
          <w:tcPr>
            <w:tcW w:w="39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146"/>
        </w:trPr>
        <w:tc>
          <w:tcPr>
            <w:tcW w:w="3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20" w:type="dxa"/>
            <w:vAlign w:val="bottom"/>
          </w:tcPr>
          <w:p>
            <w:pPr>
              <w:jc w:val="center"/>
              <w:ind w:left="68"/>
              <w:spacing w:after="0" w:line="147" w:lineRule="exact"/>
              <w:rPr>
                <w:sz w:val="20"/>
                <w:szCs w:val="20"/>
                <w:color w:val="auto"/>
              </w:rPr>
            </w:pPr>
            <w:r>
              <w:rPr>
                <w:rFonts w:ascii="Arial" w:cs="Arial" w:eastAsia="Arial" w:hAnsi="Arial"/>
                <w:sz w:val="14"/>
                <w:szCs w:val="14"/>
                <w:b w:val="1"/>
                <w:bCs w:val="1"/>
                <w:color w:val="00AF41"/>
              </w:rPr>
              <w:t>Equity Incentive Plan</w:t>
            </w:r>
          </w:p>
        </w:tc>
      </w:tr>
      <w:tr>
        <w:trPr>
          <w:trHeight w:val="162"/>
        </w:trPr>
        <w:tc>
          <w:tcPr>
            <w:tcW w:w="3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jc w:val="center"/>
              <w:ind w:left="68"/>
              <w:spacing w:after="0"/>
              <w:rPr>
                <w:sz w:val="20"/>
                <w:szCs w:val="20"/>
                <w:color w:val="auto"/>
              </w:rPr>
            </w:pPr>
            <w:r>
              <w:rPr>
                <w:rFonts w:ascii="Arial" w:cs="Arial" w:eastAsia="Arial" w:hAnsi="Arial"/>
                <w:sz w:val="14"/>
                <w:szCs w:val="14"/>
                <w:b w:val="1"/>
                <w:bCs w:val="1"/>
                <w:color w:val="00AF41"/>
              </w:rPr>
              <w:t>Number of</w:t>
            </w:r>
          </w:p>
        </w:tc>
        <w:tc>
          <w:tcPr>
            <w:tcW w:w="1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20" w:type="dxa"/>
            <w:vAlign w:val="bottom"/>
          </w:tcPr>
          <w:p>
            <w:pPr>
              <w:jc w:val="center"/>
              <w:ind w:left="68"/>
              <w:spacing w:after="0"/>
              <w:rPr>
                <w:sz w:val="20"/>
                <w:szCs w:val="20"/>
                <w:color w:val="auto"/>
              </w:rPr>
            </w:pPr>
            <w:r>
              <w:rPr>
                <w:rFonts w:ascii="Arial" w:cs="Arial" w:eastAsia="Arial" w:hAnsi="Arial"/>
                <w:sz w:val="14"/>
                <w:szCs w:val="14"/>
                <w:b w:val="1"/>
                <w:bCs w:val="1"/>
                <w:color w:val="00AF41"/>
              </w:rPr>
              <w:t>Awards: Market or</w:t>
            </w:r>
          </w:p>
        </w:tc>
      </w:tr>
      <w:tr>
        <w:trPr>
          <w:trHeight w:val="162"/>
        </w:trPr>
        <w:tc>
          <w:tcPr>
            <w:tcW w:w="3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jc w:val="center"/>
              <w:ind w:left="88"/>
              <w:spacing w:after="0"/>
              <w:rPr>
                <w:sz w:val="20"/>
                <w:szCs w:val="20"/>
                <w:color w:val="auto"/>
              </w:rPr>
            </w:pPr>
            <w:r>
              <w:rPr>
                <w:rFonts w:ascii="Arial" w:cs="Arial" w:eastAsia="Arial" w:hAnsi="Arial"/>
                <w:sz w:val="14"/>
                <w:szCs w:val="14"/>
                <w:b w:val="1"/>
                <w:bCs w:val="1"/>
                <w:color w:val="00AF41"/>
              </w:rPr>
              <w:t>Shares or</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AF41"/>
              </w:rPr>
              <w:t>Market Value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00AF41"/>
              </w:rPr>
              <w:t>Equity Incentive Plan</w:t>
            </w:r>
          </w:p>
        </w:tc>
        <w:tc>
          <w:tcPr>
            <w:tcW w:w="1620" w:type="dxa"/>
            <w:vAlign w:val="bottom"/>
          </w:tcPr>
          <w:p>
            <w:pPr>
              <w:jc w:val="center"/>
              <w:ind w:left="68"/>
              <w:spacing w:after="0"/>
              <w:rPr>
                <w:sz w:val="20"/>
                <w:szCs w:val="20"/>
                <w:color w:val="auto"/>
              </w:rPr>
            </w:pPr>
            <w:r>
              <w:rPr>
                <w:rFonts w:ascii="Arial" w:cs="Arial" w:eastAsia="Arial" w:hAnsi="Arial"/>
                <w:sz w:val="14"/>
                <w:szCs w:val="14"/>
                <w:b w:val="1"/>
                <w:bCs w:val="1"/>
                <w:color w:val="00AF41"/>
              </w:rPr>
              <w:t>Payout Value of</w:t>
            </w:r>
          </w:p>
        </w:tc>
      </w:tr>
      <w:tr>
        <w:trPr>
          <w:trHeight w:val="162"/>
        </w:trPr>
        <w:tc>
          <w:tcPr>
            <w:tcW w:w="3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jc w:val="center"/>
              <w:ind w:left="88"/>
              <w:spacing w:after="0"/>
              <w:rPr>
                <w:sz w:val="20"/>
                <w:szCs w:val="20"/>
                <w:color w:val="auto"/>
              </w:rPr>
            </w:pPr>
            <w:r>
              <w:rPr>
                <w:rFonts w:ascii="Arial" w:cs="Arial" w:eastAsia="Arial" w:hAnsi="Arial"/>
                <w:sz w:val="14"/>
                <w:szCs w:val="14"/>
                <w:b w:val="1"/>
                <w:bCs w:val="1"/>
                <w:color w:val="00AF41"/>
              </w:rPr>
              <w:t>Units of</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AF41"/>
              </w:rPr>
              <w:t>of Shares or</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00AF41"/>
              </w:rPr>
              <w:t>Awards: Number of</w:t>
            </w:r>
          </w:p>
        </w:tc>
        <w:tc>
          <w:tcPr>
            <w:tcW w:w="1620" w:type="dxa"/>
            <w:vAlign w:val="bottom"/>
          </w:tcPr>
          <w:p>
            <w:pPr>
              <w:jc w:val="center"/>
              <w:ind w:left="88"/>
              <w:spacing w:after="0"/>
              <w:rPr>
                <w:sz w:val="20"/>
                <w:szCs w:val="20"/>
                <w:color w:val="auto"/>
              </w:rPr>
            </w:pPr>
            <w:r>
              <w:rPr>
                <w:rFonts w:ascii="Arial" w:cs="Arial" w:eastAsia="Arial" w:hAnsi="Arial"/>
                <w:sz w:val="14"/>
                <w:szCs w:val="14"/>
                <w:b w:val="1"/>
                <w:bCs w:val="1"/>
                <w:color w:val="00AF41"/>
              </w:rPr>
              <w:t>Unearned Shares,</w:t>
            </w:r>
          </w:p>
        </w:tc>
      </w:tr>
      <w:tr>
        <w:trPr>
          <w:trHeight w:val="162"/>
        </w:trPr>
        <w:tc>
          <w:tcPr>
            <w:tcW w:w="3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jc w:val="center"/>
              <w:ind w:left="88"/>
              <w:spacing w:after="0"/>
              <w:rPr>
                <w:sz w:val="20"/>
                <w:szCs w:val="20"/>
                <w:color w:val="auto"/>
              </w:rPr>
            </w:pPr>
            <w:r>
              <w:rPr>
                <w:rFonts w:ascii="Arial" w:cs="Arial" w:eastAsia="Arial" w:hAnsi="Arial"/>
                <w:sz w:val="14"/>
                <w:szCs w:val="14"/>
                <w:b w:val="1"/>
                <w:bCs w:val="1"/>
                <w:color w:val="00AF41"/>
              </w:rPr>
              <w:t>Stock That</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AF41"/>
              </w:rPr>
              <w:t>Units of Stock</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00AF41"/>
              </w:rPr>
              <w:t>Unearned Shares, Units</w:t>
            </w:r>
          </w:p>
        </w:tc>
        <w:tc>
          <w:tcPr>
            <w:tcW w:w="1620" w:type="dxa"/>
            <w:vAlign w:val="bottom"/>
          </w:tcPr>
          <w:p>
            <w:pPr>
              <w:jc w:val="center"/>
              <w:ind w:left="68"/>
              <w:spacing w:after="0"/>
              <w:rPr>
                <w:sz w:val="20"/>
                <w:szCs w:val="20"/>
                <w:color w:val="auto"/>
              </w:rPr>
            </w:pPr>
            <w:r>
              <w:rPr>
                <w:rFonts w:ascii="Arial" w:cs="Arial" w:eastAsia="Arial" w:hAnsi="Arial"/>
                <w:sz w:val="14"/>
                <w:szCs w:val="14"/>
                <w:b w:val="1"/>
                <w:bCs w:val="1"/>
                <w:color w:val="00AF41"/>
              </w:rPr>
              <w:t>Units or Other</w:t>
            </w:r>
          </w:p>
        </w:tc>
      </w:tr>
      <w:tr>
        <w:trPr>
          <w:trHeight w:val="158"/>
        </w:trPr>
        <w:tc>
          <w:tcPr>
            <w:tcW w:w="39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20" w:type="dxa"/>
            <w:vAlign w:val="bottom"/>
          </w:tcPr>
          <w:p>
            <w:pPr>
              <w:jc w:val="center"/>
              <w:ind w:left="88"/>
              <w:spacing w:after="0" w:line="158" w:lineRule="exact"/>
              <w:rPr>
                <w:sz w:val="20"/>
                <w:szCs w:val="20"/>
                <w:color w:val="auto"/>
              </w:rPr>
            </w:pPr>
            <w:r>
              <w:rPr>
                <w:rFonts w:ascii="Arial" w:cs="Arial" w:eastAsia="Arial" w:hAnsi="Arial"/>
                <w:sz w:val="14"/>
                <w:szCs w:val="14"/>
                <w:b w:val="1"/>
                <w:bCs w:val="1"/>
                <w:color w:val="00AF41"/>
              </w:rPr>
              <w:t>Have Not</w:t>
            </w:r>
          </w:p>
        </w:tc>
        <w:tc>
          <w:tcPr>
            <w:tcW w:w="1280" w:type="dxa"/>
            <w:vAlign w:val="bottom"/>
          </w:tcPr>
          <w:p>
            <w:pPr>
              <w:jc w:val="center"/>
              <w:spacing w:after="0" w:line="158" w:lineRule="exact"/>
              <w:rPr>
                <w:sz w:val="20"/>
                <w:szCs w:val="20"/>
                <w:color w:val="auto"/>
              </w:rPr>
            </w:pPr>
            <w:r>
              <w:rPr>
                <w:rFonts w:ascii="Arial" w:cs="Arial" w:eastAsia="Arial" w:hAnsi="Arial"/>
                <w:sz w:val="14"/>
                <w:szCs w:val="14"/>
                <w:b w:val="1"/>
                <w:bCs w:val="1"/>
                <w:color w:val="00AF41"/>
              </w:rPr>
              <w:t>That Have</w:t>
            </w:r>
          </w:p>
        </w:tc>
        <w:tc>
          <w:tcPr>
            <w:tcW w:w="1940" w:type="dxa"/>
            <w:vAlign w:val="bottom"/>
          </w:tcPr>
          <w:p>
            <w:pPr>
              <w:jc w:val="center"/>
              <w:spacing w:after="0" w:line="158" w:lineRule="exact"/>
              <w:rPr>
                <w:sz w:val="20"/>
                <w:szCs w:val="20"/>
                <w:color w:val="auto"/>
              </w:rPr>
            </w:pPr>
            <w:r>
              <w:rPr>
                <w:rFonts w:ascii="Arial" w:cs="Arial" w:eastAsia="Arial" w:hAnsi="Arial"/>
                <w:sz w:val="14"/>
                <w:szCs w:val="14"/>
                <w:b w:val="1"/>
                <w:bCs w:val="1"/>
                <w:color w:val="00AF41"/>
              </w:rPr>
              <w:t>or Other Rights That</w:t>
            </w:r>
          </w:p>
        </w:tc>
        <w:tc>
          <w:tcPr>
            <w:tcW w:w="1620" w:type="dxa"/>
            <w:vAlign w:val="bottom"/>
          </w:tcPr>
          <w:p>
            <w:pPr>
              <w:jc w:val="center"/>
              <w:ind w:left="88"/>
              <w:spacing w:after="0" w:line="158" w:lineRule="exact"/>
              <w:rPr>
                <w:sz w:val="20"/>
                <w:szCs w:val="20"/>
                <w:color w:val="auto"/>
              </w:rPr>
            </w:pPr>
            <w:r>
              <w:rPr>
                <w:rFonts w:ascii="Arial" w:cs="Arial" w:eastAsia="Arial" w:hAnsi="Arial"/>
                <w:sz w:val="14"/>
                <w:szCs w:val="14"/>
                <w:b w:val="1"/>
                <w:bCs w:val="1"/>
                <w:color w:val="00AF41"/>
              </w:rPr>
              <w:t>Rights That Have</w:t>
            </w:r>
          </w:p>
        </w:tc>
      </w:tr>
      <w:tr>
        <w:trPr>
          <w:trHeight w:val="166"/>
        </w:trPr>
        <w:tc>
          <w:tcPr>
            <w:tcW w:w="3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jc w:val="center"/>
              <w:ind w:left="68"/>
              <w:spacing w:after="0" w:line="166" w:lineRule="exact"/>
              <w:rPr>
                <w:sz w:val="20"/>
                <w:szCs w:val="20"/>
                <w:color w:val="auto"/>
              </w:rPr>
            </w:pPr>
            <w:r>
              <w:rPr>
                <w:rFonts w:ascii="Arial" w:cs="Arial" w:eastAsia="Arial" w:hAnsi="Arial"/>
                <w:sz w:val="13"/>
                <w:szCs w:val="13"/>
                <w:b w:val="1"/>
                <w:bCs w:val="1"/>
                <w:color w:val="00AF41"/>
                <w:w w:val="97"/>
              </w:rPr>
              <w:t>Vested</w:t>
            </w:r>
            <w:r>
              <w:rPr>
                <w:rFonts w:ascii="Arial" w:cs="Arial" w:eastAsia="Arial" w:hAnsi="Arial"/>
                <w:sz w:val="19"/>
                <w:szCs w:val="19"/>
                <w:b w:val="1"/>
                <w:bCs w:val="1"/>
                <w:color w:val="00AF41"/>
                <w:w w:val="97"/>
                <w:vertAlign w:val="superscript"/>
              </w:rPr>
              <w:t>(2)(3)</w:t>
            </w:r>
          </w:p>
        </w:tc>
        <w:tc>
          <w:tcPr>
            <w:tcW w:w="1280" w:type="dxa"/>
            <w:vAlign w:val="bottom"/>
          </w:tcPr>
          <w:p>
            <w:pPr>
              <w:jc w:val="center"/>
              <w:spacing w:after="0" w:line="166" w:lineRule="exact"/>
              <w:rPr>
                <w:sz w:val="20"/>
                <w:szCs w:val="20"/>
                <w:color w:val="auto"/>
              </w:rPr>
            </w:pPr>
            <w:r>
              <w:rPr>
                <w:rFonts w:ascii="Arial" w:cs="Arial" w:eastAsia="Arial" w:hAnsi="Arial"/>
                <w:sz w:val="13"/>
                <w:szCs w:val="13"/>
                <w:b w:val="1"/>
                <w:bCs w:val="1"/>
                <w:color w:val="00AF41"/>
              </w:rPr>
              <w:t>Not Vested</w:t>
            </w:r>
            <w:r>
              <w:rPr>
                <w:rFonts w:ascii="Arial" w:cs="Arial" w:eastAsia="Arial" w:hAnsi="Arial"/>
                <w:sz w:val="19"/>
                <w:szCs w:val="19"/>
                <w:b w:val="1"/>
                <w:bCs w:val="1"/>
                <w:color w:val="00AF41"/>
                <w:vertAlign w:val="superscript"/>
              </w:rPr>
              <w:t>(4)</w:t>
            </w:r>
          </w:p>
        </w:tc>
        <w:tc>
          <w:tcPr>
            <w:tcW w:w="1940" w:type="dxa"/>
            <w:vAlign w:val="bottom"/>
          </w:tcPr>
          <w:p>
            <w:pPr>
              <w:jc w:val="center"/>
              <w:spacing w:after="0" w:line="166" w:lineRule="exact"/>
              <w:rPr>
                <w:sz w:val="20"/>
                <w:szCs w:val="20"/>
                <w:color w:val="auto"/>
              </w:rPr>
            </w:pPr>
            <w:r>
              <w:rPr>
                <w:rFonts w:ascii="Arial" w:cs="Arial" w:eastAsia="Arial" w:hAnsi="Arial"/>
                <w:sz w:val="13"/>
                <w:szCs w:val="13"/>
                <w:b w:val="1"/>
                <w:bCs w:val="1"/>
                <w:color w:val="00AF41"/>
              </w:rPr>
              <w:t>Have Not Vested</w:t>
            </w:r>
            <w:r>
              <w:rPr>
                <w:rFonts w:ascii="Arial" w:cs="Arial" w:eastAsia="Arial" w:hAnsi="Arial"/>
                <w:sz w:val="19"/>
                <w:szCs w:val="19"/>
                <w:b w:val="1"/>
                <w:bCs w:val="1"/>
                <w:color w:val="00AF41"/>
                <w:vertAlign w:val="superscript"/>
              </w:rPr>
              <w:t>(4)</w:t>
            </w:r>
          </w:p>
        </w:tc>
        <w:tc>
          <w:tcPr>
            <w:tcW w:w="1620" w:type="dxa"/>
            <w:vAlign w:val="bottom"/>
          </w:tcPr>
          <w:p>
            <w:pPr>
              <w:jc w:val="center"/>
              <w:ind w:left="68"/>
              <w:spacing w:after="0" w:line="166" w:lineRule="exact"/>
              <w:rPr>
                <w:sz w:val="20"/>
                <w:szCs w:val="20"/>
                <w:color w:val="auto"/>
              </w:rPr>
            </w:pPr>
            <w:r>
              <w:rPr>
                <w:rFonts w:ascii="Arial" w:cs="Arial" w:eastAsia="Arial" w:hAnsi="Arial"/>
                <w:sz w:val="13"/>
                <w:szCs w:val="13"/>
                <w:b w:val="1"/>
                <w:bCs w:val="1"/>
                <w:color w:val="00AF41"/>
              </w:rPr>
              <w:t>Not Vested</w:t>
            </w:r>
            <w:r>
              <w:rPr>
                <w:rFonts w:ascii="Arial" w:cs="Arial" w:eastAsia="Arial" w:hAnsi="Arial"/>
                <w:sz w:val="19"/>
                <w:szCs w:val="19"/>
                <w:b w:val="1"/>
                <w:bCs w:val="1"/>
                <w:color w:val="00AF41"/>
                <w:vertAlign w:val="superscript"/>
              </w:rPr>
              <w:t>(5)</w:t>
            </w:r>
          </w:p>
        </w:tc>
      </w:tr>
      <w:tr>
        <w:trPr>
          <w:trHeight w:val="210"/>
        </w:trPr>
        <w:tc>
          <w:tcPr>
            <w:tcW w:w="3920" w:type="dxa"/>
            <w:vAlign w:val="bottom"/>
          </w:tcPr>
          <w:p>
            <w:pPr>
              <w:ind w:left="60"/>
              <w:spacing w:after="0"/>
              <w:rPr>
                <w:sz w:val="20"/>
                <w:szCs w:val="20"/>
                <w:color w:val="auto"/>
              </w:rPr>
            </w:pPr>
            <w:r>
              <w:rPr>
                <w:rFonts w:ascii="Arial" w:cs="Arial" w:eastAsia="Arial" w:hAnsi="Arial"/>
                <w:sz w:val="14"/>
                <w:szCs w:val="14"/>
                <w:b w:val="1"/>
                <w:bCs w:val="1"/>
                <w:color w:val="00AF41"/>
              </w:rPr>
              <w:t>Name</w:t>
            </w:r>
          </w:p>
        </w:tc>
        <w:tc>
          <w:tcPr>
            <w:tcW w:w="1040" w:type="dxa"/>
            <w:vAlign w:val="bottom"/>
          </w:tcPr>
          <w:p>
            <w:pPr>
              <w:jc w:val="center"/>
              <w:ind w:left="248"/>
              <w:spacing w:after="0"/>
              <w:rPr>
                <w:sz w:val="20"/>
                <w:szCs w:val="20"/>
                <w:color w:val="auto"/>
              </w:rPr>
            </w:pPr>
            <w:r>
              <w:rPr>
                <w:rFonts w:ascii="Arial" w:cs="Arial" w:eastAsia="Arial" w:hAnsi="Arial"/>
                <w:sz w:val="14"/>
                <w:szCs w:val="14"/>
                <w:b w:val="1"/>
                <w:bCs w:val="1"/>
                <w:color w:val="00AF41"/>
              </w:rPr>
              <w:t>Grant Year</w:t>
            </w:r>
          </w:p>
        </w:tc>
        <w:tc>
          <w:tcPr>
            <w:tcW w:w="1220" w:type="dxa"/>
            <w:vAlign w:val="bottom"/>
          </w:tcPr>
          <w:p>
            <w:pPr>
              <w:jc w:val="center"/>
              <w:ind w:left="88"/>
              <w:spacing w:after="0"/>
              <w:rPr>
                <w:sz w:val="20"/>
                <w:szCs w:val="20"/>
                <w:color w:val="auto"/>
              </w:rPr>
            </w:pPr>
            <w:r>
              <w:rPr>
                <w:rFonts w:ascii="Arial" w:cs="Arial" w:eastAsia="Arial" w:hAnsi="Arial"/>
                <w:sz w:val="14"/>
                <w:szCs w:val="14"/>
                <w:b w:val="1"/>
                <w:bCs w:val="1"/>
                <w:color w:val="00AF41"/>
              </w:rPr>
              <w:t>(#)</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AF41"/>
              </w:rPr>
              <w:t>($)</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00AF41"/>
              </w:rPr>
              <w:t>(#)</w:t>
            </w:r>
          </w:p>
        </w:tc>
        <w:tc>
          <w:tcPr>
            <w:tcW w:w="1620" w:type="dxa"/>
            <w:vAlign w:val="bottom"/>
          </w:tcPr>
          <w:p>
            <w:pPr>
              <w:jc w:val="center"/>
              <w:ind w:left="88"/>
              <w:spacing w:after="0"/>
              <w:rPr>
                <w:sz w:val="20"/>
                <w:szCs w:val="20"/>
                <w:color w:val="auto"/>
              </w:rPr>
            </w:pPr>
            <w:r>
              <w:rPr>
                <w:rFonts w:ascii="Arial" w:cs="Arial" w:eastAsia="Arial" w:hAnsi="Arial"/>
                <w:sz w:val="14"/>
                <w:szCs w:val="14"/>
                <w:b w:val="1"/>
                <w:bCs w:val="1"/>
                <w:color w:val="00AF41"/>
              </w:rPr>
              <w:t>($)</w:t>
            </w:r>
          </w:p>
        </w:tc>
      </w:tr>
      <w:tr>
        <w:trPr>
          <w:trHeight w:val="43"/>
        </w:trPr>
        <w:tc>
          <w:tcPr>
            <w:tcW w:w="39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34"/>
        </w:trPr>
        <w:tc>
          <w:tcPr>
            <w:tcW w:w="3920" w:type="dxa"/>
            <w:vAlign w:val="bottom"/>
            <w:shd w:val="clear" w:color="auto" w:fill="EDEDED"/>
          </w:tcPr>
          <w:p>
            <w:pPr>
              <w:ind w:left="60"/>
              <w:spacing w:after="0"/>
              <w:rPr>
                <w:sz w:val="20"/>
                <w:szCs w:val="20"/>
                <w:color w:val="auto"/>
              </w:rPr>
            </w:pPr>
            <w:r>
              <w:rPr>
                <w:rFonts w:ascii="Arial" w:cs="Arial" w:eastAsia="Arial" w:hAnsi="Arial"/>
                <w:sz w:val="14"/>
                <w:szCs w:val="14"/>
                <w:b w:val="1"/>
                <w:bCs w:val="1"/>
                <w:color w:val="auto"/>
              </w:rPr>
              <w:t>Peter W. Quigley</w:t>
            </w:r>
          </w:p>
        </w:tc>
        <w:tc>
          <w:tcPr>
            <w:tcW w:w="1040" w:type="dxa"/>
            <w:vAlign w:val="bottom"/>
            <w:shd w:val="clear" w:color="auto" w:fill="EDEDED"/>
          </w:tcPr>
          <w:p>
            <w:pPr>
              <w:jc w:val="center"/>
              <w:ind w:left="248"/>
              <w:spacing w:after="0"/>
              <w:rPr>
                <w:sz w:val="20"/>
                <w:szCs w:val="20"/>
                <w:color w:val="auto"/>
              </w:rPr>
            </w:pPr>
            <w:r>
              <w:rPr>
                <w:rFonts w:ascii="Arial" w:cs="Arial" w:eastAsia="Arial" w:hAnsi="Arial"/>
                <w:sz w:val="14"/>
                <w:szCs w:val="14"/>
                <w:color w:val="auto"/>
              </w:rPr>
              <w:t>2022</w:t>
            </w:r>
          </w:p>
        </w:tc>
        <w:tc>
          <w:tcPr>
            <w:tcW w:w="1220" w:type="dxa"/>
            <w:vAlign w:val="bottom"/>
            <w:shd w:val="clear" w:color="auto" w:fill="EDEDED"/>
          </w:tcPr>
          <w:p>
            <w:pPr>
              <w:jc w:val="center"/>
              <w:ind w:left="68"/>
              <w:spacing w:after="0"/>
              <w:rPr>
                <w:sz w:val="20"/>
                <w:szCs w:val="20"/>
                <w:color w:val="auto"/>
              </w:rPr>
            </w:pPr>
            <w:r>
              <w:rPr>
                <w:rFonts w:ascii="Arial" w:cs="Arial" w:eastAsia="Arial" w:hAnsi="Arial"/>
                <w:sz w:val="14"/>
                <w:szCs w:val="14"/>
                <w:color w:val="auto"/>
              </w:rPr>
              <w:t>36,470</w:t>
            </w:r>
          </w:p>
        </w:tc>
        <w:tc>
          <w:tcPr>
            <w:tcW w:w="128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616,343</w:t>
            </w:r>
          </w:p>
        </w:tc>
        <w:tc>
          <w:tcPr>
            <w:tcW w:w="194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42,444</w:t>
            </w:r>
          </w:p>
        </w:tc>
        <w:tc>
          <w:tcPr>
            <w:tcW w:w="1620" w:type="dxa"/>
            <w:vAlign w:val="bottom"/>
            <w:shd w:val="clear" w:color="auto" w:fill="EDEDED"/>
          </w:tcPr>
          <w:p>
            <w:pPr>
              <w:jc w:val="center"/>
              <w:ind w:left="68"/>
              <w:spacing w:after="0"/>
              <w:rPr>
                <w:sz w:val="20"/>
                <w:szCs w:val="20"/>
                <w:color w:val="auto"/>
              </w:rPr>
            </w:pPr>
            <w:r>
              <w:rPr>
                <w:rFonts w:ascii="Arial" w:cs="Arial" w:eastAsia="Arial" w:hAnsi="Arial"/>
                <w:sz w:val="14"/>
                <w:szCs w:val="14"/>
                <w:color w:val="auto"/>
              </w:rPr>
              <w:t>717,304</w:t>
            </w:r>
          </w:p>
        </w:tc>
      </w:tr>
      <w:tr>
        <w:trPr>
          <w:trHeight w:val="210"/>
        </w:trPr>
        <w:tc>
          <w:tcPr>
            <w:tcW w:w="3920" w:type="dxa"/>
            <w:vAlign w:val="bottom"/>
            <w:shd w:val="clear" w:color="auto" w:fill="EDEDED"/>
          </w:tcPr>
          <w:p>
            <w:pPr>
              <w:spacing w:after="0"/>
              <w:rPr>
                <w:sz w:val="18"/>
                <w:szCs w:val="18"/>
                <w:color w:val="auto"/>
              </w:rPr>
            </w:pPr>
          </w:p>
        </w:tc>
        <w:tc>
          <w:tcPr>
            <w:tcW w:w="1040" w:type="dxa"/>
            <w:vAlign w:val="bottom"/>
            <w:shd w:val="clear" w:color="auto" w:fill="EDEDED"/>
          </w:tcPr>
          <w:p>
            <w:pPr>
              <w:jc w:val="center"/>
              <w:ind w:left="248"/>
              <w:spacing w:after="0"/>
              <w:rPr>
                <w:sz w:val="20"/>
                <w:szCs w:val="20"/>
                <w:color w:val="auto"/>
              </w:rPr>
            </w:pPr>
            <w:r>
              <w:rPr>
                <w:rFonts w:ascii="Arial" w:cs="Arial" w:eastAsia="Arial" w:hAnsi="Arial"/>
                <w:sz w:val="14"/>
                <w:szCs w:val="14"/>
                <w:color w:val="auto"/>
              </w:rPr>
              <w:t>2021</w:t>
            </w:r>
          </w:p>
        </w:tc>
        <w:tc>
          <w:tcPr>
            <w:tcW w:w="1220" w:type="dxa"/>
            <w:vAlign w:val="bottom"/>
            <w:shd w:val="clear" w:color="auto" w:fill="EDEDED"/>
          </w:tcPr>
          <w:p>
            <w:pPr>
              <w:jc w:val="center"/>
              <w:ind w:left="68"/>
              <w:spacing w:after="0"/>
              <w:rPr>
                <w:sz w:val="20"/>
                <w:szCs w:val="20"/>
                <w:color w:val="auto"/>
              </w:rPr>
            </w:pPr>
            <w:r>
              <w:rPr>
                <w:rFonts w:ascii="Arial" w:cs="Arial" w:eastAsia="Arial" w:hAnsi="Arial"/>
                <w:sz w:val="14"/>
                <w:szCs w:val="14"/>
                <w:color w:val="auto"/>
              </w:rPr>
              <w:t>54,229</w:t>
            </w:r>
          </w:p>
        </w:tc>
        <w:tc>
          <w:tcPr>
            <w:tcW w:w="128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916,470</w:t>
            </w:r>
          </w:p>
        </w:tc>
        <w:tc>
          <w:tcPr>
            <w:tcW w:w="194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63,696</w:t>
            </w:r>
          </w:p>
        </w:tc>
        <w:tc>
          <w:tcPr>
            <w:tcW w:w="1620" w:type="dxa"/>
            <w:vAlign w:val="bottom"/>
            <w:shd w:val="clear" w:color="auto" w:fill="EDEDED"/>
          </w:tcPr>
          <w:p>
            <w:pPr>
              <w:jc w:val="center"/>
              <w:ind w:left="68"/>
              <w:spacing w:after="0"/>
              <w:rPr>
                <w:sz w:val="20"/>
                <w:szCs w:val="20"/>
                <w:color w:val="auto"/>
              </w:rPr>
            </w:pPr>
            <w:r>
              <w:rPr>
                <w:rFonts w:ascii="Arial" w:cs="Arial" w:eastAsia="Arial" w:hAnsi="Arial"/>
                <w:sz w:val="14"/>
                <w:szCs w:val="14"/>
                <w:color w:val="auto"/>
              </w:rPr>
              <w:t>1,076,462</w:t>
            </w:r>
          </w:p>
        </w:tc>
      </w:tr>
      <w:tr>
        <w:trPr>
          <w:trHeight w:val="216"/>
        </w:trPr>
        <w:tc>
          <w:tcPr>
            <w:tcW w:w="3920" w:type="dxa"/>
            <w:vAlign w:val="bottom"/>
            <w:shd w:val="clear" w:color="auto" w:fill="EDEDED"/>
          </w:tcPr>
          <w:p>
            <w:pPr>
              <w:spacing w:after="0"/>
              <w:rPr>
                <w:sz w:val="18"/>
                <w:szCs w:val="18"/>
                <w:color w:val="auto"/>
              </w:rPr>
            </w:pPr>
          </w:p>
        </w:tc>
        <w:tc>
          <w:tcPr>
            <w:tcW w:w="1040" w:type="dxa"/>
            <w:vAlign w:val="bottom"/>
            <w:shd w:val="clear" w:color="auto" w:fill="EDEDED"/>
          </w:tcPr>
          <w:p>
            <w:pPr>
              <w:jc w:val="center"/>
              <w:ind w:left="248"/>
              <w:spacing w:after="0"/>
              <w:rPr>
                <w:sz w:val="20"/>
                <w:szCs w:val="20"/>
                <w:color w:val="auto"/>
              </w:rPr>
            </w:pPr>
            <w:r>
              <w:rPr>
                <w:rFonts w:ascii="Arial" w:cs="Arial" w:eastAsia="Arial" w:hAnsi="Arial"/>
                <w:sz w:val="14"/>
                <w:szCs w:val="14"/>
                <w:color w:val="auto"/>
              </w:rPr>
              <w:t>2020</w:t>
            </w:r>
          </w:p>
        </w:tc>
        <w:tc>
          <w:tcPr>
            <w:tcW w:w="1220" w:type="dxa"/>
            <w:vAlign w:val="bottom"/>
            <w:shd w:val="clear" w:color="auto" w:fill="EDEDED"/>
          </w:tcPr>
          <w:p>
            <w:pPr>
              <w:jc w:val="center"/>
              <w:ind w:left="68"/>
              <w:spacing w:after="0"/>
              <w:rPr>
                <w:sz w:val="20"/>
                <w:szCs w:val="20"/>
                <w:color w:val="auto"/>
              </w:rPr>
            </w:pPr>
            <w:r>
              <w:rPr>
                <w:rFonts w:ascii="Arial" w:cs="Arial" w:eastAsia="Arial" w:hAnsi="Arial"/>
                <w:sz w:val="14"/>
                <w:szCs w:val="14"/>
                <w:color w:val="auto"/>
              </w:rPr>
              <w:t>27,888</w:t>
            </w:r>
          </w:p>
        </w:tc>
        <w:tc>
          <w:tcPr>
            <w:tcW w:w="128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471,307</w:t>
            </w:r>
          </w:p>
        </w:tc>
        <w:tc>
          <w:tcPr>
            <w:tcW w:w="194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shd w:val="clear" w:color="auto" w:fill="EDEDED"/>
          </w:tcPr>
          <w:p>
            <w:pPr>
              <w:jc w:val="center"/>
              <w:ind w:left="88"/>
              <w:spacing w:after="0"/>
              <w:rPr>
                <w:sz w:val="20"/>
                <w:szCs w:val="20"/>
                <w:color w:val="auto"/>
              </w:rPr>
            </w:pPr>
            <w:r>
              <w:rPr>
                <w:rFonts w:ascii="Arial" w:cs="Arial" w:eastAsia="Arial" w:hAnsi="Arial"/>
                <w:sz w:val="14"/>
                <w:szCs w:val="14"/>
                <w:color w:val="auto"/>
                <w:w w:val="99"/>
              </w:rPr>
              <w:t>—</w:t>
            </w:r>
          </w:p>
        </w:tc>
      </w:tr>
      <w:tr>
        <w:trPr>
          <w:trHeight w:val="231"/>
        </w:trPr>
        <w:tc>
          <w:tcPr>
            <w:tcW w:w="3920" w:type="dxa"/>
            <w:vAlign w:val="bottom"/>
            <w:tcBorders>
              <w:bottom w:val="single" w:sz="8" w:color="EDEDED"/>
            </w:tcBorders>
            <w:shd w:val="clear" w:color="auto" w:fill="EDEDED"/>
          </w:tcPr>
          <w:p>
            <w:pPr>
              <w:spacing w:after="0"/>
              <w:rPr>
                <w:sz w:val="20"/>
                <w:szCs w:val="20"/>
                <w:color w:val="auto"/>
              </w:rPr>
            </w:pPr>
          </w:p>
        </w:tc>
        <w:tc>
          <w:tcPr>
            <w:tcW w:w="1040" w:type="dxa"/>
            <w:vAlign w:val="bottom"/>
            <w:tcBorders>
              <w:bottom w:val="single" w:sz="8" w:color="EDEDED"/>
            </w:tcBorders>
            <w:shd w:val="clear" w:color="auto" w:fill="EDEDED"/>
          </w:tcPr>
          <w:p>
            <w:pPr>
              <w:jc w:val="center"/>
              <w:ind w:left="248"/>
              <w:spacing w:after="0"/>
              <w:rPr>
                <w:sz w:val="20"/>
                <w:szCs w:val="20"/>
                <w:color w:val="auto"/>
              </w:rPr>
            </w:pPr>
            <w:r>
              <w:rPr>
                <w:rFonts w:ascii="Arial" w:cs="Arial" w:eastAsia="Arial" w:hAnsi="Arial"/>
                <w:sz w:val="14"/>
                <w:szCs w:val="14"/>
                <w:color w:val="auto"/>
              </w:rPr>
              <w:t>2019</w:t>
            </w:r>
          </w:p>
        </w:tc>
        <w:tc>
          <w:tcPr>
            <w:tcW w:w="1220" w:type="dxa"/>
            <w:vAlign w:val="bottom"/>
            <w:tcBorders>
              <w:bottom w:val="single" w:sz="8" w:color="EDEDED"/>
            </w:tcBorders>
            <w:shd w:val="clear" w:color="auto" w:fill="EDEDED"/>
          </w:tcPr>
          <w:p>
            <w:pPr>
              <w:jc w:val="center"/>
              <w:ind w:left="68"/>
              <w:spacing w:after="0"/>
              <w:rPr>
                <w:sz w:val="20"/>
                <w:szCs w:val="20"/>
                <w:color w:val="auto"/>
              </w:rPr>
            </w:pPr>
            <w:r>
              <w:rPr>
                <w:rFonts w:ascii="Arial" w:cs="Arial" w:eastAsia="Arial" w:hAnsi="Arial"/>
                <w:sz w:val="14"/>
                <w:szCs w:val="14"/>
                <w:color w:val="auto"/>
              </w:rPr>
              <w:t>2,625</w:t>
            </w:r>
          </w:p>
        </w:tc>
        <w:tc>
          <w:tcPr>
            <w:tcW w:w="128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44,363</w:t>
            </w:r>
          </w:p>
        </w:tc>
        <w:tc>
          <w:tcPr>
            <w:tcW w:w="194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EDEDED"/>
            </w:tcBorders>
            <w:shd w:val="clear" w:color="auto" w:fill="EDEDED"/>
          </w:tcPr>
          <w:p>
            <w:pPr>
              <w:jc w:val="center"/>
              <w:ind w:left="88"/>
              <w:spacing w:after="0"/>
              <w:rPr>
                <w:sz w:val="20"/>
                <w:szCs w:val="20"/>
                <w:color w:val="auto"/>
              </w:rPr>
            </w:pPr>
            <w:r>
              <w:rPr>
                <w:rFonts w:ascii="Arial" w:cs="Arial" w:eastAsia="Arial" w:hAnsi="Arial"/>
                <w:sz w:val="14"/>
                <w:szCs w:val="14"/>
                <w:color w:val="auto"/>
                <w:w w:val="99"/>
              </w:rPr>
              <w:t>—</w:t>
            </w:r>
          </w:p>
        </w:tc>
      </w:tr>
      <w:tr>
        <w:trPr>
          <w:trHeight w:val="254"/>
        </w:trPr>
        <w:tc>
          <w:tcPr>
            <w:tcW w:w="3920" w:type="dxa"/>
            <w:vAlign w:val="bottom"/>
          </w:tcPr>
          <w:p>
            <w:pPr>
              <w:ind w:left="60"/>
              <w:spacing w:after="0"/>
              <w:rPr>
                <w:sz w:val="20"/>
                <w:szCs w:val="20"/>
                <w:color w:val="auto"/>
              </w:rPr>
            </w:pPr>
            <w:r>
              <w:rPr>
                <w:rFonts w:ascii="Arial" w:cs="Arial" w:eastAsia="Arial" w:hAnsi="Arial"/>
                <w:sz w:val="14"/>
                <w:szCs w:val="14"/>
                <w:b w:val="1"/>
                <w:bCs w:val="1"/>
                <w:color w:val="auto"/>
              </w:rPr>
              <w:t>Olivier G. Thirot</w:t>
            </w:r>
          </w:p>
        </w:tc>
        <w:tc>
          <w:tcPr>
            <w:tcW w:w="1040" w:type="dxa"/>
            <w:vAlign w:val="bottom"/>
          </w:tcPr>
          <w:p>
            <w:pPr>
              <w:jc w:val="center"/>
              <w:ind w:left="248"/>
              <w:spacing w:after="0"/>
              <w:rPr>
                <w:sz w:val="20"/>
                <w:szCs w:val="20"/>
                <w:color w:val="auto"/>
              </w:rPr>
            </w:pPr>
            <w:r>
              <w:rPr>
                <w:rFonts w:ascii="Arial" w:cs="Arial" w:eastAsia="Arial" w:hAnsi="Arial"/>
                <w:sz w:val="14"/>
                <w:szCs w:val="14"/>
                <w:color w:val="auto"/>
              </w:rPr>
              <w:t>2022</w:t>
            </w:r>
          </w:p>
        </w:tc>
        <w:tc>
          <w:tcPr>
            <w:tcW w:w="1220" w:type="dxa"/>
            <w:vAlign w:val="bottom"/>
          </w:tcPr>
          <w:p>
            <w:pPr>
              <w:jc w:val="center"/>
              <w:ind w:left="68"/>
              <w:spacing w:after="0"/>
              <w:rPr>
                <w:sz w:val="20"/>
                <w:szCs w:val="20"/>
                <w:color w:val="auto"/>
              </w:rPr>
            </w:pPr>
            <w:r>
              <w:rPr>
                <w:rFonts w:ascii="Arial" w:cs="Arial" w:eastAsia="Arial" w:hAnsi="Arial"/>
                <w:sz w:val="14"/>
                <w:szCs w:val="14"/>
                <w:color w:val="auto"/>
              </w:rPr>
              <w:t>17,406</w:t>
            </w:r>
          </w:p>
        </w:tc>
        <w:tc>
          <w:tcPr>
            <w:tcW w:w="1280" w:type="dxa"/>
            <w:vAlign w:val="bottom"/>
          </w:tcPr>
          <w:p>
            <w:pPr>
              <w:jc w:val="center"/>
              <w:spacing w:after="0"/>
              <w:rPr>
                <w:sz w:val="20"/>
                <w:szCs w:val="20"/>
                <w:color w:val="auto"/>
              </w:rPr>
            </w:pPr>
            <w:r>
              <w:rPr>
                <w:rFonts w:ascii="Arial" w:cs="Arial" w:eastAsia="Arial" w:hAnsi="Arial"/>
                <w:sz w:val="14"/>
                <w:szCs w:val="14"/>
                <w:color w:val="auto"/>
              </w:rPr>
              <w:t>294,161</w:t>
            </w:r>
          </w:p>
        </w:tc>
        <w:tc>
          <w:tcPr>
            <w:tcW w:w="1940" w:type="dxa"/>
            <w:vAlign w:val="bottom"/>
          </w:tcPr>
          <w:p>
            <w:pPr>
              <w:jc w:val="center"/>
              <w:spacing w:after="0"/>
              <w:rPr>
                <w:sz w:val="20"/>
                <w:szCs w:val="20"/>
                <w:color w:val="auto"/>
              </w:rPr>
            </w:pPr>
            <w:r>
              <w:rPr>
                <w:rFonts w:ascii="Arial" w:cs="Arial" w:eastAsia="Arial" w:hAnsi="Arial"/>
                <w:sz w:val="14"/>
                <w:szCs w:val="14"/>
                <w:color w:val="auto"/>
              </w:rPr>
              <w:t>20,258</w:t>
            </w:r>
          </w:p>
        </w:tc>
        <w:tc>
          <w:tcPr>
            <w:tcW w:w="1620" w:type="dxa"/>
            <w:vAlign w:val="bottom"/>
          </w:tcPr>
          <w:p>
            <w:pPr>
              <w:jc w:val="center"/>
              <w:ind w:left="68"/>
              <w:spacing w:after="0"/>
              <w:rPr>
                <w:sz w:val="20"/>
                <w:szCs w:val="20"/>
                <w:color w:val="auto"/>
              </w:rPr>
            </w:pPr>
            <w:r>
              <w:rPr>
                <w:rFonts w:ascii="Arial" w:cs="Arial" w:eastAsia="Arial" w:hAnsi="Arial"/>
                <w:sz w:val="14"/>
                <w:szCs w:val="14"/>
                <w:color w:val="auto"/>
              </w:rPr>
              <w:t>342,360</w:t>
            </w:r>
          </w:p>
        </w:tc>
      </w:tr>
      <w:tr>
        <w:trPr>
          <w:trHeight w:val="210"/>
        </w:trPr>
        <w:tc>
          <w:tcPr>
            <w:tcW w:w="3920" w:type="dxa"/>
            <w:vAlign w:val="bottom"/>
          </w:tcPr>
          <w:p>
            <w:pPr>
              <w:spacing w:after="0"/>
              <w:rPr>
                <w:sz w:val="18"/>
                <w:szCs w:val="18"/>
                <w:color w:val="auto"/>
              </w:rPr>
            </w:pPr>
          </w:p>
        </w:tc>
        <w:tc>
          <w:tcPr>
            <w:tcW w:w="1040" w:type="dxa"/>
            <w:vAlign w:val="bottom"/>
          </w:tcPr>
          <w:p>
            <w:pPr>
              <w:jc w:val="center"/>
              <w:ind w:left="248"/>
              <w:spacing w:after="0"/>
              <w:rPr>
                <w:sz w:val="20"/>
                <w:szCs w:val="20"/>
                <w:color w:val="auto"/>
              </w:rPr>
            </w:pPr>
            <w:r>
              <w:rPr>
                <w:rFonts w:ascii="Arial" w:cs="Arial" w:eastAsia="Arial" w:hAnsi="Arial"/>
                <w:sz w:val="14"/>
                <w:szCs w:val="14"/>
                <w:color w:val="auto"/>
              </w:rPr>
              <w:t>2021</w:t>
            </w:r>
          </w:p>
        </w:tc>
        <w:tc>
          <w:tcPr>
            <w:tcW w:w="1220" w:type="dxa"/>
            <w:vAlign w:val="bottom"/>
          </w:tcPr>
          <w:p>
            <w:pPr>
              <w:jc w:val="center"/>
              <w:ind w:left="68"/>
              <w:spacing w:after="0"/>
              <w:rPr>
                <w:sz w:val="20"/>
                <w:szCs w:val="20"/>
                <w:color w:val="auto"/>
              </w:rPr>
            </w:pPr>
            <w:r>
              <w:rPr>
                <w:rFonts w:ascii="Arial" w:cs="Arial" w:eastAsia="Arial" w:hAnsi="Arial"/>
                <w:sz w:val="14"/>
                <w:szCs w:val="14"/>
                <w:color w:val="auto"/>
              </w:rPr>
              <w:t>34,370</w:t>
            </w:r>
          </w:p>
        </w:tc>
        <w:tc>
          <w:tcPr>
            <w:tcW w:w="1280" w:type="dxa"/>
            <w:vAlign w:val="bottom"/>
          </w:tcPr>
          <w:p>
            <w:pPr>
              <w:jc w:val="center"/>
              <w:spacing w:after="0"/>
              <w:rPr>
                <w:sz w:val="20"/>
                <w:szCs w:val="20"/>
                <w:color w:val="auto"/>
              </w:rPr>
            </w:pPr>
            <w:r>
              <w:rPr>
                <w:rFonts w:ascii="Arial" w:cs="Arial" w:eastAsia="Arial" w:hAnsi="Arial"/>
                <w:sz w:val="14"/>
                <w:szCs w:val="14"/>
                <w:color w:val="auto"/>
              </w:rPr>
              <w:t>580,853</w:t>
            </w:r>
          </w:p>
        </w:tc>
        <w:tc>
          <w:tcPr>
            <w:tcW w:w="1940" w:type="dxa"/>
            <w:vAlign w:val="bottom"/>
          </w:tcPr>
          <w:p>
            <w:pPr>
              <w:jc w:val="center"/>
              <w:spacing w:after="0"/>
              <w:rPr>
                <w:sz w:val="20"/>
                <w:szCs w:val="20"/>
                <w:color w:val="auto"/>
              </w:rPr>
            </w:pPr>
            <w:r>
              <w:rPr>
                <w:rFonts w:ascii="Arial" w:cs="Arial" w:eastAsia="Arial" w:hAnsi="Arial"/>
                <w:sz w:val="14"/>
                <w:szCs w:val="14"/>
                <w:color w:val="auto"/>
              </w:rPr>
              <w:t>46,054</w:t>
            </w:r>
          </w:p>
        </w:tc>
        <w:tc>
          <w:tcPr>
            <w:tcW w:w="1620" w:type="dxa"/>
            <w:vAlign w:val="bottom"/>
          </w:tcPr>
          <w:p>
            <w:pPr>
              <w:jc w:val="center"/>
              <w:ind w:left="68"/>
              <w:spacing w:after="0"/>
              <w:rPr>
                <w:sz w:val="20"/>
                <w:szCs w:val="20"/>
                <w:color w:val="auto"/>
              </w:rPr>
            </w:pPr>
            <w:r>
              <w:rPr>
                <w:rFonts w:ascii="Arial" w:cs="Arial" w:eastAsia="Arial" w:hAnsi="Arial"/>
                <w:sz w:val="14"/>
                <w:szCs w:val="14"/>
                <w:color w:val="auto"/>
              </w:rPr>
              <w:t>778,313</w:t>
            </w:r>
          </w:p>
        </w:tc>
      </w:tr>
      <w:tr>
        <w:trPr>
          <w:trHeight w:val="216"/>
        </w:trPr>
        <w:tc>
          <w:tcPr>
            <w:tcW w:w="3920" w:type="dxa"/>
            <w:vAlign w:val="bottom"/>
          </w:tcPr>
          <w:p>
            <w:pPr>
              <w:spacing w:after="0"/>
              <w:rPr>
                <w:sz w:val="18"/>
                <w:szCs w:val="18"/>
                <w:color w:val="auto"/>
              </w:rPr>
            </w:pPr>
          </w:p>
        </w:tc>
        <w:tc>
          <w:tcPr>
            <w:tcW w:w="1040" w:type="dxa"/>
            <w:vAlign w:val="bottom"/>
          </w:tcPr>
          <w:p>
            <w:pPr>
              <w:jc w:val="center"/>
              <w:ind w:left="248"/>
              <w:spacing w:after="0"/>
              <w:rPr>
                <w:sz w:val="20"/>
                <w:szCs w:val="20"/>
                <w:color w:val="auto"/>
              </w:rPr>
            </w:pPr>
            <w:r>
              <w:rPr>
                <w:rFonts w:ascii="Arial" w:cs="Arial" w:eastAsia="Arial" w:hAnsi="Arial"/>
                <w:sz w:val="14"/>
                <w:szCs w:val="14"/>
                <w:color w:val="auto"/>
              </w:rPr>
              <w:t>2020</w:t>
            </w:r>
          </w:p>
        </w:tc>
        <w:tc>
          <w:tcPr>
            <w:tcW w:w="1220" w:type="dxa"/>
            <w:vAlign w:val="bottom"/>
          </w:tcPr>
          <w:p>
            <w:pPr>
              <w:jc w:val="center"/>
              <w:ind w:left="68"/>
              <w:spacing w:after="0"/>
              <w:rPr>
                <w:sz w:val="20"/>
                <w:szCs w:val="20"/>
                <w:color w:val="auto"/>
              </w:rPr>
            </w:pPr>
            <w:r>
              <w:rPr>
                <w:rFonts w:ascii="Arial" w:cs="Arial" w:eastAsia="Arial" w:hAnsi="Arial"/>
                <w:sz w:val="14"/>
                <w:szCs w:val="14"/>
                <w:color w:val="auto"/>
              </w:rPr>
              <w:t>14,109</w:t>
            </w:r>
          </w:p>
        </w:tc>
        <w:tc>
          <w:tcPr>
            <w:tcW w:w="1280" w:type="dxa"/>
            <w:vAlign w:val="bottom"/>
          </w:tcPr>
          <w:p>
            <w:pPr>
              <w:jc w:val="center"/>
              <w:spacing w:after="0"/>
              <w:rPr>
                <w:sz w:val="20"/>
                <w:szCs w:val="20"/>
                <w:color w:val="auto"/>
              </w:rPr>
            </w:pPr>
            <w:r>
              <w:rPr>
                <w:rFonts w:ascii="Arial" w:cs="Arial" w:eastAsia="Arial" w:hAnsi="Arial"/>
                <w:sz w:val="14"/>
                <w:szCs w:val="14"/>
                <w:color w:val="auto"/>
              </w:rPr>
              <w:t>238,442</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tcPr>
          <w:p>
            <w:pPr>
              <w:jc w:val="center"/>
              <w:ind w:left="88"/>
              <w:spacing w:after="0"/>
              <w:rPr>
                <w:sz w:val="20"/>
                <w:szCs w:val="20"/>
                <w:color w:val="auto"/>
              </w:rPr>
            </w:pPr>
            <w:r>
              <w:rPr>
                <w:rFonts w:ascii="Arial" w:cs="Arial" w:eastAsia="Arial" w:hAnsi="Arial"/>
                <w:sz w:val="14"/>
                <w:szCs w:val="14"/>
                <w:color w:val="auto"/>
                <w:w w:val="99"/>
              </w:rPr>
              <w:t>—</w:t>
            </w:r>
          </w:p>
        </w:tc>
      </w:tr>
      <w:tr>
        <w:trPr>
          <w:trHeight w:val="216"/>
        </w:trPr>
        <w:tc>
          <w:tcPr>
            <w:tcW w:w="3920" w:type="dxa"/>
            <w:vAlign w:val="bottom"/>
          </w:tcPr>
          <w:p>
            <w:pPr>
              <w:spacing w:after="0"/>
              <w:rPr>
                <w:sz w:val="18"/>
                <w:szCs w:val="18"/>
                <w:color w:val="auto"/>
              </w:rPr>
            </w:pPr>
          </w:p>
        </w:tc>
        <w:tc>
          <w:tcPr>
            <w:tcW w:w="1040" w:type="dxa"/>
            <w:vAlign w:val="bottom"/>
          </w:tcPr>
          <w:p>
            <w:pPr>
              <w:jc w:val="center"/>
              <w:ind w:left="248"/>
              <w:spacing w:after="0"/>
              <w:rPr>
                <w:sz w:val="20"/>
                <w:szCs w:val="20"/>
                <w:color w:val="auto"/>
              </w:rPr>
            </w:pPr>
            <w:r>
              <w:rPr>
                <w:rFonts w:ascii="Arial" w:cs="Arial" w:eastAsia="Arial" w:hAnsi="Arial"/>
                <w:sz w:val="14"/>
                <w:szCs w:val="14"/>
                <w:color w:val="auto"/>
              </w:rPr>
              <w:t>2019</w:t>
            </w:r>
          </w:p>
        </w:tc>
        <w:tc>
          <w:tcPr>
            <w:tcW w:w="1220" w:type="dxa"/>
            <w:vAlign w:val="bottom"/>
          </w:tcPr>
          <w:p>
            <w:pPr>
              <w:jc w:val="center"/>
              <w:ind w:left="68"/>
              <w:spacing w:after="0"/>
              <w:rPr>
                <w:sz w:val="20"/>
                <w:szCs w:val="20"/>
                <w:color w:val="auto"/>
              </w:rPr>
            </w:pPr>
            <w:r>
              <w:rPr>
                <w:rFonts w:ascii="Arial" w:cs="Arial" w:eastAsia="Arial" w:hAnsi="Arial"/>
                <w:sz w:val="14"/>
                <w:szCs w:val="14"/>
                <w:color w:val="auto"/>
              </w:rPr>
              <w:t>2,044</w:t>
            </w:r>
          </w:p>
        </w:tc>
        <w:tc>
          <w:tcPr>
            <w:tcW w:w="1280" w:type="dxa"/>
            <w:vAlign w:val="bottom"/>
          </w:tcPr>
          <w:p>
            <w:pPr>
              <w:jc w:val="center"/>
              <w:spacing w:after="0"/>
              <w:rPr>
                <w:sz w:val="20"/>
                <w:szCs w:val="20"/>
                <w:color w:val="auto"/>
              </w:rPr>
            </w:pPr>
            <w:r>
              <w:rPr>
                <w:rFonts w:ascii="Arial" w:cs="Arial" w:eastAsia="Arial" w:hAnsi="Arial"/>
                <w:sz w:val="14"/>
                <w:szCs w:val="14"/>
                <w:color w:val="auto"/>
              </w:rPr>
              <w:t>34,544</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tcPr>
          <w:p>
            <w:pPr>
              <w:jc w:val="center"/>
              <w:ind w:left="88"/>
              <w:spacing w:after="0"/>
              <w:rPr>
                <w:sz w:val="20"/>
                <w:szCs w:val="20"/>
                <w:color w:val="auto"/>
              </w:rPr>
            </w:pPr>
            <w:r>
              <w:rPr>
                <w:rFonts w:ascii="Arial" w:cs="Arial" w:eastAsia="Arial" w:hAnsi="Arial"/>
                <w:sz w:val="14"/>
                <w:szCs w:val="14"/>
                <w:color w:val="auto"/>
                <w:w w:val="99"/>
              </w:rPr>
              <w:t>—</w:t>
            </w:r>
          </w:p>
        </w:tc>
      </w:tr>
      <w:tr>
        <w:trPr>
          <w:trHeight w:val="35"/>
        </w:trPr>
        <w:tc>
          <w:tcPr>
            <w:tcW w:w="39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255"/>
        </w:trPr>
        <w:tc>
          <w:tcPr>
            <w:tcW w:w="3920" w:type="dxa"/>
            <w:vAlign w:val="bottom"/>
            <w:shd w:val="clear" w:color="auto" w:fill="EDEDED"/>
          </w:tcPr>
          <w:p>
            <w:pPr>
              <w:ind w:left="60"/>
              <w:spacing w:after="0"/>
              <w:rPr>
                <w:sz w:val="20"/>
                <w:szCs w:val="20"/>
                <w:color w:val="auto"/>
              </w:rPr>
            </w:pPr>
            <w:r>
              <w:rPr>
                <w:rFonts w:ascii="Arial" w:cs="Arial" w:eastAsia="Arial" w:hAnsi="Arial"/>
                <w:sz w:val="14"/>
                <w:szCs w:val="14"/>
                <w:b w:val="1"/>
                <w:bCs w:val="1"/>
                <w:color w:val="auto"/>
              </w:rPr>
              <w:t>Dinette Koolhaas</w:t>
            </w:r>
          </w:p>
        </w:tc>
        <w:tc>
          <w:tcPr>
            <w:tcW w:w="1040" w:type="dxa"/>
            <w:vAlign w:val="bottom"/>
            <w:shd w:val="clear" w:color="auto" w:fill="EDEDED"/>
          </w:tcPr>
          <w:p>
            <w:pPr>
              <w:jc w:val="center"/>
              <w:ind w:left="248"/>
              <w:spacing w:after="0"/>
              <w:rPr>
                <w:sz w:val="20"/>
                <w:szCs w:val="20"/>
                <w:color w:val="auto"/>
              </w:rPr>
            </w:pPr>
            <w:r>
              <w:rPr>
                <w:rFonts w:ascii="Arial" w:cs="Arial" w:eastAsia="Arial" w:hAnsi="Arial"/>
                <w:sz w:val="14"/>
                <w:szCs w:val="14"/>
                <w:color w:val="auto"/>
              </w:rPr>
              <w:t>2022</w:t>
            </w:r>
          </w:p>
        </w:tc>
        <w:tc>
          <w:tcPr>
            <w:tcW w:w="1220" w:type="dxa"/>
            <w:vAlign w:val="bottom"/>
            <w:shd w:val="clear" w:color="auto" w:fill="EDEDED"/>
          </w:tcPr>
          <w:p>
            <w:pPr>
              <w:jc w:val="center"/>
              <w:ind w:left="68"/>
              <w:spacing w:after="0"/>
              <w:rPr>
                <w:sz w:val="20"/>
                <w:szCs w:val="20"/>
                <w:color w:val="auto"/>
              </w:rPr>
            </w:pPr>
            <w:r>
              <w:rPr>
                <w:rFonts w:ascii="Arial" w:cs="Arial" w:eastAsia="Arial" w:hAnsi="Arial"/>
                <w:sz w:val="14"/>
                <w:szCs w:val="14"/>
                <w:color w:val="auto"/>
              </w:rPr>
              <w:t>7,420</w:t>
            </w:r>
          </w:p>
        </w:tc>
        <w:tc>
          <w:tcPr>
            <w:tcW w:w="128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125,398</w:t>
            </w:r>
          </w:p>
        </w:tc>
        <w:tc>
          <w:tcPr>
            <w:tcW w:w="194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8,636</w:t>
            </w:r>
          </w:p>
        </w:tc>
        <w:tc>
          <w:tcPr>
            <w:tcW w:w="1620" w:type="dxa"/>
            <w:vAlign w:val="bottom"/>
            <w:shd w:val="clear" w:color="auto" w:fill="EDEDED"/>
          </w:tcPr>
          <w:p>
            <w:pPr>
              <w:jc w:val="center"/>
              <w:ind w:left="68"/>
              <w:spacing w:after="0"/>
              <w:rPr>
                <w:sz w:val="20"/>
                <w:szCs w:val="20"/>
                <w:color w:val="auto"/>
              </w:rPr>
            </w:pPr>
            <w:r>
              <w:rPr>
                <w:rFonts w:ascii="Arial" w:cs="Arial" w:eastAsia="Arial" w:hAnsi="Arial"/>
                <w:sz w:val="14"/>
                <w:szCs w:val="14"/>
                <w:color w:val="auto"/>
              </w:rPr>
              <w:t>145,948</w:t>
            </w:r>
          </w:p>
        </w:tc>
      </w:tr>
      <w:tr>
        <w:trPr>
          <w:trHeight w:val="210"/>
        </w:trPr>
        <w:tc>
          <w:tcPr>
            <w:tcW w:w="3920" w:type="dxa"/>
            <w:vAlign w:val="bottom"/>
            <w:shd w:val="clear" w:color="auto" w:fill="EDEDED"/>
          </w:tcPr>
          <w:p>
            <w:pPr>
              <w:spacing w:after="0"/>
              <w:rPr>
                <w:sz w:val="18"/>
                <w:szCs w:val="18"/>
                <w:color w:val="auto"/>
              </w:rPr>
            </w:pPr>
          </w:p>
        </w:tc>
        <w:tc>
          <w:tcPr>
            <w:tcW w:w="1040" w:type="dxa"/>
            <w:vAlign w:val="bottom"/>
            <w:shd w:val="clear" w:color="auto" w:fill="EDEDED"/>
          </w:tcPr>
          <w:p>
            <w:pPr>
              <w:jc w:val="center"/>
              <w:ind w:left="248"/>
              <w:spacing w:after="0"/>
              <w:rPr>
                <w:sz w:val="20"/>
                <w:szCs w:val="20"/>
                <w:color w:val="auto"/>
              </w:rPr>
            </w:pPr>
            <w:r>
              <w:rPr>
                <w:rFonts w:ascii="Arial" w:cs="Arial" w:eastAsia="Arial" w:hAnsi="Arial"/>
                <w:sz w:val="14"/>
                <w:szCs w:val="14"/>
                <w:color w:val="auto"/>
              </w:rPr>
              <w:t>2021</w:t>
            </w:r>
          </w:p>
        </w:tc>
        <w:tc>
          <w:tcPr>
            <w:tcW w:w="1220" w:type="dxa"/>
            <w:vAlign w:val="bottom"/>
            <w:shd w:val="clear" w:color="auto" w:fill="EDEDED"/>
          </w:tcPr>
          <w:p>
            <w:pPr>
              <w:jc w:val="center"/>
              <w:ind w:left="68"/>
              <w:spacing w:after="0"/>
              <w:rPr>
                <w:sz w:val="20"/>
                <w:szCs w:val="20"/>
                <w:color w:val="auto"/>
              </w:rPr>
            </w:pPr>
            <w:r>
              <w:rPr>
                <w:rFonts w:ascii="Arial" w:cs="Arial" w:eastAsia="Arial" w:hAnsi="Arial"/>
                <w:sz w:val="14"/>
                <w:szCs w:val="14"/>
                <w:color w:val="auto"/>
              </w:rPr>
              <w:t>10,034</w:t>
            </w:r>
          </w:p>
        </w:tc>
        <w:tc>
          <w:tcPr>
            <w:tcW w:w="128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169,575</w:t>
            </w:r>
          </w:p>
        </w:tc>
        <w:tc>
          <w:tcPr>
            <w:tcW w:w="194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12,908</w:t>
            </w:r>
          </w:p>
        </w:tc>
        <w:tc>
          <w:tcPr>
            <w:tcW w:w="1620" w:type="dxa"/>
            <w:vAlign w:val="bottom"/>
            <w:shd w:val="clear" w:color="auto" w:fill="EDEDED"/>
          </w:tcPr>
          <w:p>
            <w:pPr>
              <w:jc w:val="center"/>
              <w:ind w:left="68"/>
              <w:spacing w:after="0"/>
              <w:rPr>
                <w:sz w:val="20"/>
                <w:szCs w:val="20"/>
                <w:color w:val="auto"/>
              </w:rPr>
            </w:pPr>
            <w:r>
              <w:rPr>
                <w:rFonts w:ascii="Arial" w:cs="Arial" w:eastAsia="Arial" w:hAnsi="Arial"/>
                <w:sz w:val="14"/>
                <w:szCs w:val="14"/>
                <w:color w:val="auto"/>
              </w:rPr>
              <w:t>218,145</w:t>
            </w:r>
          </w:p>
        </w:tc>
      </w:tr>
      <w:tr>
        <w:trPr>
          <w:trHeight w:val="216"/>
        </w:trPr>
        <w:tc>
          <w:tcPr>
            <w:tcW w:w="3920" w:type="dxa"/>
            <w:vAlign w:val="bottom"/>
            <w:shd w:val="clear" w:color="auto" w:fill="EDEDED"/>
          </w:tcPr>
          <w:p>
            <w:pPr>
              <w:spacing w:after="0"/>
              <w:rPr>
                <w:sz w:val="18"/>
                <w:szCs w:val="18"/>
                <w:color w:val="auto"/>
              </w:rPr>
            </w:pPr>
          </w:p>
        </w:tc>
        <w:tc>
          <w:tcPr>
            <w:tcW w:w="1040" w:type="dxa"/>
            <w:vAlign w:val="bottom"/>
            <w:shd w:val="clear" w:color="auto" w:fill="EDEDED"/>
          </w:tcPr>
          <w:p>
            <w:pPr>
              <w:jc w:val="center"/>
              <w:ind w:left="248"/>
              <w:spacing w:after="0"/>
              <w:rPr>
                <w:sz w:val="20"/>
                <w:szCs w:val="20"/>
                <w:color w:val="auto"/>
              </w:rPr>
            </w:pPr>
            <w:r>
              <w:rPr>
                <w:rFonts w:ascii="Arial" w:cs="Arial" w:eastAsia="Arial" w:hAnsi="Arial"/>
                <w:sz w:val="14"/>
                <w:szCs w:val="14"/>
                <w:color w:val="auto"/>
              </w:rPr>
              <w:t>2020</w:t>
            </w:r>
          </w:p>
        </w:tc>
        <w:tc>
          <w:tcPr>
            <w:tcW w:w="1220" w:type="dxa"/>
            <w:vAlign w:val="bottom"/>
            <w:shd w:val="clear" w:color="auto" w:fill="EDEDED"/>
          </w:tcPr>
          <w:p>
            <w:pPr>
              <w:jc w:val="center"/>
              <w:ind w:left="68"/>
              <w:spacing w:after="0"/>
              <w:rPr>
                <w:sz w:val="20"/>
                <w:szCs w:val="20"/>
                <w:color w:val="auto"/>
              </w:rPr>
            </w:pPr>
            <w:r>
              <w:rPr>
                <w:rFonts w:ascii="Arial" w:cs="Arial" w:eastAsia="Arial" w:hAnsi="Arial"/>
                <w:sz w:val="14"/>
                <w:szCs w:val="14"/>
                <w:color w:val="auto"/>
              </w:rPr>
              <w:t>4,458</w:t>
            </w:r>
          </w:p>
        </w:tc>
        <w:tc>
          <w:tcPr>
            <w:tcW w:w="128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75,340</w:t>
            </w:r>
          </w:p>
        </w:tc>
        <w:tc>
          <w:tcPr>
            <w:tcW w:w="1940" w:type="dxa"/>
            <w:vAlign w:val="bottom"/>
            <w:shd w:val="clear" w:color="auto" w:fill="EDEDED"/>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shd w:val="clear" w:color="auto" w:fill="EDEDED"/>
          </w:tcPr>
          <w:p>
            <w:pPr>
              <w:jc w:val="center"/>
              <w:ind w:left="88"/>
              <w:spacing w:after="0"/>
              <w:rPr>
                <w:sz w:val="20"/>
                <w:szCs w:val="20"/>
                <w:color w:val="auto"/>
              </w:rPr>
            </w:pPr>
            <w:r>
              <w:rPr>
                <w:rFonts w:ascii="Arial" w:cs="Arial" w:eastAsia="Arial" w:hAnsi="Arial"/>
                <w:sz w:val="14"/>
                <w:szCs w:val="14"/>
                <w:color w:val="auto"/>
                <w:w w:val="99"/>
              </w:rPr>
              <w:t>—</w:t>
            </w:r>
          </w:p>
        </w:tc>
      </w:tr>
      <w:tr>
        <w:trPr>
          <w:trHeight w:val="231"/>
        </w:trPr>
        <w:tc>
          <w:tcPr>
            <w:tcW w:w="3920" w:type="dxa"/>
            <w:vAlign w:val="bottom"/>
            <w:tcBorders>
              <w:bottom w:val="single" w:sz="8" w:color="EDEDED"/>
            </w:tcBorders>
            <w:shd w:val="clear" w:color="auto" w:fill="EDEDED"/>
          </w:tcPr>
          <w:p>
            <w:pPr>
              <w:spacing w:after="0"/>
              <w:rPr>
                <w:sz w:val="20"/>
                <w:szCs w:val="20"/>
                <w:color w:val="auto"/>
              </w:rPr>
            </w:pPr>
          </w:p>
        </w:tc>
        <w:tc>
          <w:tcPr>
            <w:tcW w:w="1040" w:type="dxa"/>
            <w:vAlign w:val="bottom"/>
            <w:tcBorders>
              <w:bottom w:val="single" w:sz="8" w:color="EDEDED"/>
            </w:tcBorders>
            <w:shd w:val="clear" w:color="auto" w:fill="EDEDED"/>
          </w:tcPr>
          <w:p>
            <w:pPr>
              <w:jc w:val="center"/>
              <w:ind w:left="248"/>
              <w:spacing w:after="0"/>
              <w:rPr>
                <w:sz w:val="20"/>
                <w:szCs w:val="20"/>
                <w:color w:val="auto"/>
              </w:rPr>
            </w:pPr>
            <w:r>
              <w:rPr>
                <w:rFonts w:ascii="Arial" w:cs="Arial" w:eastAsia="Arial" w:hAnsi="Arial"/>
                <w:sz w:val="14"/>
                <w:szCs w:val="14"/>
                <w:color w:val="auto"/>
              </w:rPr>
              <w:t>2019</w:t>
            </w:r>
          </w:p>
        </w:tc>
        <w:tc>
          <w:tcPr>
            <w:tcW w:w="1220" w:type="dxa"/>
            <w:vAlign w:val="bottom"/>
            <w:tcBorders>
              <w:bottom w:val="single" w:sz="8" w:color="EDEDED"/>
            </w:tcBorders>
            <w:shd w:val="clear" w:color="auto" w:fill="EDEDED"/>
          </w:tcPr>
          <w:p>
            <w:pPr>
              <w:jc w:val="center"/>
              <w:ind w:left="68"/>
              <w:spacing w:after="0"/>
              <w:rPr>
                <w:sz w:val="20"/>
                <w:szCs w:val="20"/>
                <w:color w:val="auto"/>
              </w:rPr>
            </w:pPr>
            <w:r>
              <w:rPr>
                <w:rFonts w:ascii="Arial" w:cs="Arial" w:eastAsia="Arial" w:hAnsi="Arial"/>
                <w:sz w:val="14"/>
                <w:szCs w:val="14"/>
                <w:color w:val="auto"/>
              </w:rPr>
              <w:t>762</w:t>
            </w:r>
          </w:p>
        </w:tc>
        <w:tc>
          <w:tcPr>
            <w:tcW w:w="128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12,878</w:t>
            </w:r>
          </w:p>
        </w:tc>
        <w:tc>
          <w:tcPr>
            <w:tcW w:w="194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tcBorders>
              <w:bottom w:val="single" w:sz="8" w:color="EDEDED"/>
            </w:tcBorders>
            <w:shd w:val="clear" w:color="auto" w:fill="EDEDED"/>
          </w:tcPr>
          <w:p>
            <w:pPr>
              <w:jc w:val="center"/>
              <w:ind w:left="88"/>
              <w:spacing w:after="0"/>
              <w:rPr>
                <w:sz w:val="20"/>
                <w:szCs w:val="20"/>
                <w:color w:val="auto"/>
              </w:rPr>
            </w:pPr>
            <w:r>
              <w:rPr>
                <w:rFonts w:ascii="Arial" w:cs="Arial" w:eastAsia="Arial" w:hAnsi="Arial"/>
                <w:sz w:val="14"/>
                <w:szCs w:val="14"/>
                <w:color w:val="auto"/>
                <w:w w:val="99"/>
              </w:rPr>
              <w:t>—</w:t>
            </w:r>
          </w:p>
        </w:tc>
      </w:tr>
      <w:tr>
        <w:trPr>
          <w:trHeight w:val="255"/>
        </w:trPr>
        <w:tc>
          <w:tcPr>
            <w:tcW w:w="3920" w:type="dxa"/>
            <w:vAlign w:val="bottom"/>
          </w:tcPr>
          <w:p>
            <w:pPr>
              <w:ind w:left="60"/>
              <w:spacing w:after="0"/>
              <w:rPr>
                <w:sz w:val="20"/>
                <w:szCs w:val="20"/>
                <w:color w:val="auto"/>
              </w:rPr>
            </w:pPr>
            <w:r>
              <w:rPr>
                <w:rFonts w:ascii="Arial" w:cs="Arial" w:eastAsia="Arial" w:hAnsi="Arial"/>
                <w:sz w:val="14"/>
                <w:szCs w:val="14"/>
                <w:b w:val="1"/>
                <w:bCs w:val="1"/>
                <w:color w:val="auto"/>
              </w:rPr>
              <w:t>Vanessa P. Williams</w:t>
            </w:r>
          </w:p>
        </w:tc>
        <w:tc>
          <w:tcPr>
            <w:tcW w:w="1040" w:type="dxa"/>
            <w:vAlign w:val="bottom"/>
          </w:tcPr>
          <w:p>
            <w:pPr>
              <w:jc w:val="center"/>
              <w:ind w:left="248"/>
              <w:spacing w:after="0"/>
              <w:rPr>
                <w:sz w:val="20"/>
                <w:szCs w:val="20"/>
                <w:color w:val="auto"/>
              </w:rPr>
            </w:pPr>
            <w:r>
              <w:rPr>
                <w:rFonts w:ascii="Arial" w:cs="Arial" w:eastAsia="Arial" w:hAnsi="Arial"/>
                <w:sz w:val="14"/>
                <w:szCs w:val="14"/>
                <w:color w:val="auto"/>
              </w:rPr>
              <w:t>2022</w:t>
            </w:r>
          </w:p>
        </w:tc>
        <w:tc>
          <w:tcPr>
            <w:tcW w:w="1220" w:type="dxa"/>
            <w:vAlign w:val="bottom"/>
          </w:tcPr>
          <w:p>
            <w:pPr>
              <w:jc w:val="center"/>
              <w:ind w:left="68"/>
              <w:spacing w:after="0"/>
              <w:rPr>
                <w:sz w:val="20"/>
                <w:szCs w:val="20"/>
                <w:color w:val="auto"/>
              </w:rPr>
            </w:pPr>
            <w:r>
              <w:rPr>
                <w:rFonts w:ascii="Arial" w:cs="Arial" w:eastAsia="Arial" w:hAnsi="Arial"/>
                <w:sz w:val="14"/>
                <w:szCs w:val="14"/>
                <w:color w:val="auto"/>
              </w:rPr>
              <w:t>8,170</w:t>
            </w:r>
          </w:p>
        </w:tc>
        <w:tc>
          <w:tcPr>
            <w:tcW w:w="1280" w:type="dxa"/>
            <w:vAlign w:val="bottom"/>
          </w:tcPr>
          <w:p>
            <w:pPr>
              <w:jc w:val="center"/>
              <w:spacing w:after="0"/>
              <w:rPr>
                <w:sz w:val="20"/>
                <w:szCs w:val="20"/>
                <w:color w:val="auto"/>
              </w:rPr>
            </w:pPr>
            <w:r>
              <w:rPr>
                <w:rFonts w:ascii="Arial" w:cs="Arial" w:eastAsia="Arial" w:hAnsi="Arial"/>
                <w:sz w:val="14"/>
                <w:szCs w:val="14"/>
                <w:color w:val="auto"/>
              </w:rPr>
              <w:t>138,073</w:t>
            </w:r>
          </w:p>
        </w:tc>
        <w:tc>
          <w:tcPr>
            <w:tcW w:w="1940" w:type="dxa"/>
            <w:vAlign w:val="bottom"/>
          </w:tcPr>
          <w:p>
            <w:pPr>
              <w:jc w:val="center"/>
              <w:spacing w:after="0"/>
              <w:rPr>
                <w:sz w:val="20"/>
                <w:szCs w:val="20"/>
                <w:color w:val="auto"/>
              </w:rPr>
            </w:pPr>
            <w:r>
              <w:rPr>
                <w:rFonts w:ascii="Arial" w:cs="Arial" w:eastAsia="Arial" w:hAnsi="Arial"/>
                <w:sz w:val="14"/>
                <w:szCs w:val="14"/>
                <w:color w:val="auto"/>
              </w:rPr>
              <w:t>9,508</w:t>
            </w:r>
          </w:p>
        </w:tc>
        <w:tc>
          <w:tcPr>
            <w:tcW w:w="1620" w:type="dxa"/>
            <w:vAlign w:val="bottom"/>
          </w:tcPr>
          <w:p>
            <w:pPr>
              <w:jc w:val="center"/>
              <w:ind w:left="68"/>
              <w:spacing w:after="0"/>
              <w:rPr>
                <w:sz w:val="20"/>
                <w:szCs w:val="20"/>
                <w:color w:val="auto"/>
              </w:rPr>
            </w:pPr>
            <w:r>
              <w:rPr>
                <w:rFonts w:ascii="Arial" w:cs="Arial" w:eastAsia="Arial" w:hAnsi="Arial"/>
                <w:sz w:val="14"/>
                <w:szCs w:val="14"/>
                <w:color w:val="auto"/>
              </w:rPr>
              <w:t>160,685</w:t>
            </w:r>
          </w:p>
        </w:tc>
      </w:tr>
      <w:tr>
        <w:trPr>
          <w:trHeight w:val="210"/>
        </w:trPr>
        <w:tc>
          <w:tcPr>
            <w:tcW w:w="3920" w:type="dxa"/>
            <w:vAlign w:val="bottom"/>
          </w:tcPr>
          <w:p>
            <w:pPr>
              <w:spacing w:after="0"/>
              <w:rPr>
                <w:sz w:val="18"/>
                <w:szCs w:val="18"/>
                <w:color w:val="auto"/>
              </w:rPr>
            </w:pPr>
          </w:p>
        </w:tc>
        <w:tc>
          <w:tcPr>
            <w:tcW w:w="1040" w:type="dxa"/>
            <w:vAlign w:val="bottom"/>
          </w:tcPr>
          <w:p>
            <w:pPr>
              <w:jc w:val="center"/>
              <w:ind w:left="248"/>
              <w:spacing w:after="0"/>
              <w:rPr>
                <w:sz w:val="20"/>
                <w:szCs w:val="20"/>
                <w:color w:val="auto"/>
              </w:rPr>
            </w:pPr>
            <w:r>
              <w:rPr>
                <w:rFonts w:ascii="Arial" w:cs="Arial" w:eastAsia="Arial" w:hAnsi="Arial"/>
                <w:sz w:val="14"/>
                <w:szCs w:val="14"/>
                <w:color w:val="auto"/>
              </w:rPr>
              <w:t>2021</w:t>
            </w:r>
          </w:p>
        </w:tc>
        <w:tc>
          <w:tcPr>
            <w:tcW w:w="1220" w:type="dxa"/>
            <w:vAlign w:val="bottom"/>
          </w:tcPr>
          <w:p>
            <w:pPr>
              <w:jc w:val="center"/>
              <w:ind w:left="68"/>
              <w:spacing w:after="0"/>
              <w:rPr>
                <w:sz w:val="20"/>
                <w:szCs w:val="20"/>
                <w:color w:val="auto"/>
              </w:rPr>
            </w:pPr>
            <w:r>
              <w:rPr>
                <w:rFonts w:ascii="Arial" w:cs="Arial" w:eastAsia="Arial" w:hAnsi="Arial"/>
                <w:sz w:val="14"/>
                <w:szCs w:val="14"/>
                <w:color w:val="auto"/>
              </w:rPr>
              <w:t>12,092</w:t>
            </w:r>
          </w:p>
        </w:tc>
        <w:tc>
          <w:tcPr>
            <w:tcW w:w="1280" w:type="dxa"/>
            <w:vAlign w:val="bottom"/>
          </w:tcPr>
          <w:p>
            <w:pPr>
              <w:jc w:val="center"/>
              <w:spacing w:after="0"/>
              <w:rPr>
                <w:sz w:val="20"/>
                <w:szCs w:val="20"/>
                <w:color w:val="auto"/>
              </w:rPr>
            </w:pPr>
            <w:r>
              <w:rPr>
                <w:rFonts w:ascii="Arial" w:cs="Arial" w:eastAsia="Arial" w:hAnsi="Arial"/>
                <w:sz w:val="14"/>
                <w:szCs w:val="14"/>
                <w:color w:val="auto"/>
              </w:rPr>
              <w:t>204,355</w:t>
            </w:r>
          </w:p>
        </w:tc>
        <w:tc>
          <w:tcPr>
            <w:tcW w:w="1940" w:type="dxa"/>
            <w:vAlign w:val="bottom"/>
          </w:tcPr>
          <w:p>
            <w:pPr>
              <w:jc w:val="center"/>
              <w:spacing w:after="0"/>
              <w:rPr>
                <w:sz w:val="20"/>
                <w:szCs w:val="20"/>
                <w:color w:val="auto"/>
              </w:rPr>
            </w:pPr>
            <w:r>
              <w:rPr>
                <w:rFonts w:ascii="Arial" w:cs="Arial" w:eastAsia="Arial" w:hAnsi="Arial"/>
                <w:sz w:val="14"/>
                <w:szCs w:val="14"/>
                <w:color w:val="auto"/>
              </w:rPr>
              <w:t>14,846</w:t>
            </w:r>
          </w:p>
        </w:tc>
        <w:tc>
          <w:tcPr>
            <w:tcW w:w="1620" w:type="dxa"/>
            <w:vAlign w:val="bottom"/>
          </w:tcPr>
          <w:p>
            <w:pPr>
              <w:jc w:val="center"/>
              <w:ind w:left="68"/>
              <w:spacing w:after="0"/>
              <w:rPr>
                <w:sz w:val="20"/>
                <w:szCs w:val="20"/>
                <w:color w:val="auto"/>
              </w:rPr>
            </w:pPr>
            <w:r>
              <w:rPr>
                <w:rFonts w:ascii="Arial" w:cs="Arial" w:eastAsia="Arial" w:hAnsi="Arial"/>
                <w:sz w:val="14"/>
                <w:szCs w:val="14"/>
                <w:color w:val="auto"/>
              </w:rPr>
              <w:t>250,897</w:t>
            </w:r>
          </w:p>
        </w:tc>
      </w:tr>
      <w:tr>
        <w:trPr>
          <w:trHeight w:val="216"/>
        </w:trPr>
        <w:tc>
          <w:tcPr>
            <w:tcW w:w="3920" w:type="dxa"/>
            <w:vAlign w:val="bottom"/>
          </w:tcPr>
          <w:p>
            <w:pPr>
              <w:spacing w:after="0"/>
              <w:rPr>
                <w:sz w:val="18"/>
                <w:szCs w:val="18"/>
                <w:color w:val="auto"/>
              </w:rPr>
            </w:pPr>
          </w:p>
        </w:tc>
        <w:tc>
          <w:tcPr>
            <w:tcW w:w="1040" w:type="dxa"/>
            <w:vAlign w:val="bottom"/>
          </w:tcPr>
          <w:p>
            <w:pPr>
              <w:jc w:val="center"/>
              <w:ind w:left="248"/>
              <w:spacing w:after="0"/>
              <w:rPr>
                <w:sz w:val="20"/>
                <w:szCs w:val="20"/>
                <w:color w:val="auto"/>
              </w:rPr>
            </w:pPr>
            <w:r>
              <w:rPr>
                <w:rFonts w:ascii="Arial" w:cs="Arial" w:eastAsia="Arial" w:hAnsi="Arial"/>
                <w:sz w:val="14"/>
                <w:szCs w:val="14"/>
                <w:color w:val="auto"/>
              </w:rPr>
              <w:t>2020</w:t>
            </w:r>
          </w:p>
        </w:tc>
        <w:tc>
          <w:tcPr>
            <w:tcW w:w="1220" w:type="dxa"/>
            <w:vAlign w:val="bottom"/>
          </w:tcPr>
          <w:p>
            <w:pPr>
              <w:jc w:val="center"/>
              <w:ind w:left="68"/>
              <w:spacing w:after="0"/>
              <w:rPr>
                <w:sz w:val="20"/>
                <w:szCs w:val="20"/>
                <w:color w:val="auto"/>
              </w:rPr>
            </w:pPr>
            <w:r>
              <w:rPr>
                <w:rFonts w:ascii="Arial" w:cs="Arial" w:eastAsia="Arial" w:hAnsi="Arial"/>
                <w:sz w:val="14"/>
                <w:szCs w:val="14"/>
                <w:color w:val="auto"/>
              </w:rPr>
              <w:t>8,147</w:t>
            </w:r>
          </w:p>
        </w:tc>
        <w:tc>
          <w:tcPr>
            <w:tcW w:w="1280" w:type="dxa"/>
            <w:vAlign w:val="bottom"/>
          </w:tcPr>
          <w:p>
            <w:pPr>
              <w:jc w:val="center"/>
              <w:spacing w:after="0"/>
              <w:rPr>
                <w:sz w:val="20"/>
                <w:szCs w:val="20"/>
                <w:color w:val="auto"/>
              </w:rPr>
            </w:pPr>
            <w:r>
              <w:rPr>
                <w:rFonts w:ascii="Arial" w:cs="Arial" w:eastAsia="Arial" w:hAnsi="Arial"/>
                <w:sz w:val="14"/>
                <w:szCs w:val="14"/>
                <w:color w:val="auto"/>
              </w:rPr>
              <w:t>137,684</w:t>
            </w:r>
          </w:p>
        </w:tc>
        <w:tc>
          <w:tcPr>
            <w:tcW w:w="19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620" w:type="dxa"/>
            <w:vAlign w:val="bottom"/>
          </w:tcPr>
          <w:p>
            <w:pPr>
              <w:jc w:val="center"/>
              <w:ind w:left="88"/>
              <w:spacing w:after="0"/>
              <w:rPr>
                <w:sz w:val="20"/>
                <w:szCs w:val="20"/>
                <w:color w:val="auto"/>
              </w:rPr>
            </w:pPr>
            <w:r>
              <w:rPr>
                <w:rFonts w:ascii="Arial" w:cs="Arial" w:eastAsia="Arial" w:hAnsi="Arial"/>
                <w:sz w:val="14"/>
                <w:szCs w:val="14"/>
                <w:color w:val="auto"/>
                <w:w w:val="99"/>
              </w:rPr>
              <w:t>—</w:t>
            </w:r>
          </w:p>
        </w:tc>
      </w:tr>
      <w:tr>
        <w:trPr>
          <w:trHeight w:val="35"/>
        </w:trPr>
        <w:tc>
          <w:tcPr>
            <w:tcW w:w="39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20" w:type="dxa"/>
            <w:vAlign w:val="bottom"/>
          </w:tcPr>
          <w:p>
            <w:pPr>
              <w:spacing w:after="0"/>
              <w:rPr>
                <w:sz w:val="3"/>
                <w:szCs w:val="3"/>
                <w:color w:val="auto"/>
              </w:rPr>
            </w:pPr>
          </w:p>
        </w:tc>
      </w:tr>
      <w:tr>
        <w:trPr>
          <w:trHeight w:val="255"/>
        </w:trPr>
        <w:tc>
          <w:tcPr>
            <w:tcW w:w="3920" w:type="dxa"/>
            <w:vAlign w:val="bottom"/>
            <w:shd w:val="clear" w:color="auto" w:fill="EDEDED"/>
          </w:tcPr>
          <w:p>
            <w:pPr>
              <w:ind w:left="60"/>
              <w:spacing w:after="0"/>
              <w:rPr>
                <w:sz w:val="20"/>
                <w:szCs w:val="20"/>
                <w:color w:val="auto"/>
              </w:rPr>
            </w:pPr>
            <w:r>
              <w:rPr>
                <w:rFonts w:ascii="Arial" w:cs="Arial" w:eastAsia="Arial" w:hAnsi="Arial"/>
                <w:sz w:val="14"/>
                <w:szCs w:val="14"/>
                <w:b w:val="1"/>
                <w:bCs w:val="1"/>
                <w:color w:val="auto"/>
              </w:rPr>
              <w:t>Darren L. Simons</w:t>
            </w:r>
          </w:p>
        </w:tc>
        <w:tc>
          <w:tcPr>
            <w:tcW w:w="1040" w:type="dxa"/>
            <w:vAlign w:val="bottom"/>
            <w:shd w:val="clear" w:color="auto" w:fill="EDEDED"/>
          </w:tcPr>
          <w:p>
            <w:pPr>
              <w:jc w:val="center"/>
              <w:ind w:left="248"/>
              <w:spacing w:after="0"/>
              <w:rPr>
                <w:sz w:val="20"/>
                <w:szCs w:val="20"/>
                <w:color w:val="auto"/>
              </w:rPr>
            </w:pPr>
            <w:r>
              <w:rPr>
                <w:rFonts w:ascii="Arial" w:cs="Arial" w:eastAsia="Arial" w:hAnsi="Arial"/>
                <w:sz w:val="14"/>
                <w:szCs w:val="14"/>
                <w:color w:val="auto"/>
              </w:rPr>
              <w:t>2022</w:t>
            </w:r>
          </w:p>
        </w:tc>
        <w:tc>
          <w:tcPr>
            <w:tcW w:w="1220" w:type="dxa"/>
            <w:vAlign w:val="bottom"/>
            <w:shd w:val="clear" w:color="auto" w:fill="EDEDED"/>
          </w:tcPr>
          <w:p>
            <w:pPr>
              <w:jc w:val="center"/>
              <w:ind w:left="68"/>
              <w:spacing w:after="0"/>
              <w:rPr>
                <w:sz w:val="20"/>
                <w:szCs w:val="20"/>
                <w:color w:val="auto"/>
              </w:rPr>
            </w:pPr>
            <w:r>
              <w:rPr>
                <w:rFonts w:ascii="Arial" w:cs="Arial" w:eastAsia="Arial" w:hAnsi="Arial"/>
                <w:sz w:val="14"/>
                <w:szCs w:val="14"/>
                <w:color w:val="auto"/>
              </w:rPr>
              <w:t>16,178</w:t>
            </w:r>
          </w:p>
        </w:tc>
        <w:tc>
          <w:tcPr>
            <w:tcW w:w="128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273,408</w:t>
            </w:r>
          </w:p>
        </w:tc>
        <w:tc>
          <w:tcPr>
            <w:tcW w:w="1940" w:type="dxa"/>
            <w:vAlign w:val="bottom"/>
            <w:shd w:val="clear" w:color="auto" w:fill="EDEDED"/>
          </w:tcPr>
          <w:p>
            <w:pPr>
              <w:jc w:val="center"/>
              <w:spacing w:after="0"/>
              <w:rPr>
                <w:sz w:val="20"/>
                <w:szCs w:val="20"/>
                <w:color w:val="auto"/>
              </w:rPr>
            </w:pPr>
            <w:r>
              <w:rPr>
                <w:rFonts w:ascii="Arial" w:cs="Arial" w:eastAsia="Arial" w:hAnsi="Arial"/>
                <w:sz w:val="14"/>
                <w:szCs w:val="14"/>
                <w:color w:val="auto"/>
              </w:rPr>
              <w:t>6,060</w:t>
            </w:r>
          </w:p>
        </w:tc>
        <w:tc>
          <w:tcPr>
            <w:tcW w:w="1620" w:type="dxa"/>
            <w:vAlign w:val="bottom"/>
            <w:shd w:val="clear" w:color="auto" w:fill="EDEDED"/>
          </w:tcPr>
          <w:p>
            <w:pPr>
              <w:jc w:val="center"/>
              <w:ind w:left="68"/>
              <w:spacing w:after="0"/>
              <w:rPr>
                <w:sz w:val="20"/>
                <w:szCs w:val="20"/>
                <w:color w:val="auto"/>
              </w:rPr>
            </w:pPr>
            <w:r>
              <w:rPr>
                <w:rFonts w:ascii="Arial" w:cs="Arial" w:eastAsia="Arial" w:hAnsi="Arial"/>
                <w:sz w:val="14"/>
                <w:szCs w:val="14"/>
                <w:color w:val="auto"/>
              </w:rPr>
              <w:t>102,414</w:t>
            </w:r>
          </w:p>
        </w:tc>
      </w:tr>
      <w:tr>
        <w:trPr>
          <w:trHeight w:val="225"/>
        </w:trPr>
        <w:tc>
          <w:tcPr>
            <w:tcW w:w="3920" w:type="dxa"/>
            <w:vAlign w:val="bottom"/>
            <w:tcBorders>
              <w:bottom w:val="single" w:sz="8" w:color="EDEDED"/>
            </w:tcBorders>
            <w:shd w:val="clear" w:color="auto" w:fill="EDEDED"/>
          </w:tcPr>
          <w:p>
            <w:pPr>
              <w:spacing w:after="0"/>
              <w:rPr>
                <w:sz w:val="19"/>
                <w:szCs w:val="19"/>
                <w:color w:val="auto"/>
              </w:rPr>
            </w:pPr>
          </w:p>
        </w:tc>
        <w:tc>
          <w:tcPr>
            <w:tcW w:w="1040" w:type="dxa"/>
            <w:vAlign w:val="bottom"/>
            <w:tcBorders>
              <w:bottom w:val="single" w:sz="8" w:color="EDEDED"/>
            </w:tcBorders>
            <w:shd w:val="clear" w:color="auto" w:fill="EDEDED"/>
          </w:tcPr>
          <w:p>
            <w:pPr>
              <w:jc w:val="center"/>
              <w:ind w:left="248"/>
              <w:spacing w:after="0"/>
              <w:rPr>
                <w:sz w:val="20"/>
                <w:szCs w:val="20"/>
                <w:color w:val="auto"/>
              </w:rPr>
            </w:pPr>
            <w:r>
              <w:rPr>
                <w:rFonts w:ascii="Arial" w:cs="Arial" w:eastAsia="Arial" w:hAnsi="Arial"/>
                <w:sz w:val="14"/>
                <w:szCs w:val="14"/>
                <w:color w:val="auto"/>
              </w:rPr>
              <w:t>2021</w:t>
            </w:r>
          </w:p>
        </w:tc>
        <w:tc>
          <w:tcPr>
            <w:tcW w:w="1220" w:type="dxa"/>
            <w:vAlign w:val="bottom"/>
            <w:tcBorders>
              <w:bottom w:val="single" w:sz="8" w:color="EDEDED"/>
            </w:tcBorders>
            <w:shd w:val="clear" w:color="auto" w:fill="EDEDED"/>
          </w:tcPr>
          <w:p>
            <w:pPr>
              <w:jc w:val="center"/>
              <w:ind w:left="88"/>
              <w:spacing w:after="0"/>
              <w:rPr>
                <w:sz w:val="20"/>
                <w:szCs w:val="20"/>
                <w:color w:val="auto"/>
              </w:rPr>
            </w:pPr>
            <w:r>
              <w:rPr>
                <w:rFonts w:ascii="Arial" w:cs="Arial" w:eastAsia="Arial" w:hAnsi="Arial"/>
                <w:sz w:val="14"/>
                <w:szCs w:val="14"/>
                <w:color w:val="auto"/>
                <w:w w:val="97"/>
              </w:rPr>
              <w:t>11,209</w:t>
            </w:r>
          </w:p>
        </w:tc>
        <w:tc>
          <w:tcPr>
            <w:tcW w:w="128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189,432</w:t>
            </w:r>
          </w:p>
        </w:tc>
        <w:tc>
          <w:tcPr>
            <w:tcW w:w="194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15,542</w:t>
            </w:r>
          </w:p>
        </w:tc>
        <w:tc>
          <w:tcPr>
            <w:tcW w:w="1620" w:type="dxa"/>
            <w:vAlign w:val="bottom"/>
            <w:tcBorders>
              <w:bottom w:val="single" w:sz="8" w:color="EDEDED"/>
            </w:tcBorders>
            <w:shd w:val="clear" w:color="auto" w:fill="EDEDED"/>
          </w:tcPr>
          <w:p>
            <w:pPr>
              <w:jc w:val="center"/>
              <w:ind w:left="68"/>
              <w:spacing w:after="0"/>
              <w:rPr>
                <w:sz w:val="20"/>
                <w:szCs w:val="20"/>
                <w:color w:val="auto"/>
              </w:rPr>
            </w:pPr>
            <w:r>
              <w:rPr>
                <w:rFonts w:ascii="Arial" w:cs="Arial" w:eastAsia="Arial" w:hAnsi="Arial"/>
                <w:sz w:val="14"/>
                <w:szCs w:val="14"/>
                <w:color w:val="auto"/>
              </w:rPr>
              <w:t>262,660</w:t>
            </w:r>
          </w:p>
        </w:tc>
      </w:tr>
      <w:tr>
        <w:trPr>
          <w:trHeight w:val="20"/>
        </w:trPr>
        <w:tc>
          <w:tcPr>
            <w:tcW w:w="39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r>
    </w:tbl>
    <w:p>
      <w:pPr>
        <w:spacing w:after="0" w:line="63" w:lineRule="exact"/>
        <w:rPr>
          <w:sz w:val="20"/>
          <w:szCs w:val="20"/>
          <w:color w:val="auto"/>
        </w:rPr>
      </w:pPr>
    </w:p>
    <w:p>
      <w:pPr>
        <w:ind w:left="440" w:right="80" w:hanging="324"/>
        <w:spacing w:after="0" w:line="196" w:lineRule="auto"/>
        <w:tabs>
          <w:tab w:leader="none" w:pos="44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The Company did not grant stock options during the 2022 fiscal year. All previously outstanding granted stock options for the named executive officers expired during the 2014 fiscal year. As a result, there are no outstanding options to report and, accordingly, these columns have been eliminated from the table.</w:t>
      </w:r>
    </w:p>
    <w:p>
      <w:pPr>
        <w:spacing w:after="0" w:line="36" w:lineRule="exact"/>
        <w:rPr>
          <w:rFonts w:ascii="Arial" w:cs="Arial" w:eastAsia="Arial" w:hAnsi="Arial"/>
          <w:sz w:val="19"/>
          <w:szCs w:val="19"/>
          <w:color w:val="auto"/>
          <w:vertAlign w:val="superscript"/>
        </w:rPr>
      </w:pPr>
    </w:p>
    <w:p>
      <w:pPr>
        <w:ind w:left="440" w:right="220" w:hanging="324"/>
        <w:spacing w:after="0" w:line="196" w:lineRule="auto"/>
        <w:tabs>
          <w:tab w:leader="none" w:pos="44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All outstanding Restricted Stock Awards/Units vest ratably over four years, with the exception of Mr. Simons’ June 2022 award which has a two-year cliff vest. 2021 total includes 50% of the GP portion of the KEEP award. The number of outstanding shares has been determined as of January 1, 2023, the last day of the Company’s fiscal year 2022.</w:t>
      </w:r>
    </w:p>
    <w:p>
      <w:pPr>
        <w:spacing w:after="0" w:line="36" w:lineRule="exact"/>
        <w:rPr>
          <w:rFonts w:ascii="Arial" w:cs="Arial" w:eastAsia="Arial" w:hAnsi="Arial"/>
          <w:sz w:val="19"/>
          <w:szCs w:val="19"/>
          <w:color w:val="auto"/>
          <w:vertAlign w:val="superscript"/>
        </w:rPr>
      </w:pPr>
    </w:p>
    <w:p>
      <w:pPr>
        <w:ind w:left="440" w:right="160" w:hanging="324"/>
        <w:spacing w:after="0" w:line="209" w:lineRule="auto"/>
        <w:tabs>
          <w:tab w:leader="none" w:pos="440" w:val="left"/>
        </w:tabs>
        <w:numPr>
          <w:ilvl w:val="0"/>
          <w:numId w:val="56"/>
        </w:numPr>
        <w:rPr>
          <w:rFonts w:ascii="Arial" w:cs="Arial" w:eastAsia="Arial" w:hAnsi="Arial"/>
          <w:sz w:val="18"/>
          <w:szCs w:val="18"/>
          <w:color w:val="auto"/>
          <w:vertAlign w:val="superscript"/>
        </w:rPr>
      </w:pPr>
      <w:r>
        <w:rPr>
          <w:rFonts w:ascii="Arial" w:cs="Arial" w:eastAsia="Arial" w:hAnsi="Arial"/>
          <w:sz w:val="12"/>
          <w:szCs w:val="12"/>
          <w:color w:val="auto"/>
        </w:rPr>
        <w:t>Performance results for the first and second year of the 2021-2023 LTI are reflected in these totals, which is detailed above in the “2021-2023 Long-Term Incentive Performance Results” section. Performance results for the first year of the 2022-2024 LTI are reflected in these totals, which is detailed above in the “2022-2024 Long-Term Incentive Performance Results” section.</w:t>
      </w:r>
    </w:p>
    <w:p>
      <w:pPr>
        <w:ind w:left="440" w:hanging="324"/>
        <w:spacing w:after="0" w:line="222" w:lineRule="auto"/>
        <w:tabs>
          <w:tab w:leader="none" w:pos="44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The market value is determined based on the closing market price of our common shares on the last trading day of the 2022 fiscal year, December 30, 2022 ($16.90).</w:t>
      </w:r>
    </w:p>
    <w:p>
      <w:pPr>
        <w:spacing w:after="0" w:line="48" w:lineRule="exact"/>
        <w:rPr>
          <w:rFonts w:ascii="Arial" w:cs="Arial" w:eastAsia="Arial" w:hAnsi="Arial"/>
          <w:sz w:val="19"/>
          <w:szCs w:val="19"/>
          <w:color w:val="auto"/>
          <w:vertAlign w:val="superscript"/>
        </w:rPr>
      </w:pPr>
    </w:p>
    <w:p>
      <w:pPr>
        <w:ind w:left="440" w:right="220" w:hanging="324"/>
        <w:spacing w:after="0" w:line="201" w:lineRule="auto"/>
        <w:tabs>
          <w:tab w:leader="none" w:pos="440" w:val="left"/>
        </w:tabs>
        <w:numPr>
          <w:ilvl w:val="0"/>
          <w:numId w:val="56"/>
        </w:numPr>
        <w:rPr>
          <w:rFonts w:ascii="Arial" w:cs="Arial" w:eastAsia="Arial" w:hAnsi="Arial"/>
          <w:sz w:val="18"/>
          <w:szCs w:val="18"/>
          <w:color w:val="auto"/>
          <w:vertAlign w:val="superscript"/>
        </w:rPr>
      </w:pPr>
      <w:r>
        <w:rPr>
          <w:rFonts w:ascii="Arial" w:cs="Arial" w:eastAsia="Arial" w:hAnsi="Arial"/>
          <w:sz w:val="12"/>
          <w:szCs w:val="12"/>
          <w:color w:val="auto"/>
        </w:rPr>
        <w:t>Performance Shares granted in 2021 and 2022 are earned based upon achievement of selected financial measures over three one-year periods. If the minimum or threshold performance is not attained, the performance shares will be forfeited. The table includes the 2021 Performance Shares year three and the 2022 Performance Shares years two and three, at target.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77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-142875</wp:posOffset>
            </wp:positionV>
            <wp:extent cx="411480" cy="1968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2022 Executive Compensation Tables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Option Exercises and Stock Vested 2022</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3340" w:type="dxa"/>
            <w:vAlign w:val="bottom"/>
            <w:gridSpan w:val="2"/>
          </w:tcPr>
          <w:p>
            <w:pPr>
              <w:ind w:left="1320"/>
              <w:spacing w:after="0"/>
              <w:rPr>
                <w:sz w:val="20"/>
                <w:szCs w:val="20"/>
                <w:color w:val="auto"/>
              </w:rPr>
            </w:pPr>
            <w:r>
              <w:rPr>
                <w:rFonts w:ascii="Arial" w:cs="Arial" w:eastAsia="Arial" w:hAnsi="Arial"/>
                <w:sz w:val="14"/>
                <w:szCs w:val="14"/>
                <w:b w:val="1"/>
                <w:bCs w:val="1"/>
                <w:color w:val="00AF41"/>
              </w:rPr>
              <w:t>Option Awards</w:t>
            </w:r>
          </w:p>
        </w:tc>
        <w:tc>
          <w:tcPr>
            <w:tcW w:w="2480" w:type="dxa"/>
            <w:vAlign w:val="bottom"/>
            <w:gridSpan w:val="2"/>
          </w:tcPr>
          <w:p>
            <w:pPr>
              <w:ind w:left="940"/>
              <w:spacing w:after="0"/>
              <w:rPr>
                <w:sz w:val="20"/>
                <w:szCs w:val="20"/>
                <w:color w:val="auto"/>
              </w:rPr>
            </w:pPr>
            <w:r>
              <w:rPr>
                <w:rFonts w:ascii="Arial" w:cs="Arial" w:eastAsia="Arial" w:hAnsi="Arial"/>
                <w:sz w:val="14"/>
                <w:szCs w:val="14"/>
                <w:b w:val="1"/>
                <w:bCs w:val="1"/>
                <w:color w:val="00AF41"/>
              </w:rPr>
              <w:t>Stock Awards</w:t>
            </w:r>
          </w:p>
        </w:tc>
      </w:tr>
      <w:tr>
        <w:trPr>
          <w:trHeight w:val="43"/>
        </w:trPr>
        <w:tc>
          <w:tcPr>
            <w:tcW w:w="5200" w:type="dxa"/>
            <w:vAlign w:val="bottom"/>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46"/>
        </w:trPr>
        <w:tc>
          <w:tcPr>
            <w:tcW w:w="5200" w:type="dxa"/>
            <w:vAlign w:val="bottom"/>
          </w:tcPr>
          <w:p>
            <w:pPr>
              <w:spacing w:after="0"/>
              <w:rPr>
                <w:sz w:val="12"/>
                <w:szCs w:val="12"/>
                <w:color w:val="auto"/>
              </w:rPr>
            </w:pPr>
          </w:p>
        </w:tc>
        <w:tc>
          <w:tcPr>
            <w:tcW w:w="1860" w:type="dxa"/>
            <w:vAlign w:val="bottom"/>
          </w:tcPr>
          <w:p>
            <w:pPr>
              <w:jc w:val="center"/>
              <w:ind w:left="268"/>
              <w:spacing w:after="0" w:line="147" w:lineRule="exact"/>
              <w:rPr>
                <w:sz w:val="20"/>
                <w:szCs w:val="20"/>
                <w:color w:val="auto"/>
              </w:rPr>
            </w:pPr>
            <w:r>
              <w:rPr>
                <w:rFonts w:ascii="Arial" w:cs="Arial" w:eastAsia="Arial" w:hAnsi="Arial"/>
                <w:sz w:val="14"/>
                <w:szCs w:val="14"/>
                <w:b w:val="1"/>
                <w:bCs w:val="1"/>
                <w:color w:val="00AF41"/>
              </w:rPr>
              <w:t>Number of</w:t>
            </w:r>
          </w:p>
        </w:tc>
        <w:tc>
          <w:tcPr>
            <w:tcW w:w="1480" w:type="dxa"/>
            <w:vAlign w:val="bottom"/>
          </w:tcPr>
          <w:p>
            <w:pPr>
              <w:spacing w:after="0"/>
              <w:rPr>
                <w:sz w:val="12"/>
                <w:szCs w:val="12"/>
                <w:color w:val="auto"/>
              </w:rPr>
            </w:pPr>
          </w:p>
        </w:tc>
        <w:tc>
          <w:tcPr>
            <w:tcW w:w="1420" w:type="dxa"/>
            <w:vAlign w:val="bottom"/>
          </w:tcPr>
          <w:p>
            <w:pPr>
              <w:jc w:val="center"/>
              <w:ind w:left="28"/>
              <w:spacing w:after="0" w:line="147" w:lineRule="exact"/>
              <w:rPr>
                <w:sz w:val="20"/>
                <w:szCs w:val="20"/>
                <w:color w:val="auto"/>
              </w:rPr>
            </w:pPr>
            <w:r>
              <w:rPr>
                <w:rFonts w:ascii="Arial" w:cs="Arial" w:eastAsia="Arial" w:hAnsi="Arial"/>
                <w:sz w:val="14"/>
                <w:szCs w:val="14"/>
                <w:b w:val="1"/>
                <w:bCs w:val="1"/>
                <w:color w:val="00AF41"/>
              </w:rPr>
              <w:t>Number of</w:t>
            </w:r>
          </w:p>
        </w:tc>
        <w:tc>
          <w:tcPr>
            <w:tcW w:w="1060" w:type="dxa"/>
            <w:vAlign w:val="bottom"/>
          </w:tcPr>
          <w:p>
            <w:pPr>
              <w:spacing w:after="0"/>
              <w:rPr>
                <w:sz w:val="12"/>
                <w:szCs w:val="12"/>
                <w:color w:val="auto"/>
              </w:rPr>
            </w:pPr>
          </w:p>
        </w:tc>
      </w:tr>
      <w:tr>
        <w:trPr>
          <w:trHeight w:val="162"/>
        </w:trPr>
        <w:tc>
          <w:tcPr>
            <w:tcW w:w="5200" w:type="dxa"/>
            <w:vAlign w:val="bottom"/>
          </w:tcPr>
          <w:p>
            <w:pPr>
              <w:spacing w:after="0"/>
              <w:rPr>
                <w:sz w:val="14"/>
                <w:szCs w:val="14"/>
                <w:color w:val="auto"/>
              </w:rPr>
            </w:pPr>
          </w:p>
        </w:tc>
        <w:tc>
          <w:tcPr>
            <w:tcW w:w="1860" w:type="dxa"/>
            <w:vAlign w:val="bottom"/>
          </w:tcPr>
          <w:p>
            <w:pPr>
              <w:jc w:val="center"/>
              <w:ind w:left="268"/>
              <w:spacing w:after="0"/>
              <w:rPr>
                <w:sz w:val="20"/>
                <w:szCs w:val="20"/>
                <w:color w:val="auto"/>
              </w:rPr>
            </w:pPr>
            <w:r>
              <w:rPr>
                <w:rFonts w:ascii="Arial" w:cs="Arial" w:eastAsia="Arial" w:hAnsi="Arial"/>
                <w:sz w:val="14"/>
                <w:szCs w:val="14"/>
                <w:b w:val="1"/>
                <w:bCs w:val="1"/>
                <w:color w:val="00AF41"/>
              </w:rPr>
              <w:t>Shares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00AF41"/>
                <w:w w:val="96"/>
              </w:rPr>
              <w:t>Value</w:t>
            </w:r>
          </w:p>
        </w:tc>
        <w:tc>
          <w:tcPr>
            <w:tcW w:w="1420" w:type="dxa"/>
            <w:vAlign w:val="bottom"/>
          </w:tcPr>
          <w:p>
            <w:pPr>
              <w:jc w:val="center"/>
              <w:ind w:left="28"/>
              <w:spacing w:after="0"/>
              <w:rPr>
                <w:sz w:val="20"/>
                <w:szCs w:val="20"/>
                <w:color w:val="auto"/>
              </w:rPr>
            </w:pPr>
            <w:r>
              <w:rPr>
                <w:rFonts w:ascii="Arial" w:cs="Arial" w:eastAsia="Arial" w:hAnsi="Arial"/>
                <w:sz w:val="14"/>
                <w:szCs w:val="14"/>
                <w:b w:val="1"/>
                <w:bCs w:val="1"/>
                <w:color w:val="00AF41"/>
              </w:rPr>
              <w:t>Shares</w:t>
            </w:r>
          </w:p>
        </w:tc>
        <w:tc>
          <w:tcPr>
            <w:tcW w:w="1060" w:type="dxa"/>
            <w:vAlign w:val="bottom"/>
          </w:tcPr>
          <w:p>
            <w:pPr>
              <w:jc w:val="center"/>
              <w:ind w:left="169"/>
              <w:spacing w:after="0"/>
              <w:rPr>
                <w:sz w:val="20"/>
                <w:szCs w:val="20"/>
                <w:color w:val="auto"/>
              </w:rPr>
            </w:pPr>
            <w:r>
              <w:rPr>
                <w:rFonts w:ascii="Arial" w:cs="Arial" w:eastAsia="Arial" w:hAnsi="Arial"/>
                <w:sz w:val="14"/>
                <w:szCs w:val="14"/>
                <w:b w:val="1"/>
                <w:bCs w:val="1"/>
                <w:color w:val="00AF41"/>
              </w:rPr>
              <w:t>Value</w:t>
            </w:r>
          </w:p>
        </w:tc>
      </w:tr>
      <w:tr>
        <w:trPr>
          <w:trHeight w:val="158"/>
        </w:trPr>
        <w:tc>
          <w:tcPr>
            <w:tcW w:w="5200" w:type="dxa"/>
            <w:vAlign w:val="bottom"/>
          </w:tcPr>
          <w:p>
            <w:pPr>
              <w:spacing w:after="0"/>
              <w:rPr>
                <w:sz w:val="13"/>
                <w:szCs w:val="13"/>
                <w:color w:val="auto"/>
              </w:rPr>
            </w:pPr>
          </w:p>
        </w:tc>
        <w:tc>
          <w:tcPr>
            <w:tcW w:w="1860" w:type="dxa"/>
            <w:vAlign w:val="bottom"/>
          </w:tcPr>
          <w:p>
            <w:pPr>
              <w:jc w:val="center"/>
              <w:ind w:left="268"/>
              <w:spacing w:after="0" w:line="158" w:lineRule="exact"/>
              <w:rPr>
                <w:sz w:val="20"/>
                <w:szCs w:val="20"/>
                <w:color w:val="auto"/>
              </w:rPr>
            </w:pPr>
            <w:r>
              <w:rPr>
                <w:rFonts w:ascii="Arial" w:cs="Arial" w:eastAsia="Arial" w:hAnsi="Arial"/>
                <w:sz w:val="14"/>
                <w:szCs w:val="14"/>
                <w:b w:val="1"/>
                <w:bCs w:val="1"/>
                <w:color w:val="00AF41"/>
              </w:rPr>
              <w:t>Acquired on</w:t>
            </w: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00AF41"/>
              </w:rPr>
              <w:t>Realized on</w:t>
            </w:r>
          </w:p>
        </w:tc>
        <w:tc>
          <w:tcPr>
            <w:tcW w:w="1420" w:type="dxa"/>
            <w:vAlign w:val="bottom"/>
          </w:tcPr>
          <w:p>
            <w:pPr>
              <w:jc w:val="center"/>
              <w:ind w:left="28"/>
              <w:spacing w:after="0" w:line="158" w:lineRule="exact"/>
              <w:rPr>
                <w:sz w:val="20"/>
                <w:szCs w:val="20"/>
                <w:color w:val="auto"/>
              </w:rPr>
            </w:pPr>
            <w:r>
              <w:rPr>
                <w:rFonts w:ascii="Arial" w:cs="Arial" w:eastAsia="Arial" w:hAnsi="Arial"/>
                <w:sz w:val="14"/>
                <w:szCs w:val="14"/>
                <w:b w:val="1"/>
                <w:bCs w:val="1"/>
                <w:color w:val="00AF41"/>
              </w:rPr>
              <w:t>Acquired on</w:t>
            </w:r>
          </w:p>
        </w:tc>
        <w:tc>
          <w:tcPr>
            <w:tcW w:w="1060" w:type="dxa"/>
            <w:vAlign w:val="bottom"/>
          </w:tcPr>
          <w:p>
            <w:pPr>
              <w:jc w:val="center"/>
              <w:ind w:left="149"/>
              <w:spacing w:after="0" w:line="158" w:lineRule="exact"/>
              <w:rPr>
                <w:sz w:val="20"/>
                <w:szCs w:val="20"/>
                <w:color w:val="auto"/>
              </w:rPr>
            </w:pPr>
            <w:r>
              <w:rPr>
                <w:rFonts w:ascii="Arial" w:cs="Arial" w:eastAsia="Arial" w:hAnsi="Arial"/>
                <w:sz w:val="14"/>
                <w:szCs w:val="14"/>
                <w:b w:val="1"/>
                <w:bCs w:val="1"/>
                <w:color w:val="00AF41"/>
              </w:rPr>
              <w:t>Realized on</w:t>
            </w:r>
          </w:p>
        </w:tc>
      </w:tr>
      <w:tr>
        <w:trPr>
          <w:trHeight w:val="166"/>
        </w:trPr>
        <w:tc>
          <w:tcPr>
            <w:tcW w:w="5200" w:type="dxa"/>
            <w:vAlign w:val="bottom"/>
          </w:tcPr>
          <w:p>
            <w:pPr>
              <w:spacing w:after="0"/>
              <w:rPr>
                <w:sz w:val="14"/>
                <w:szCs w:val="14"/>
                <w:color w:val="auto"/>
              </w:rPr>
            </w:pPr>
          </w:p>
        </w:tc>
        <w:tc>
          <w:tcPr>
            <w:tcW w:w="1860" w:type="dxa"/>
            <w:vAlign w:val="bottom"/>
          </w:tcPr>
          <w:p>
            <w:pPr>
              <w:jc w:val="center"/>
              <w:ind w:left="248"/>
              <w:spacing w:after="0"/>
              <w:rPr>
                <w:sz w:val="20"/>
                <w:szCs w:val="20"/>
                <w:color w:val="auto"/>
              </w:rPr>
            </w:pPr>
            <w:r>
              <w:rPr>
                <w:rFonts w:ascii="Arial" w:cs="Arial" w:eastAsia="Arial" w:hAnsi="Arial"/>
                <w:sz w:val="14"/>
                <w:szCs w:val="14"/>
                <w:b w:val="1"/>
                <w:bCs w:val="1"/>
                <w:color w:val="00AF41"/>
              </w:rPr>
              <w:t>Exercise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00AF41"/>
              </w:rPr>
              <w:t>Exercise</w:t>
            </w:r>
          </w:p>
        </w:tc>
        <w:tc>
          <w:tcPr>
            <w:tcW w:w="1420" w:type="dxa"/>
            <w:vAlign w:val="bottom"/>
          </w:tcPr>
          <w:p>
            <w:pPr>
              <w:jc w:val="center"/>
              <w:ind w:left="28"/>
              <w:spacing w:after="0"/>
              <w:rPr>
                <w:sz w:val="20"/>
                <w:szCs w:val="20"/>
                <w:color w:val="auto"/>
              </w:rPr>
            </w:pPr>
            <w:r>
              <w:rPr>
                <w:rFonts w:ascii="Arial" w:cs="Arial" w:eastAsia="Arial" w:hAnsi="Arial"/>
                <w:sz w:val="14"/>
                <w:szCs w:val="14"/>
                <w:b w:val="1"/>
                <w:bCs w:val="1"/>
                <w:color w:val="00AF41"/>
              </w:rPr>
              <w:t>Vesting</w:t>
            </w:r>
          </w:p>
        </w:tc>
        <w:tc>
          <w:tcPr>
            <w:tcW w:w="1060" w:type="dxa"/>
            <w:vAlign w:val="bottom"/>
          </w:tcPr>
          <w:p>
            <w:pPr>
              <w:jc w:val="center"/>
              <w:ind w:left="149"/>
              <w:spacing w:after="0" w:line="166" w:lineRule="exact"/>
              <w:rPr>
                <w:sz w:val="20"/>
                <w:szCs w:val="20"/>
                <w:color w:val="auto"/>
              </w:rPr>
            </w:pPr>
            <w:r>
              <w:rPr>
                <w:rFonts w:ascii="Arial" w:cs="Arial" w:eastAsia="Arial" w:hAnsi="Arial"/>
                <w:sz w:val="13"/>
                <w:szCs w:val="13"/>
                <w:b w:val="1"/>
                <w:bCs w:val="1"/>
                <w:color w:val="00AF41"/>
              </w:rPr>
              <w:t>Vesting</w:t>
            </w:r>
            <w:r>
              <w:rPr>
                <w:rFonts w:ascii="Arial" w:cs="Arial" w:eastAsia="Arial" w:hAnsi="Arial"/>
                <w:sz w:val="19"/>
                <w:szCs w:val="19"/>
                <w:b w:val="1"/>
                <w:bCs w:val="1"/>
                <w:color w:val="00AF41"/>
                <w:vertAlign w:val="superscript"/>
              </w:rPr>
              <w:t>(1)</w:t>
            </w:r>
          </w:p>
        </w:tc>
      </w:tr>
      <w:tr>
        <w:trPr>
          <w:trHeight w:val="196"/>
        </w:trPr>
        <w:tc>
          <w:tcPr>
            <w:tcW w:w="5200" w:type="dxa"/>
            <w:vAlign w:val="bottom"/>
          </w:tcPr>
          <w:p>
            <w:pPr>
              <w:ind w:left="80"/>
              <w:spacing w:after="0"/>
              <w:rPr>
                <w:sz w:val="20"/>
                <w:szCs w:val="20"/>
                <w:color w:val="auto"/>
              </w:rPr>
            </w:pPr>
            <w:r>
              <w:rPr>
                <w:rFonts w:ascii="Arial" w:cs="Arial" w:eastAsia="Arial" w:hAnsi="Arial"/>
                <w:sz w:val="14"/>
                <w:szCs w:val="14"/>
                <w:b w:val="1"/>
                <w:bCs w:val="1"/>
                <w:color w:val="00AF41"/>
              </w:rPr>
              <w:t>Name</w:t>
            </w:r>
          </w:p>
        </w:tc>
        <w:tc>
          <w:tcPr>
            <w:tcW w:w="1860" w:type="dxa"/>
            <w:vAlign w:val="bottom"/>
          </w:tcPr>
          <w:p>
            <w:pPr>
              <w:jc w:val="center"/>
              <w:ind w:left="248"/>
              <w:spacing w:after="0"/>
              <w:rPr>
                <w:sz w:val="20"/>
                <w:szCs w:val="20"/>
                <w:color w:val="auto"/>
              </w:rPr>
            </w:pPr>
            <w:r>
              <w:rPr>
                <w:rFonts w:ascii="Arial" w:cs="Arial" w:eastAsia="Arial" w:hAnsi="Arial"/>
                <w:sz w:val="14"/>
                <w:szCs w:val="14"/>
                <w:b w:val="1"/>
                <w:bCs w:val="1"/>
                <w:color w:val="00AF41"/>
              </w:rPr>
              <w: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00AF41"/>
                <w:w w:val="93"/>
              </w:rPr>
              <w:t>($)</w:t>
            </w:r>
          </w:p>
        </w:tc>
        <w:tc>
          <w:tcPr>
            <w:tcW w:w="1420" w:type="dxa"/>
            <w:vAlign w:val="bottom"/>
          </w:tcPr>
          <w:p>
            <w:pPr>
              <w:jc w:val="center"/>
              <w:ind w:left="48"/>
              <w:spacing w:after="0"/>
              <w:rPr>
                <w:sz w:val="20"/>
                <w:szCs w:val="20"/>
                <w:color w:val="auto"/>
              </w:rPr>
            </w:pPr>
            <w:r>
              <w:rPr>
                <w:rFonts w:ascii="Arial" w:cs="Arial" w:eastAsia="Arial" w:hAnsi="Arial"/>
                <w:sz w:val="14"/>
                <w:szCs w:val="14"/>
                <w:b w:val="1"/>
                <w:bCs w:val="1"/>
                <w:color w:val="00AF41"/>
              </w:rPr>
              <w:t>(#)</w:t>
            </w:r>
          </w:p>
        </w:tc>
        <w:tc>
          <w:tcPr>
            <w:tcW w:w="1060" w:type="dxa"/>
            <w:vAlign w:val="bottom"/>
          </w:tcPr>
          <w:p>
            <w:pPr>
              <w:jc w:val="center"/>
              <w:ind w:left="169"/>
              <w:spacing w:after="0"/>
              <w:rPr>
                <w:sz w:val="20"/>
                <w:szCs w:val="20"/>
                <w:color w:val="auto"/>
              </w:rPr>
            </w:pPr>
            <w:r>
              <w:rPr>
                <w:rFonts w:ascii="Arial" w:cs="Arial" w:eastAsia="Arial" w:hAnsi="Arial"/>
                <w:sz w:val="14"/>
                <w:szCs w:val="14"/>
                <w:b w:val="1"/>
                <w:bCs w:val="1"/>
                <w:color w:val="00AF41"/>
              </w:rPr>
              <w:t>($)</w:t>
            </w:r>
          </w:p>
        </w:tc>
      </w:tr>
      <w:tr>
        <w:trPr>
          <w:trHeight w:val="43"/>
        </w:trPr>
        <w:tc>
          <w:tcPr>
            <w:tcW w:w="520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57"/>
        </w:trPr>
        <w:tc>
          <w:tcPr>
            <w:tcW w:w="52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4"/>
                <w:szCs w:val="14"/>
                <w:b w:val="1"/>
                <w:bCs w:val="1"/>
                <w:color w:val="auto"/>
              </w:rPr>
              <w:t>Peter W. Quigley</w:t>
            </w:r>
          </w:p>
        </w:tc>
        <w:tc>
          <w:tcPr>
            <w:tcW w:w="1860" w:type="dxa"/>
            <w:vAlign w:val="bottom"/>
            <w:tcBorders>
              <w:bottom w:val="single" w:sz="8" w:color="EDEDED"/>
            </w:tcBorders>
            <w:shd w:val="clear" w:color="auto" w:fill="EDEDED"/>
          </w:tcPr>
          <w:p>
            <w:pPr>
              <w:jc w:val="center"/>
              <w:ind w:left="248"/>
              <w:spacing w:after="0"/>
              <w:rPr>
                <w:sz w:val="20"/>
                <w:szCs w:val="20"/>
                <w:color w:val="auto"/>
              </w:rPr>
            </w:pPr>
            <w:r>
              <w:rPr>
                <w:rFonts w:ascii="Arial" w:cs="Arial" w:eastAsia="Arial" w:hAnsi="Arial"/>
                <w:sz w:val="14"/>
                <w:szCs w:val="14"/>
                <w:color w:val="auto"/>
                <w:w w:val="99"/>
              </w:rPr>
              <w:t>—</w:t>
            </w:r>
          </w:p>
        </w:tc>
        <w:tc>
          <w:tcPr>
            <w:tcW w:w="148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EDEDED"/>
            </w:tcBorders>
            <w:shd w:val="clear" w:color="auto" w:fill="EDEDED"/>
          </w:tcPr>
          <w:p>
            <w:pPr>
              <w:jc w:val="center"/>
              <w:ind w:left="28"/>
              <w:spacing w:after="0"/>
              <w:rPr>
                <w:sz w:val="20"/>
                <w:szCs w:val="20"/>
                <w:color w:val="auto"/>
              </w:rPr>
            </w:pPr>
            <w:r>
              <w:rPr>
                <w:rFonts w:ascii="Arial" w:cs="Arial" w:eastAsia="Arial" w:hAnsi="Arial"/>
                <w:sz w:val="14"/>
                <w:szCs w:val="14"/>
                <w:color w:val="auto"/>
              </w:rPr>
              <w:t>21,601</w:t>
            </w:r>
          </w:p>
        </w:tc>
        <w:tc>
          <w:tcPr>
            <w:tcW w:w="1060" w:type="dxa"/>
            <w:vAlign w:val="bottom"/>
            <w:tcBorders>
              <w:bottom w:val="single" w:sz="8" w:color="EDEDED"/>
            </w:tcBorders>
            <w:shd w:val="clear" w:color="auto" w:fill="EDEDED"/>
          </w:tcPr>
          <w:p>
            <w:pPr>
              <w:jc w:val="center"/>
              <w:ind w:left="149"/>
              <w:spacing w:after="0"/>
              <w:rPr>
                <w:sz w:val="20"/>
                <w:szCs w:val="20"/>
                <w:color w:val="auto"/>
              </w:rPr>
            </w:pPr>
            <w:r>
              <w:rPr>
                <w:rFonts w:ascii="Arial" w:cs="Arial" w:eastAsia="Arial" w:hAnsi="Arial"/>
                <w:sz w:val="14"/>
                <w:szCs w:val="14"/>
                <w:color w:val="auto"/>
              </w:rPr>
              <w:t>458,623</w:t>
            </w:r>
          </w:p>
        </w:tc>
      </w:tr>
      <w:tr>
        <w:trPr>
          <w:trHeight w:val="254"/>
        </w:trPr>
        <w:tc>
          <w:tcPr>
            <w:tcW w:w="5200" w:type="dxa"/>
            <w:vAlign w:val="bottom"/>
          </w:tcPr>
          <w:p>
            <w:pPr>
              <w:ind w:left="60"/>
              <w:spacing w:after="0"/>
              <w:rPr>
                <w:sz w:val="20"/>
                <w:szCs w:val="20"/>
                <w:color w:val="auto"/>
              </w:rPr>
            </w:pPr>
            <w:r>
              <w:rPr>
                <w:rFonts w:ascii="Arial" w:cs="Arial" w:eastAsia="Arial" w:hAnsi="Arial"/>
                <w:sz w:val="14"/>
                <w:szCs w:val="14"/>
                <w:b w:val="1"/>
                <w:bCs w:val="1"/>
                <w:color w:val="auto"/>
              </w:rPr>
              <w:t>Olivier G. Thirot</w:t>
            </w:r>
          </w:p>
        </w:tc>
        <w:tc>
          <w:tcPr>
            <w:tcW w:w="1860" w:type="dxa"/>
            <w:vAlign w:val="bottom"/>
          </w:tcPr>
          <w:p>
            <w:pPr>
              <w:jc w:val="center"/>
              <w:ind w:left="248"/>
              <w:spacing w:after="0"/>
              <w:rPr>
                <w:sz w:val="20"/>
                <w:szCs w:val="20"/>
                <w:color w:val="auto"/>
              </w:rPr>
            </w:pPr>
            <w:r>
              <w:rPr>
                <w:rFonts w:ascii="Arial" w:cs="Arial" w:eastAsia="Arial" w:hAnsi="Arial"/>
                <w:sz w:val="14"/>
                <w:szCs w:val="14"/>
                <w:color w:val="auto"/>
                <w:w w:val="99"/>
              </w:rPr>
              <w:t>—</w:t>
            </w:r>
          </w:p>
        </w:tc>
        <w:tc>
          <w:tcPr>
            <w:tcW w:w="1480" w:type="dxa"/>
            <w:vAlign w:val="bottom"/>
          </w:tcPr>
          <w:p>
            <w:pPr>
              <w:jc w:val="center"/>
              <w:spacing w:after="0"/>
              <w:rPr>
                <w:sz w:val="20"/>
                <w:szCs w:val="20"/>
                <w:color w:val="auto"/>
              </w:rPr>
            </w:pPr>
            <w:r>
              <w:rPr>
                <w:rFonts w:ascii="Arial" w:cs="Arial" w:eastAsia="Arial" w:hAnsi="Arial"/>
                <w:sz w:val="14"/>
                <w:szCs w:val="14"/>
                <w:color w:val="auto"/>
              </w:rPr>
              <w:t>—</w:t>
            </w:r>
          </w:p>
        </w:tc>
        <w:tc>
          <w:tcPr>
            <w:tcW w:w="1420" w:type="dxa"/>
            <w:vAlign w:val="bottom"/>
          </w:tcPr>
          <w:p>
            <w:pPr>
              <w:jc w:val="center"/>
              <w:ind w:left="28"/>
              <w:spacing w:after="0"/>
              <w:rPr>
                <w:sz w:val="20"/>
                <w:szCs w:val="20"/>
                <w:color w:val="auto"/>
              </w:rPr>
            </w:pPr>
            <w:r>
              <w:rPr>
                <w:rFonts w:ascii="Arial" w:cs="Arial" w:eastAsia="Arial" w:hAnsi="Arial"/>
                <w:sz w:val="14"/>
                <w:szCs w:val="14"/>
                <w:color w:val="auto"/>
              </w:rPr>
              <w:t>12,494</w:t>
            </w:r>
          </w:p>
        </w:tc>
        <w:tc>
          <w:tcPr>
            <w:tcW w:w="1060" w:type="dxa"/>
            <w:vAlign w:val="bottom"/>
          </w:tcPr>
          <w:p>
            <w:pPr>
              <w:jc w:val="center"/>
              <w:ind w:left="149"/>
              <w:spacing w:after="0"/>
              <w:rPr>
                <w:sz w:val="20"/>
                <w:szCs w:val="20"/>
                <w:color w:val="auto"/>
              </w:rPr>
            </w:pPr>
            <w:r>
              <w:rPr>
                <w:rFonts w:ascii="Arial" w:cs="Arial" w:eastAsia="Arial" w:hAnsi="Arial"/>
                <w:sz w:val="14"/>
                <w:szCs w:val="14"/>
                <w:color w:val="auto"/>
              </w:rPr>
              <w:t>262,101</w:t>
            </w:r>
          </w:p>
        </w:tc>
      </w:tr>
      <w:tr>
        <w:trPr>
          <w:trHeight w:val="43"/>
        </w:trPr>
        <w:tc>
          <w:tcPr>
            <w:tcW w:w="52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77"/>
        </w:trPr>
        <w:tc>
          <w:tcPr>
            <w:tcW w:w="52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4"/>
                <w:szCs w:val="14"/>
                <w:b w:val="1"/>
                <w:bCs w:val="1"/>
                <w:color w:val="auto"/>
              </w:rPr>
              <w:t>Dinette Koolhaas</w:t>
            </w:r>
          </w:p>
        </w:tc>
        <w:tc>
          <w:tcPr>
            <w:tcW w:w="1860" w:type="dxa"/>
            <w:vAlign w:val="bottom"/>
            <w:tcBorders>
              <w:bottom w:val="single" w:sz="8" w:color="EDEDED"/>
            </w:tcBorders>
            <w:shd w:val="clear" w:color="auto" w:fill="EDEDED"/>
          </w:tcPr>
          <w:p>
            <w:pPr>
              <w:jc w:val="center"/>
              <w:ind w:left="248"/>
              <w:spacing w:after="0"/>
              <w:rPr>
                <w:sz w:val="20"/>
                <w:szCs w:val="20"/>
                <w:color w:val="auto"/>
              </w:rPr>
            </w:pPr>
            <w:r>
              <w:rPr>
                <w:rFonts w:ascii="Arial" w:cs="Arial" w:eastAsia="Arial" w:hAnsi="Arial"/>
                <w:sz w:val="14"/>
                <w:szCs w:val="14"/>
                <w:color w:val="auto"/>
                <w:w w:val="99"/>
              </w:rPr>
              <w:t>—</w:t>
            </w:r>
          </w:p>
        </w:tc>
        <w:tc>
          <w:tcPr>
            <w:tcW w:w="148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EDEDED"/>
            </w:tcBorders>
            <w:shd w:val="clear" w:color="auto" w:fill="EDEDED"/>
          </w:tcPr>
          <w:p>
            <w:pPr>
              <w:jc w:val="center"/>
              <w:ind w:left="28"/>
              <w:spacing w:after="0"/>
              <w:rPr>
                <w:sz w:val="20"/>
                <w:szCs w:val="20"/>
                <w:color w:val="auto"/>
              </w:rPr>
            </w:pPr>
            <w:r>
              <w:rPr>
                <w:rFonts w:ascii="Arial" w:cs="Arial" w:eastAsia="Arial" w:hAnsi="Arial"/>
                <w:sz w:val="14"/>
                <w:szCs w:val="14"/>
                <w:color w:val="auto"/>
              </w:rPr>
              <w:t>4,161</w:t>
            </w:r>
          </w:p>
        </w:tc>
        <w:tc>
          <w:tcPr>
            <w:tcW w:w="1060" w:type="dxa"/>
            <w:vAlign w:val="bottom"/>
            <w:tcBorders>
              <w:bottom w:val="single" w:sz="8" w:color="EDEDED"/>
            </w:tcBorders>
            <w:shd w:val="clear" w:color="auto" w:fill="EDEDED"/>
          </w:tcPr>
          <w:p>
            <w:pPr>
              <w:jc w:val="center"/>
              <w:ind w:left="149"/>
              <w:spacing w:after="0"/>
              <w:rPr>
                <w:sz w:val="20"/>
                <w:szCs w:val="20"/>
                <w:color w:val="auto"/>
              </w:rPr>
            </w:pPr>
            <w:r>
              <w:rPr>
                <w:rFonts w:ascii="Arial" w:cs="Arial" w:eastAsia="Arial" w:hAnsi="Arial"/>
                <w:sz w:val="14"/>
                <w:szCs w:val="14"/>
                <w:color w:val="auto"/>
              </w:rPr>
              <w:t>86,845</w:t>
            </w:r>
          </w:p>
        </w:tc>
      </w:tr>
      <w:tr>
        <w:trPr>
          <w:trHeight w:val="254"/>
        </w:trPr>
        <w:tc>
          <w:tcPr>
            <w:tcW w:w="5200" w:type="dxa"/>
            <w:vAlign w:val="bottom"/>
          </w:tcPr>
          <w:p>
            <w:pPr>
              <w:ind w:left="60"/>
              <w:spacing w:after="0"/>
              <w:rPr>
                <w:sz w:val="20"/>
                <w:szCs w:val="20"/>
                <w:color w:val="auto"/>
              </w:rPr>
            </w:pPr>
            <w:r>
              <w:rPr>
                <w:rFonts w:ascii="Arial" w:cs="Arial" w:eastAsia="Arial" w:hAnsi="Arial"/>
                <w:sz w:val="14"/>
                <w:szCs w:val="14"/>
                <w:b w:val="1"/>
                <w:bCs w:val="1"/>
                <w:color w:val="auto"/>
              </w:rPr>
              <w:t>Vanessa P. Williams</w:t>
            </w:r>
          </w:p>
        </w:tc>
        <w:tc>
          <w:tcPr>
            <w:tcW w:w="1860" w:type="dxa"/>
            <w:vAlign w:val="bottom"/>
          </w:tcPr>
          <w:p>
            <w:pPr>
              <w:jc w:val="center"/>
              <w:ind w:left="248"/>
              <w:spacing w:after="0"/>
              <w:rPr>
                <w:sz w:val="20"/>
                <w:szCs w:val="20"/>
                <w:color w:val="auto"/>
              </w:rPr>
            </w:pPr>
            <w:r>
              <w:rPr>
                <w:rFonts w:ascii="Arial" w:cs="Arial" w:eastAsia="Arial" w:hAnsi="Arial"/>
                <w:sz w:val="14"/>
                <w:szCs w:val="14"/>
                <w:color w:val="auto"/>
                <w:w w:val="99"/>
              </w:rPr>
              <w:t>—</w:t>
            </w:r>
          </w:p>
        </w:tc>
        <w:tc>
          <w:tcPr>
            <w:tcW w:w="1480" w:type="dxa"/>
            <w:vAlign w:val="bottom"/>
          </w:tcPr>
          <w:p>
            <w:pPr>
              <w:jc w:val="center"/>
              <w:spacing w:after="0"/>
              <w:rPr>
                <w:sz w:val="20"/>
                <w:szCs w:val="20"/>
                <w:color w:val="auto"/>
              </w:rPr>
            </w:pPr>
            <w:r>
              <w:rPr>
                <w:rFonts w:ascii="Arial" w:cs="Arial" w:eastAsia="Arial" w:hAnsi="Arial"/>
                <w:sz w:val="14"/>
                <w:szCs w:val="14"/>
                <w:color w:val="auto"/>
              </w:rPr>
              <w:t>—</w:t>
            </w:r>
          </w:p>
        </w:tc>
        <w:tc>
          <w:tcPr>
            <w:tcW w:w="1420" w:type="dxa"/>
            <w:vAlign w:val="bottom"/>
          </w:tcPr>
          <w:p>
            <w:pPr>
              <w:jc w:val="center"/>
              <w:ind w:left="28"/>
              <w:spacing w:after="0"/>
              <w:rPr>
                <w:sz w:val="20"/>
                <w:szCs w:val="20"/>
                <w:color w:val="auto"/>
              </w:rPr>
            </w:pPr>
            <w:r>
              <w:rPr>
                <w:rFonts w:ascii="Arial" w:cs="Arial" w:eastAsia="Arial" w:hAnsi="Arial"/>
                <w:sz w:val="14"/>
                <w:szCs w:val="14"/>
                <w:color w:val="auto"/>
              </w:rPr>
              <w:t>4,764</w:t>
            </w:r>
          </w:p>
        </w:tc>
        <w:tc>
          <w:tcPr>
            <w:tcW w:w="1060" w:type="dxa"/>
            <w:vAlign w:val="bottom"/>
          </w:tcPr>
          <w:p>
            <w:pPr>
              <w:jc w:val="center"/>
              <w:ind w:left="149"/>
              <w:spacing w:after="0"/>
              <w:rPr>
                <w:sz w:val="20"/>
                <w:szCs w:val="20"/>
                <w:color w:val="auto"/>
              </w:rPr>
            </w:pPr>
            <w:r>
              <w:rPr>
                <w:rFonts w:ascii="Arial" w:cs="Arial" w:eastAsia="Arial" w:hAnsi="Arial"/>
                <w:sz w:val="14"/>
                <w:szCs w:val="14"/>
                <w:color w:val="auto"/>
              </w:rPr>
              <w:t>97,453</w:t>
            </w:r>
          </w:p>
        </w:tc>
      </w:tr>
      <w:tr>
        <w:trPr>
          <w:trHeight w:val="43"/>
        </w:trPr>
        <w:tc>
          <w:tcPr>
            <w:tcW w:w="52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77"/>
        </w:trPr>
        <w:tc>
          <w:tcPr>
            <w:tcW w:w="520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4"/>
                <w:szCs w:val="14"/>
                <w:b w:val="1"/>
                <w:bCs w:val="1"/>
                <w:color w:val="auto"/>
              </w:rPr>
              <w:t>Darren L. Simons</w:t>
            </w:r>
          </w:p>
        </w:tc>
        <w:tc>
          <w:tcPr>
            <w:tcW w:w="1860" w:type="dxa"/>
            <w:vAlign w:val="bottom"/>
            <w:tcBorders>
              <w:bottom w:val="single" w:sz="8" w:color="EDEDED"/>
            </w:tcBorders>
            <w:shd w:val="clear" w:color="auto" w:fill="EDEDED"/>
          </w:tcPr>
          <w:p>
            <w:pPr>
              <w:jc w:val="center"/>
              <w:ind w:left="248"/>
              <w:spacing w:after="0"/>
              <w:rPr>
                <w:sz w:val="20"/>
                <w:szCs w:val="20"/>
                <w:color w:val="auto"/>
              </w:rPr>
            </w:pPr>
            <w:r>
              <w:rPr>
                <w:rFonts w:ascii="Arial" w:cs="Arial" w:eastAsia="Arial" w:hAnsi="Arial"/>
                <w:sz w:val="14"/>
                <w:szCs w:val="14"/>
                <w:color w:val="auto"/>
                <w:w w:val="99"/>
              </w:rPr>
              <w:t>—</w:t>
            </w:r>
          </w:p>
        </w:tc>
        <w:tc>
          <w:tcPr>
            <w:tcW w:w="148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EDEDED"/>
            </w:tcBorders>
            <w:shd w:val="clear" w:color="auto" w:fill="EDEDED"/>
          </w:tcPr>
          <w:p>
            <w:pPr>
              <w:jc w:val="center"/>
              <w:ind w:left="28"/>
              <w:spacing w:after="0"/>
              <w:rPr>
                <w:sz w:val="20"/>
                <w:szCs w:val="20"/>
                <w:color w:val="auto"/>
              </w:rPr>
            </w:pPr>
            <w:r>
              <w:rPr>
                <w:rFonts w:ascii="Arial" w:cs="Arial" w:eastAsia="Arial" w:hAnsi="Arial"/>
                <w:sz w:val="14"/>
                <w:szCs w:val="14"/>
                <w:color w:val="auto"/>
              </w:rPr>
              <w:t>1,138</w:t>
            </w:r>
          </w:p>
        </w:tc>
        <w:tc>
          <w:tcPr>
            <w:tcW w:w="1060" w:type="dxa"/>
            <w:vAlign w:val="bottom"/>
            <w:tcBorders>
              <w:bottom w:val="single" w:sz="8" w:color="EDEDED"/>
            </w:tcBorders>
            <w:shd w:val="clear" w:color="auto" w:fill="EDEDED"/>
          </w:tcPr>
          <w:p>
            <w:pPr>
              <w:jc w:val="center"/>
              <w:ind w:left="149"/>
              <w:spacing w:after="0"/>
              <w:rPr>
                <w:sz w:val="20"/>
                <w:szCs w:val="20"/>
                <w:color w:val="auto"/>
              </w:rPr>
            </w:pPr>
            <w:r>
              <w:rPr>
                <w:rFonts w:ascii="Arial" w:cs="Arial" w:eastAsia="Arial" w:hAnsi="Arial"/>
                <w:sz w:val="14"/>
                <w:szCs w:val="14"/>
                <w:color w:val="auto"/>
              </w:rPr>
              <w:t>22,555</w:t>
            </w:r>
          </w:p>
        </w:tc>
      </w:tr>
      <w:tr>
        <w:trPr>
          <w:trHeight w:val="20"/>
        </w:trPr>
        <w:tc>
          <w:tcPr>
            <w:tcW w:w="52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ind w:left="440" w:hanging="324"/>
        <w:spacing w:after="0" w:line="236" w:lineRule="auto"/>
        <w:tabs>
          <w:tab w:leader="none" w:pos="440" w:val="left"/>
        </w:tabs>
        <w:numPr>
          <w:ilvl w:val="0"/>
          <w:numId w:val="57"/>
        </w:numPr>
        <w:rPr>
          <w:rFonts w:ascii="Arial" w:cs="Arial" w:eastAsia="Arial" w:hAnsi="Arial"/>
          <w:sz w:val="19"/>
          <w:szCs w:val="19"/>
          <w:color w:val="auto"/>
          <w:vertAlign w:val="superscript"/>
        </w:rPr>
      </w:pPr>
      <w:r>
        <w:rPr>
          <w:rFonts w:ascii="Arial" w:cs="Arial" w:eastAsia="Arial" w:hAnsi="Arial"/>
          <w:sz w:val="13"/>
          <w:szCs w:val="13"/>
          <w:color w:val="auto"/>
        </w:rPr>
        <w:t>Value Realized on Vesting is calculated by multiplying the shares vested times the stock closing price on the day of vesting.</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Nonqualified Deferred Compensation 2022</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1560" w:type="dxa"/>
            <w:vAlign w:val="bottom"/>
          </w:tcPr>
          <w:p>
            <w:pPr>
              <w:jc w:val="center"/>
              <w:ind w:left="89"/>
              <w:spacing w:after="0"/>
              <w:rPr>
                <w:sz w:val="20"/>
                <w:szCs w:val="20"/>
                <w:color w:val="auto"/>
              </w:rPr>
            </w:pPr>
            <w:r>
              <w:rPr>
                <w:rFonts w:ascii="Arial" w:cs="Arial" w:eastAsia="Arial" w:hAnsi="Arial"/>
                <w:sz w:val="14"/>
                <w:szCs w:val="14"/>
                <w:b w:val="1"/>
                <w:bCs w:val="1"/>
                <w:color w:val="00AF41"/>
              </w:rPr>
              <w:t>Executive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AF41"/>
              </w:rPr>
              <w:t>Registrant</w:t>
            </w: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ind w:left="180"/>
              <w:spacing w:after="0"/>
              <w:rPr>
                <w:sz w:val="20"/>
                <w:szCs w:val="20"/>
                <w:color w:val="auto"/>
              </w:rPr>
            </w:pPr>
            <w:r>
              <w:rPr>
                <w:rFonts w:ascii="Arial" w:cs="Arial" w:eastAsia="Arial" w:hAnsi="Arial"/>
                <w:sz w:val="14"/>
                <w:szCs w:val="14"/>
                <w:b w:val="1"/>
                <w:bCs w:val="1"/>
                <w:color w:val="00AF41"/>
              </w:rPr>
              <w:t>Aggregate</w:t>
            </w:r>
          </w:p>
        </w:tc>
      </w:tr>
      <w:tr>
        <w:trPr>
          <w:trHeight w:val="162"/>
        </w:trPr>
        <w:tc>
          <w:tcPr>
            <w:tcW w:w="4380" w:type="dxa"/>
            <w:vAlign w:val="bottom"/>
          </w:tcPr>
          <w:p>
            <w:pPr>
              <w:spacing w:after="0"/>
              <w:rPr>
                <w:sz w:val="14"/>
                <w:szCs w:val="14"/>
                <w:color w:val="auto"/>
              </w:rPr>
            </w:pPr>
          </w:p>
        </w:tc>
        <w:tc>
          <w:tcPr>
            <w:tcW w:w="1560" w:type="dxa"/>
            <w:vAlign w:val="bottom"/>
          </w:tcPr>
          <w:p>
            <w:pPr>
              <w:jc w:val="center"/>
              <w:ind w:left="89"/>
              <w:spacing w:after="0"/>
              <w:rPr>
                <w:sz w:val="20"/>
                <w:szCs w:val="20"/>
                <w:color w:val="auto"/>
              </w:rPr>
            </w:pPr>
            <w:r>
              <w:rPr>
                <w:rFonts w:ascii="Arial" w:cs="Arial" w:eastAsia="Arial" w:hAnsi="Arial"/>
                <w:sz w:val="14"/>
                <w:szCs w:val="14"/>
                <w:b w:val="1"/>
                <w:bCs w:val="1"/>
                <w:color w:val="00AF41"/>
              </w:rPr>
              <w:t>Contributions in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AF41"/>
              </w:rPr>
              <w:t>Contributions in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AF41"/>
              </w:rPr>
              <w:t>Aggregate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AF41"/>
              </w:rPr>
              <w:t>Aggregate</w:t>
            </w:r>
          </w:p>
        </w:tc>
        <w:tc>
          <w:tcPr>
            <w:tcW w:w="920" w:type="dxa"/>
            <w:vAlign w:val="bottom"/>
          </w:tcPr>
          <w:p>
            <w:pPr>
              <w:ind w:left="180"/>
              <w:spacing w:after="0"/>
              <w:rPr>
                <w:sz w:val="20"/>
                <w:szCs w:val="20"/>
                <w:color w:val="auto"/>
              </w:rPr>
            </w:pPr>
            <w:r>
              <w:rPr>
                <w:rFonts w:ascii="Arial" w:cs="Arial" w:eastAsia="Arial" w:hAnsi="Arial"/>
                <w:sz w:val="14"/>
                <w:szCs w:val="14"/>
                <w:b w:val="1"/>
                <w:bCs w:val="1"/>
                <w:color w:val="00AF41"/>
              </w:rPr>
              <w:t>Balance at</w:t>
            </w:r>
          </w:p>
        </w:tc>
      </w:tr>
      <w:tr>
        <w:trPr>
          <w:trHeight w:val="158"/>
        </w:trPr>
        <w:tc>
          <w:tcPr>
            <w:tcW w:w="4380" w:type="dxa"/>
            <w:vAlign w:val="bottom"/>
          </w:tcPr>
          <w:p>
            <w:pPr>
              <w:spacing w:after="0"/>
              <w:rPr>
                <w:sz w:val="13"/>
                <w:szCs w:val="13"/>
                <w:color w:val="auto"/>
              </w:rPr>
            </w:pPr>
          </w:p>
        </w:tc>
        <w:tc>
          <w:tcPr>
            <w:tcW w:w="1560" w:type="dxa"/>
            <w:vAlign w:val="bottom"/>
          </w:tcPr>
          <w:p>
            <w:pPr>
              <w:jc w:val="center"/>
              <w:ind w:left="89"/>
              <w:spacing w:after="0" w:line="158" w:lineRule="exact"/>
              <w:rPr>
                <w:sz w:val="20"/>
                <w:szCs w:val="20"/>
                <w:color w:val="auto"/>
              </w:rPr>
            </w:pPr>
            <w:r>
              <w:rPr>
                <w:rFonts w:ascii="Arial" w:cs="Arial" w:eastAsia="Arial" w:hAnsi="Arial"/>
                <w:sz w:val="14"/>
                <w:szCs w:val="14"/>
                <w:b w:val="1"/>
                <w:bCs w:val="1"/>
                <w:color w:val="00AF41"/>
              </w:rPr>
              <w:t>Last Fiscal</w:t>
            </w:r>
          </w:p>
        </w:tc>
        <w:tc>
          <w:tcPr>
            <w:tcW w:w="1420" w:type="dxa"/>
            <w:vAlign w:val="bottom"/>
          </w:tcPr>
          <w:p>
            <w:pPr>
              <w:jc w:val="center"/>
              <w:spacing w:after="0" w:line="158" w:lineRule="exact"/>
              <w:rPr>
                <w:sz w:val="20"/>
                <w:szCs w:val="20"/>
                <w:color w:val="auto"/>
              </w:rPr>
            </w:pPr>
            <w:r>
              <w:rPr>
                <w:rFonts w:ascii="Arial" w:cs="Arial" w:eastAsia="Arial" w:hAnsi="Arial"/>
                <w:sz w:val="14"/>
                <w:szCs w:val="14"/>
                <w:b w:val="1"/>
                <w:bCs w:val="1"/>
                <w:color w:val="00AF41"/>
              </w:rPr>
              <w:t>Last Fiscal</w:t>
            </w:r>
          </w:p>
        </w:tc>
        <w:tc>
          <w:tcPr>
            <w:tcW w:w="1420" w:type="dxa"/>
            <w:vAlign w:val="bottom"/>
          </w:tcPr>
          <w:p>
            <w:pPr>
              <w:jc w:val="center"/>
              <w:spacing w:after="0" w:line="158" w:lineRule="exact"/>
              <w:rPr>
                <w:sz w:val="20"/>
                <w:szCs w:val="20"/>
                <w:color w:val="auto"/>
              </w:rPr>
            </w:pPr>
            <w:r>
              <w:rPr>
                <w:rFonts w:ascii="Arial" w:cs="Arial" w:eastAsia="Arial" w:hAnsi="Arial"/>
                <w:sz w:val="14"/>
                <w:szCs w:val="14"/>
                <w:b w:val="1"/>
                <w:bCs w:val="1"/>
                <w:color w:val="00AF41"/>
              </w:rPr>
              <w:t>Earnings in Last</w:t>
            </w:r>
          </w:p>
        </w:tc>
        <w:tc>
          <w:tcPr>
            <w:tcW w:w="1320" w:type="dxa"/>
            <w:vAlign w:val="bottom"/>
          </w:tcPr>
          <w:p>
            <w:pPr>
              <w:jc w:val="center"/>
              <w:spacing w:after="0" w:line="158" w:lineRule="exact"/>
              <w:rPr>
                <w:sz w:val="20"/>
                <w:szCs w:val="20"/>
                <w:color w:val="auto"/>
              </w:rPr>
            </w:pPr>
            <w:r>
              <w:rPr>
                <w:rFonts w:ascii="Arial" w:cs="Arial" w:eastAsia="Arial" w:hAnsi="Arial"/>
                <w:sz w:val="14"/>
                <w:szCs w:val="14"/>
                <w:b w:val="1"/>
                <w:bCs w:val="1"/>
                <w:color w:val="00AF41"/>
              </w:rPr>
              <w:t>Withdrawals/</w:t>
            </w:r>
          </w:p>
        </w:tc>
        <w:tc>
          <w:tcPr>
            <w:tcW w:w="920" w:type="dxa"/>
            <w:vAlign w:val="bottom"/>
          </w:tcPr>
          <w:p>
            <w:pPr>
              <w:ind w:left="160"/>
              <w:spacing w:after="0" w:line="158" w:lineRule="exact"/>
              <w:rPr>
                <w:sz w:val="20"/>
                <w:szCs w:val="20"/>
                <w:color w:val="auto"/>
              </w:rPr>
            </w:pPr>
            <w:r>
              <w:rPr>
                <w:rFonts w:ascii="Arial" w:cs="Arial" w:eastAsia="Arial" w:hAnsi="Arial"/>
                <w:sz w:val="14"/>
                <w:szCs w:val="14"/>
                <w:b w:val="1"/>
                <w:bCs w:val="1"/>
                <w:color w:val="00AF41"/>
              </w:rPr>
              <w:t>Last Fiscal</w:t>
            </w:r>
          </w:p>
        </w:tc>
      </w:tr>
      <w:tr>
        <w:trPr>
          <w:trHeight w:val="166"/>
        </w:trPr>
        <w:tc>
          <w:tcPr>
            <w:tcW w:w="4380" w:type="dxa"/>
            <w:vAlign w:val="bottom"/>
          </w:tcPr>
          <w:p>
            <w:pPr>
              <w:spacing w:after="0"/>
              <w:rPr>
                <w:sz w:val="14"/>
                <w:szCs w:val="14"/>
                <w:color w:val="auto"/>
              </w:rPr>
            </w:pPr>
          </w:p>
        </w:tc>
        <w:tc>
          <w:tcPr>
            <w:tcW w:w="1560" w:type="dxa"/>
            <w:vAlign w:val="bottom"/>
          </w:tcPr>
          <w:p>
            <w:pPr>
              <w:jc w:val="center"/>
              <w:ind w:left="89"/>
              <w:spacing w:after="0" w:line="166" w:lineRule="exact"/>
              <w:rPr>
                <w:sz w:val="20"/>
                <w:szCs w:val="20"/>
                <w:color w:val="auto"/>
              </w:rPr>
            </w:pPr>
            <w:r>
              <w:rPr>
                <w:rFonts w:ascii="Arial" w:cs="Arial" w:eastAsia="Arial" w:hAnsi="Arial"/>
                <w:sz w:val="13"/>
                <w:szCs w:val="13"/>
                <w:b w:val="1"/>
                <w:bCs w:val="1"/>
                <w:color w:val="00AF41"/>
              </w:rPr>
              <w:t>Year</w:t>
            </w:r>
            <w:r>
              <w:rPr>
                <w:rFonts w:ascii="Arial" w:cs="Arial" w:eastAsia="Arial" w:hAnsi="Arial"/>
                <w:sz w:val="19"/>
                <w:szCs w:val="19"/>
                <w:b w:val="1"/>
                <w:bCs w:val="1"/>
                <w:color w:val="00AF41"/>
                <w:vertAlign w:val="superscript"/>
              </w:rPr>
              <w:t>(1)</w:t>
            </w:r>
          </w:p>
        </w:tc>
        <w:tc>
          <w:tcPr>
            <w:tcW w:w="1420" w:type="dxa"/>
            <w:vAlign w:val="bottom"/>
          </w:tcPr>
          <w:p>
            <w:pPr>
              <w:jc w:val="center"/>
              <w:spacing w:after="0" w:line="166" w:lineRule="exact"/>
              <w:rPr>
                <w:sz w:val="20"/>
                <w:szCs w:val="20"/>
                <w:color w:val="auto"/>
              </w:rPr>
            </w:pPr>
            <w:r>
              <w:rPr>
                <w:rFonts w:ascii="Arial" w:cs="Arial" w:eastAsia="Arial" w:hAnsi="Arial"/>
                <w:sz w:val="13"/>
                <w:szCs w:val="13"/>
                <w:b w:val="1"/>
                <w:bCs w:val="1"/>
                <w:color w:val="00AF41"/>
              </w:rPr>
              <w:t>Year</w:t>
            </w:r>
            <w:r>
              <w:rPr>
                <w:rFonts w:ascii="Arial" w:cs="Arial" w:eastAsia="Arial" w:hAnsi="Arial"/>
                <w:sz w:val="19"/>
                <w:szCs w:val="19"/>
                <w:b w:val="1"/>
                <w:bCs w:val="1"/>
                <w:color w:val="00AF41"/>
                <w:vertAlign w:val="superscript"/>
              </w:rPr>
              <w:t>(2)</w:t>
            </w:r>
          </w:p>
        </w:tc>
        <w:tc>
          <w:tcPr>
            <w:tcW w:w="1420" w:type="dxa"/>
            <w:vAlign w:val="bottom"/>
          </w:tcPr>
          <w:p>
            <w:pPr>
              <w:jc w:val="center"/>
              <w:spacing w:after="0" w:line="166" w:lineRule="exact"/>
              <w:rPr>
                <w:sz w:val="20"/>
                <w:szCs w:val="20"/>
                <w:color w:val="auto"/>
              </w:rPr>
            </w:pPr>
            <w:r>
              <w:rPr>
                <w:rFonts w:ascii="Arial" w:cs="Arial" w:eastAsia="Arial" w:hAnsi="Arial"/>
                <w:sz w:val="13"/>
                <w:szCs w:val="13"/>
                <w:b w:val="1"/>
                <w:bCs w:val="1"/>
                <w:color w:val="00AF41"/>
              </w:rPr>
              <w:t>Fiscal Year</w:t>
            </w:r>
            <w:r>
              <w:rPr>
                <w:rFonts w:ascii="Arial" w:cs="Arial" w:eastAsia="Arial" w:hAnsi="Arial"/>
                <w:sz w:val="19"/>
                <w:szCs w:val="19"/>
                <w:b w:val="1"/>
                <w:bCs w:val="1"/>
                <w:color w:val="00AF41"/>
                <w:vertAlign w:val="superscript"/>
              </w:rPr>
              <w:t>(3)</w:t>
            </w:r>
          </w:p>
        </w:tc>
        <w:tc>
          <w:tcPr>
            <w:tcW w:w="1320" w:type="dxa"/>
            <w:vAlign w:val="bottom"/>
          </w:tcPr>
          <w:p>
            <w:pPr>
              <w:jc w:val="center"/>
              <w:spacing w:after="0" w:line="166" w:lineRule="exact"/>
              <w:rPr>
                <w:sz w:val="20"/>
                <w:szCs w:val="20"/>
                <w:color w:val="auto"/>
              </w:rPr>
            </w:pPr>
            <w:r>
              <w:rPr>
                <w:rFonts w:ascii="Arial" w:cs="Arial" w:eastAsia="Arial" w:hAnsi="Arial"/>
                <w:sz w:val="13"/>
                <w:szCs w:val="13"/>
                <w:b w:val="1"/>
                <w:bCs w:val="1"/>
                <w:color w:val="00AF41"/>
              </w:rPr>
              <w:t>Distributions</w:t>
            </w:r>
            <w:r>
              <w:rPr>
                <w:rFonts w:ascii="Arial" w:cs="Arial" w:eastAsia="Arial" w:hAnsi="Arial"/>
                <w:sz w:val="19"/>
                <w:szCs w:val="19"/>
                <w:b w:val="1"/>
                <w:bCs w:val="1"/>
                <w:color w:val="00AF41"/>
                <w:vertAlign w:val="superscript"/>
              </w:rPr>
              <w:t>(4)</w:t>
            </w:r>
          </w:p>
        </w:tc>
        <w:tc>
          <w:tcPr>
            <w:tcW w:w="920" w:type="dxa"/>
            <w:vAlign w:val="bottom"/>
          </w:tcPr>
          <w:p>
            <w:pPr>
              <w:ind w:left="160"/>
              <w:spacing w:after="0" w:line="166" w:lineRule="exact"/>
              <w:rPr>
                <w:sz w:val="20"/>
                <w:szCs w:val="20"/>
                <w:color w:val="auto"/>
              </w:rPr>
            </w:pPr>
            <w:r>
              <w:rPr>
                <w:rFonts w:ascii="Arial" w:cs="Arial" w:eastAsia="Arial" w:hAnsi="Arial"/>
                <w:sz w:val="13"/>
                <w:szCs w:val="13"/>
                <w:b w:val="1"/>
                <w:bCs w:val="1"/>
                <w:color w:val="00AF41"/>
              </w:rPr>
              <w:t>Year End</w:t>
            </w:r>
            <w:r>
              <w:rPr>
                <w:rFonts w:ascii="Arial" w:cs="Arial" w:eastAsia="Arial" w:hAnsi="Arial"/>
                <w:sz w:val="19"/>
                <w:szCs w:val="19"/>
                <w:b w:val="1"/>
                <w:bCs w:val="1"/>
                <w:color w:val="00AF41"/>
                <w:vertAlign w:val="superscript"/>
              </w:rPr>
              <w:t>(5)</w:t>
            </w:r>
          </w:p>
        </w:tc>
      </w:tr>
      <w:tr>
        <w:trPr>
          <w:trHeight w:val="196"/>
        </w:trPr>
        <w:tc>
          <w:tcPr>
            <w:tcW w:w="4380" w:type="dxa"/>
            <w:vAlign w:val="bottom"/>
          </w:tcPr>
          <w:p>
            <w:pPr>
              <w:ind w:left="80"/>
              <w:spacing w:after="0"/>
              <w:rPr>
                <w:sz w:val="20"/>
                <w:szCs w:val="20"/>
                <w:color w:val="auto"/>
              </w:rPr>
            </w:pPr>
            <w:r>
              <w:rPr>
                <w:rFonts w:ascii="Arial" w:cs="Arial" w:eastAsia="Arial" w:hAnsi="Arial"/>
                <w:sz w:val="14"/>
                <w:szCs w:val="14"/>
                <w:b w:val="1"/>
                <w:bCs w:val="1"/>
                <w:color w:val="00AF41"/>
              </w:rPr>
              <w:t>Name</w:t>
            </w:r>
          </w:p>
        </w:tc>
        <w:tc>
          <w:tcPr>
            <w:tcW w:w="1560" w:type="dxa"/>
            <w:vAlign w:val="bottom"/>
          </w:tcPr>
          <w:p>
            <w:pPr>
              <w:jc w:val="center"/>
              <w:ind w:left="89"/>
              <w:spacing w:after="0"/>
              <w:rPr>
                <w:sz w:val="20"/>
                <w:szCs w:val="20"/>
                <w:color w:val="auto"/>
              </w:rPr>
            </w:pPr>
            <w:r>
              <w:rPr>
                <w:rFonts w:ascii="Arial" w:cs="Arial" w:eastAsia="Arial" w:hAnsi="Arial"/>
                <w:sz w:val="14"/>
                <w:szCs w:val="14"/>
                <w:b w:val="1"/>
                <w:bCs w:val="1"/>
                <w:color w:val="00AF41"/>
                <w:w w:val="93"/>
              </w:rPr>
              <w:t>($)</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AF41"/>
                <w:w w:val="93"/>
              </w:rPr>
              <w:t>($)</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00AF41"/>
              </w:rPr>
              <w: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AF41"/>
              </w:rPr>
              <w:t>($)</w:t>
            </w:r>
          </w:p>
        </w:tc>
        <w:tc>
          <w:tcPr>
            <w:tcW w:w="920" w:type="dxa"/>
            <w:vAlign w:val="bottom"/>
          </w:tcPr>
          <w:p>
            <w:pPr>
              <w:jc w:val="center"/>
              <w:ind w:left="69"/>
              <w:spacing w:after="0"/>
              <w:rPr>
                <w:sz w:val="20"/>
                <w:szCs w:val="20"/>
                <w:color w:val="auto"/>
              </w:rPr>
            </w:pPr>
            <w:r>
              <w:rPr>
                <w:rFonts w:ascii="Arial" w:cs="Arial" w:eastAsia="Arial" w:hAnsi="Arial"/>
                <w:sz w:val="14"/>
                <w:szCs w:val="14"/>
                <w:b w:val="1"/>
                <w:bCs w:val="1"/>
                <w:color w:val="00AF41"/>
              </w:rPr>
              <w:t>($)</w:t>
            </w:r>
          </w:p>
        </w:tc>
      </w:tr>
      <w:tr>
        <w:trPr>
          <w:trHeight w:val="43"/>
        </w:trPr>
        <w:tc>
          <w:tcPr>
            <w:tcW w:w="43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57"/>
        </w:trPr>
        <w:tc>
          <w:tcPr>
            <w:tcW w:w="438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4"/>
                <w:szCs w:val="14"/>
                <w:b w:val="1"/>
                <w:bCs w:val="1"/>
                <w:color w:val="auto"/>
              </w:rPr>
              <w:t>Peter W. Quigley</w:t>
            </w:r>
          </w:p>
        </w:tc>
        <w:tc>
          <w:tcPr>
            <w:tcW w:w="1560" w:type="dxa"/>
            <w:vAlign w:val="bottom"/>
            <w:tcBorders>
              <w:bottom w:val="single" w:sz="8" w:color="EDEDED"/>
            </w:tcBorders>
            <w:shd w:val="clear" w:color="auto" w:fill="EDEDED"/>
          </w:tcPr>
          <w:p>
            <w:pPr>
              <w:jc w:val="center"/>
              <w:ind w:left="89"/>
              <w:spacing w:after="0"/>
              <w:rPr>
                <w:sz w:val="20"/>
                <w:szCs w:val="20"/>
                <w:color w:val="auto"/>
              </w:rPr>
            </w:pPr>
            <w:r>
              <w:rPr>
                <w:rFonts w:ascii="Arial" w:cs="Arial" w:eastAsia="Arial" w:hAnsi="Arial"/>
                <w:sz w:val="14"/>
                <w:szCs w:val="14"/>
                <w:color w:val="auto"/>
              </w:rPr>
              <w:t>120,471</w:t>
            </w:r>
          </w:p>
        </w:tc>
        <w:tc>
          <w:tcPr>
            <w:tcW w:w="14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60,235</w:t>
            </w:r>
          </w:p>
        </w:tc>
        <w:tc>
          <w:tcPr>
            <w:tcW w:w="14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(455,459)</w:t>
            </w:r>
          </w:p>
        </w:tc>
        <w:tc>
          <w:tcPr>
            <w:tcW w:w="13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EDEDED"/>
            </w:tcBorders>
            <w:shd w:val="clear" w:color="auto" w:fill="EDEDED"/>
          </w:tcPr>
          <w:p>
            <w:pPr>
              <w:jc w:val="center"/>
              <w:ind w:left="89"/>
              <w:spacing w:after="0"/>
              <w:rPr>
                <w:sz w:val="20"/>
                <w:szCs w:val="20"/>
                <w:color w:val="auto"/>
              </w:rPr>
            </w:pPr>
            <w:r>
              <w:rPr>
                <w:rFonts w:ascii="Arial" w:cs="Arial" w:eastAsia="Arial" w:hAnsi="Arial"/>
                <w:sz w:val="14"/>
                <w:szCs w:val="14"/>
                <w:color w:val="auto"/>
              </w:rPr>
              <w:t>2,500,149</w:t>
            </w:r>
          </w:p>
        </w:tc>
      </w:tr>
      <w:tr>
        <w:trPr>
          <w:trHeight w:val="255"/>
        </w:trPr>
        <w:tc>
          <w:tcPr>
            <w:tcW w:w="4380" w:type="dxa"/>
            <w:vAlign w:val="bottom"/>
          </w:tcPr>
          <w:p>
            <w:pPr>
              <w:ind w:left="60"/>
              <w:spacing w:after="0"/>
              <w:rPr>
                <w:sz w:val="20"/>
                <w:szCs w:val="20"/>
                <w:color w:val="auto"/>
              </w:rPr>
            </w:pPr>
            <w:r>
              <w:rPr>
                <w:rFonts w:ascii="Arial" w:cs="Arial" w:eastAsia="Arial" w:hAnsi="Arial"/>
                <w:sz w:val="14"/>
                <w:szCs w:val="14"/>
                <w:b w:val="1"/>
                <w:bCs w:val="1"/>
                <w:color w:val="auto"/>
              </w:rPr>
              <w:t>Olivier G. Thirot</w:t>
            </w:r>
          </w:p>
        </w:tc>
        <w:tc>
          <w:tcPr>
            <w:tcW w:w="1560" w:type="dxa"/>
            <w:vAlign w:val="bottom"/>
          </w:tcPr>
          <w:p>
            <w:pPr>
              <w:jc w:val="center"/>
              <w:ind w:left="89"/>
              <w:spacing w:after="0"/>
              <w:rPr>
                <w:sz w:val="20"/>
                <w:szCs w:val="20"/>
                <w:color w:val="auto"/>
              </w:rPr>
            </w:pPr>
            <w:r>
              <w:rPr>
                <w:rFonts w:ascii="Arial" w:cs="Arial" w:eastAsia="Arial" w:hAnsi="Arial"/>
                <w:sz w:val="14"/>
                <w:szCs w:val="14"/>
                <w:color w:val="auto"/>
              </w:rPr>
              <w:t>90,000</w:t>
            </w:r>
          </w:p>
        </w:tc>
        <w:tc>
          <w:tcPr>
            <w:tcW w:w="1420" w:type="dxa"/>
            <w:vAlign w:val="bottom"/>
          </w:tcPr>
          <w:p>
            <w:pPr>
              <w:jc w:val="center"/>
              <w:spacing w:after="0"/>
              <w:rPr>
                <w:sz w:val="20"/>
                <w:szCs w:val="20"/>
                <w:color w:val="auto"/>
              </w:rPr>
            </w:pPr>
            <w:r>
              <w:rPr>
                <w:rFonts w:ascii="Arial" w:cs="Arial" w:eastAsia="Arial" w:hAnsi="Arial"/>
                <w:sz w:val="14"/>
                <w:szCs w:val="14"/>
                <w:color w:val="auto"/>
              </w:rPr>
              <w:t>9,000</w:t>
            </w:r>
          </w:p>
        </w:tc>
        <w:tc>
          <w:tcPr>
            <w:tcW w:w="1420" w:type="dxa"/>
            <w:vAlign w:val="bottom"/>
          </w:tcPr>
          <w:p>
            <w:pPr>
              <w:jc w:val="center"/>
              <w:spacing w:after="0"/>
              <w:rPr>
                <w:sz w:val="20"/>
                <w:szCs w:val="20"/>
                <w:color w:val="auto"/>
              </w:rPr>
            </w:pPr>
            <w:r>
              <w:rPr>
                <w:rFonts w:ascii="Arial" w:cs="Arial" w:eastAsia="Arial" w:hAnsi="Arial"/>
                <w:sz w:val="14"/>
                <w:szCs w:val="14"/>
                <w:color w:val="auto"/>
              </w:rPr>
              <w:t>16,479</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ind w:left="89"/>
              <w:spacing w:after="0"/>
              <w:rPr>
                <w:sz w:val="20"/>
                <w:szCs w:val="20"/>
                <w:color w:val="auto"/>
              </w:rPr>
            </w:pPr>
            <w:r>
              <w:rPr>
                <w:rFonts w:ascii="Arial" w:cs="Arial" w:eastAsia="Arial" w:hAnsi="Arial"/>
                <w:sz w:val="14"/>
                <w:szCs w:val="14"/>
                <w:color w:val="auto"/>
              </w:rPr>
              <w:t>994,947</w:t>
            </w:r>
          </w:p>
        </w:tc>
      </w:tr>
      <w:tr>
        <w:trPr>
          <w:trHeight w:val="42"/>
        </w:trPr>
        <w:tc>
          <w:tcPr>
            <w:tcW w:w="43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77"/>
        </w:trPr>
        <w:tc>
          <w:tcPr>
            <w:tcW w:w="438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4"/>
                <w:szCs w:val="14"/>
                <w:b w:val="1"/>
                <w:bCs w:val="1"/>
                <w:color w:val="auto"/>
              </w:rPr>
              <w:t>Vanessa P. Williams</w:t>
            </w:r>
          </w:p>
        </w:tc>
        <w:tc>
          <w:tcPr>
            <w:tcW w:w="1560" w:type="dxa"/>
            <w:vAlign w:val="bottom"/>
            <w:tcBorders>
              <w:bottom w:val="single" w:sz="8" w:color="EDEDED"/>
            </w:tcBorders>
            <w:shd w:val="clear" w:color="auto" w:fill="EDEDED"/>
          </w:tcPr>
          <w:p>
            <w:pPr>
              <w:jc w:val="center"/>
              <w:ind w:left="89"/>
              <w:spacing w:after="0"/>
              <w:rPr>
                <w:sz w:val="20"/>
                <w:szCs w:val="20"/>
                <w:color w:val="auto"/>
              </w:rPr>
            </w:pPr>
            <w:r>
              <w:rPr>
                <w:rFonts w:ascii="Arial" w:cs="Arial" w:eastAsia="Arial" w:hAnsi="Arial"/>
                <w:sz w:val="14"/>
                <w:szCs w:val="14"/>
                <w:color w:val="auto"/>
              </w:rPr>
              <w:t>41,312</w:t>
            </w:r>
          </w:p>
        </w:tc>
        <w:tc>
          <w:tcPr>
            <w:tcW w:w="14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20,656</w:t>
            </w:r>
          </w:p>
        </w:tc>
        <w:tc>
          <w:tcPr>
            <w:tcW w:w="14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(22,793)</w:t>
            </w:r>
          </w:p>
        </w:tc>
        <w:tc>
          <w:tcPr>
            <w:tcW w:w="13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EDEDED"/>
            </w:tcBorders>
            <w:shd w:val="clear" w:color="auto" w:fill="EDEDED"/>
          </w:tcPr>
          <w:p>
            <w:pPr>
              <w:jc w:val="center"/>
              <w:ind w:left="69"/>
              <w:spacing w:after="0"/>
              <w:rPr>
                <w:sz w:val="20"/>
                <w:szCs w:val="20"/>
                <w:color w:val="auto"/>
              </w:rPr>
            </w:pPr>
            <w:r>
              <w:rPr>
                <w:rFonts w:ascii="Arial" w:cs="Arial" w:eastAsia="Arial" w:hAnsi="Arial"/>
                <w:sz w:val="14"/>
                <w:szCs w:val="14"/>
                <w:color w:val="auto"/>
                <w:w w:val="98"/>
              </w:rPr>
              <w:t>117,257</w:t>
            </w:r>
          </w:p>
        </w:tc>
      </w:tr>
      <w:tr>
        <w:trPr>
          <w:trHeight w:val="255"/>
        </w:trPr>
        <w:tc>
          <w:tcPr>
            <w:tcW w:w="4380" w:type="dxa"/>
            <w:vAlign w:val="bottom"/>
          </w:tcPr>
          <w:p>
            <w:pPr>
              <w:ind w:left="60"/>
              <w:spacing w:after="0"/>
              <w:rPr>
                <w:sz w:val="20"/>
                <w:szCs w:val="20"/>
                <w:color w:val="auto"/>
              </w:rPr>
            </w:pPr>
            <w:r>
              <w:rPr>
                <w:rFonts w:ascii="Arial" w:cs="Arial" w:eastAsia="Arial" w:hAnsi="Arial"/>
                <w:sz w:val="14"/>
                <w:szCs w:val="14"/>
                <w:b w:val="1"/>
                <w:bCs w:val="1"/>
                <w:color w:val="auto"/>
              </w:rPr>
              <w:t>Darren L. Simons</w:t>
            </w:r>
          </w:p>
        </w:tc>
        <w:tc>
          <w:tcPr>
            <w:tcW w:w="1560" w:type="dxa"/>
            <w:vAlign w:val="bottom"/>
          </w:tcPr>
          <w:p>
            <w:pPr>
              <w:jc w:val="center"/>
              <w:ind w:left="89"/>
              <w:spacing w:after="0"/>
              <w:rPr>
                <w:sz w:val="20"/>
                <w:szCs w:val="20"/>
                <w:color w:val="auto"/>
              </w:rPr>
            </w:pPr>
            <w:r>
              <w:rPr>
                <w:rFonts w:ascii="Arial" w:cs="Arial" w:eastAsia="Arial" w:hAnsi="Arial"/>
                <w:sz w:val="14"/>
                <w:szCs w:val="14"/>
                <w:color w:val="auto"/>
              </w:rPr>
              <w:t>37,619</w:t>
            </w:r>
          </w:p>
        </w:tc>
        <w:tc>
          <w:tcPr>
            <w:tcW w:w="1420" w:type="dxa"/>
            <w:vAlign w:val="bottom"/>
          </w:tcPr>
          <w:p>
            <w:pPr>
              <w:jc w:val="center"/>
              <w:spacing w:after="0"/>
              <w:rPr>
                <w:sz w:val="20"/>
                <w:szCs w:val="20"/>
                <w:color w:val="auto"/>
              </w:rPr>
            </w:pPr>
            <w:r>
              <w:rPr>
                <w:rFonts w:ascii="Arial" w:cs="Arial" w:eastAsia="Arial" w:hAnsi="Arial"/>
                <w:sz w:val="14"/>
                <w:szCs w:val="14"/>
                <w:color w:val="auto"/>
              </w:rPr>
              <w:t>18,810</w:t>
            </w:r>
          </w:p>
        </w:tc>
        <w:tc>
          <w:tcPr>
            <w:tcW w:w="1420" w:type="dxa"/>
            <w:vAlign w:val="bottom"/>
          </w:tcPr>
          <w:p>
            <w:pPr>
              <w:jc w:val="center"/>
              <w:spacing w:after="0"/>
              <w:rPr>
                <w:sz w:val="20"/>
                <w:szCs w:val="20"/>
                <w:color w:val="auto"/>
              </w:rPr>
            </w:pPr>
            <w:r>
              <w:rPr>
                <w:rFonts w:ascii="Arial" w:cs="Arial" w:eastAsia="Arial" w:hAnsi="Arial"/>
                <w:sz w:val="14"/>
                <w:szCs w:val="14"/>
                <w:color w:val="auto"/>
              </w:rPr>
              <w:t>(931)</w:t>
            </w:r>
          </w:p>
        </w:tc>
        <w:tc>
          <w:tcPr>
            <w:tcW w:w="13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Pr>
          <w:p>
            <w:pPr>
              <w:jc w:val="center"/>
              <w:ind w:left="89"/>
              <w:spacing w:after="0"/>
              <w:rPr>
                <w:sz w:val="20"/>
                <w:szCs w:val="20"/>
                <w:color w:val="auto"/>
              </w:rPr>
            </w:pPr>
            <w:r>
              <w:rPr>
                <w:rFonts w:ascii="Arial" w:cs="Arial" w:eastAsia="Arial" w:hAnsi="Arial"/>
                <w:sz w:val="14"/>
                <w:szCs w:val="14"/>
                <w:color w:val="auto"/>
              </w:rPr>
              <w:t>55,429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699516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9" w:lineRule="exact"/>
        <w:rPr>
          <w:sz w:val="20"/>
          <w:szCs w:val="20"/>
          <w:color w:val="auto"/>
        </w:rPr>
      </w:pPr>
    </w:p>
    <w:p>
      <w:pPr>
        <w:ind w:left="440" w:right="280" w:hanging="324"/>
        <w:spacing w:after="0" w:line="196" w:lineRule="auto"/>
        <w:tabs>
          <w:tab w:leader="none" w:pos="44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Executives may defer a percentage of their base salary (up to 25%) and incentive earnings (up to 50%) for retirement. These amounts, as applicable, are reported as a part of the salary or incentive earnings found in the Summary Compensation Table.</w:t>
      </w:r>
    </w:p>
    <w:p>
      <w:pPr>
        <w:spacing w:after="0" w:line="36" w:lineRule="exact"/>
        <w:rPr>
          <w:rFonts w:ascii="Arial" w:cs="Arial" w:eastAsia="Arial" w:hAnsi="Arial"/>
          <w:sz w:val="19"/>
          <w:szCs w:val="19"/>
          <w:color w:val="auto"/>
          <w:vertAlign w:val="superscript"/>
        </w:rPr>
      </w:pPr>
    </w:p>
    <w:p>
      <w:pPr>
        <w:ind w:left="440" w:right="120" w:hanging="324"/>
        <w:spacing w:after="0" w:line="202" w:lineRule="auto"/>
        <w:tabs>
          <w:tab w:leader="none" w:pos="44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Registrant Contributions in Last Fiscal Year above represent Company matching contributions (50% of the first 10% of salary and annual incentive deferrals), and they are also reported as All Other Compensation in the Summary Compensation Table. All the named executive officers, excluding Ms. Williams and Mr. Simons, who participate in the MRP have met the three-year vesting requirement for the Company match.</w:t>
      </w:r>
    </w:p>
    <w:p>
      <w:pPr>
        <w:spacing w:after="0" w:line="36" w:lineRule="exact"/>
        <w:rPr>
          <w:rFonts w:ascii="Arial" w:cs="Arial" w:eastAsia="Arial" w:hAnsi="Arial"/>
          <w:sz w:val="19"/>
          <w:szCs w:val="19"/>
          <w:color w:val="auto"/>
          <w:vertAlign w:val="superscript"/>
        </w:rPr>
      </w:pPr>
    </w:p>
    <w:p>
      <w:pPr>
        <w:jc w:val="both"/>
        <w:ind w:left="440" w:right="120" w:hanging="324"/>
        <w:spacing w:after="0" w:line="202" w:lineRule="auto"/>
        <w:tabs>
          <w:tab w:leader="none" w:pos="44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Represents actual earnings (or loss) from the investment of the prior year aggregate balance plus the earnings on current year executive and Company contributions. The aggregate earnings are based on investment options that are also offered to employees who participate in the Company’s tax-qualified 401(k) plan. As these earnings are not “above market” interest payments or preferential earnings, they are not included in the Summary Compensation Table.</w:t>
      </w:r>
    </w:p>
    <w:p>
      <w:pPr>
        <w:spacing w:after="0" w:line="36" w:lineRule="exact"/>
        <w:rPr>
          <w:rFonts w:ascii="Arial" w:cs="Arial" w:eastAsia="Arial" w:hAnsi="Arial"/>
          <w:sz w:val="19"/>
          <w:szCs w:val="19"/>
          <w:color w:val="auto"/>
          <w:vertAlign w:val="superscript"/>
        </w:rPr>
      </w:pPr>
    </w:p>
    <w:p>
      <w:pPr>
        <w:ind w:left="440" w:right="20" w:hanging="324"/>
        <w:spacing w:after="0" w:line="196" w:lineRule="auto"/>
        <w:tabs>
          <w:tab w:leader="none" w:pos="440" w:val="left"/>
        </w:tabs>
        <w:numPr>
          <w:ilvl w:val="0"/>
          <w:numId w:val="58"/>
        </w:numPr>
        <w:rPr>
          <w:rFonts w:ascii="Arial" w:cs="Arial" w:eastAsia="Arial" w:hAnsi="Arial"/>
          <w:sz w:val="19"/>
          <w:szCs w:val="19"/>
          <w:color w:val="auto"/>
          <w:vertAlign w:val="superscript"/>
        </w:rPr>
      </w:pPr>
      <w:r>
        <w:rPr>
          <w:rFonts w:ascii="Arial" w:cs="Arial" w:eastAsia="Arial" w:hAnsi="Arial"/>
          <w:sz w:val="13"/>
          <w:szCs w:val="13"/>
          <w:color w:val="auto"/>
        </w:rPr>
        <w:t>Participants may elect to receive distributions after separation from service, the later of a specified age and separation of service or a scheduled in-service distribution. Amounts may be paid as a lump sum, monthly installments for up to 20 years, or a combination of the two as elected by the participant.</w:t>
      </w:r>
    </w:p>
    <w:p>
      <w:pPr>
        <w:ind w:left="440" w:hanging="324"/>
        <w:spacing w:after="0" w:line="212" w:lineRule="auto"/>
        <w:tabs>
          <w:tab w:leader="none" w:pos="440" w:val="left"/>
        </w:tabs>
        <w:numPr>
          <w:ilvl w:val="0"/>
          <w:numId w:val="58"/>
        </w:numPr>
        <w:rPr>
          <w:rFonts w:ascii="Arial" w:cs="Arial" w:eastAsia="Arial" w:hAnsi="Arial"/>
          <w:sz w:val="18"/>
          <w:szCs w:val="18"/>
          <w:color w:val="auto"/>
          <w:vertAlign w:val="superscript"/>
        </w:rPr>
      </w:pPr>
      <w:r>
        <w:rPr>
          <w:rFonts w:ascii="Arial" w:cs="Arial" w:eastAsia="Arial" w:hAnsi="Arial"/>
          <w:sz w:val="12"/>
          <w:szCs w:val="12"/>
          <w:color w:val="auto"/>
        </w:rPr>
        <w:t>Amounts reported in this column include the following amounts that have been reported in the Summary Compensation Table for fiscal years 2013-2022: Peter W. Quigley ($1,001,979); Named</w:t>
      </w:r>
    </w:p>
    <w:p>
      <w:pPr>
        <w:ind w:left="440"/>
        <w:spacing w:after="0"/>
        <w:rPr>
          <w:rFonts w:ascii="Arial" w:cs="Arial" w:eastAsia="Arial" w:hAnsi="Arial"/>
          <w:sz w:val="18"/>
          <w:szCs w:val="18"/>
          <w:color w:val="auto"/>
          <w:vertAlign w:val="superscript"/>
        </w:rPr>
      </w:pPr>
      <w:r>
        <w:rPr>
          <w:rFonts w:ascii="Arial" w:cs="Arial" w:eastAsia="Arial" w:hAnsi="Arial"/>
          <w:sz w:val="13"/>
          <w:szCs w:val="13"/>
          <w:color w:val="auto"/>
        </w:rPr>
        <w:t>in the proxies for fiscal years 2015-2022: Olivier G. Thirot ($791,800).</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Potential Payments Upon Termination or Change in Control 2022</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Summary of Potential Payments</w:t>
      </w:r>
    </w:p>
    <w:p>
      <w:pPr>
        <w:spacing w:after="0" w:line="111"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This section describes the potential additional payments and benefits under our compensation and benefit plans and arrangements to which the named executive officers would be entitled upon termination of employment under certain circumstances. Named executive officers would also be entitled to vested benefits and generally available benefits under our various plans and arrangements, as discussed after the Potential Payments Upon Termination or Change in Control table. The Company does not maintain employment agreements with our named executive officers, other than where it is customary outside of the U.S., as in the case of Mr. Thirot and Ms. Koolhaas. The table following the narrative discussion summarizes the amounts payable upon termination under certain circumstances to our named executive officers, assuming that the executive’s employment terminated on January 1, 2022, the last day of our fiscal year.</w:t>
      </w:r>
    </w:p>
    <w:p>
      <w:pPr>
        <w:spacing w:after="0" w:line="101" w:lineRule="exact"/>
        <w:rPr>
          <w:sz w:val="20"/>
          <w:szCs w:val="20"/>
          <w:color w:val="auto"/>
        </w:rPr>
      </w:pPr>
    </w:p>
    <w:p>
      <w:pPr>
        <w:ind w:left="10820"/>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77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-143510</wp:posOffset>
            </wp:positionV>
            <wp:extent cx="411480" cy="1968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2022 Executive Compensation Tables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Senior Executive Severance Plan</w:t>
      </w:r>
    </w:p>
    <w:p>
      <w:pPr>
        <w:spacing w:after="0" w:line="111"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color w:val="auto"/>
        </w:rPr>
        <w:t>The Company implemented the Senior Executive Severance Plan (“Severance Plan”) for a limited number of executive officers in March 2017. During its March 23, 2021 meeting, the Committee approved expanding the Severance Plan to include other senior officers. Described below and illustrated in the table, Potential Payments Upon Termination or Change in Control, are the different elements payable under the Severance Plan if a named executive officer who was a party to the Severance Plan would experience a qualifying termination. All continuation amounts would be paid over the salary continuation period in compliance with Section 409A of the Code. Messrs. Quigley and Simons and Ms. Williams were covered in the Severance Plan for 2022. Mr. Thirot and Ms. Koolhaas are covered by the terms of their employment agreements as summarized below.</w:t>
      </w:r>
    </w:p>
    <w:p>
      <w:pPr>
        <w:spacing w:after="0" w:line="182"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auto"/>
        </w:rPr>
        <w:t>If one of the eligible named executive officers were to have experienced a qualifying termination under the Severance Plan in 2022, the named executive officer would have been entitled to severance benefits based on the type of qualified termination and whether they were a Tier 1, Tier 2, or Tier 3 participant. Mr. Quigley was the only Tier 1 participant in the Severance Plan. Ms. Williams was the only Tier 2 participant in the Severance Plan.</w:t>
      </w:r>
    </w:p>
    <w:p>
      <w:pPr>
        <w:spacing w:after="0" w:line="1" w:lineRule="exact"/>
        <w:rPr>
          <w:sz w:val="20"/>
          <w:szCs w:val="20"/>
          <w:color w:val="auto"/>
        </w:rPr>
      </w:pPr>
    </w:p>
    <w:p>
      <w:pPr>
        <w:ind w:left="120" w:right="260"/>
        <w:spacing w:after="0" w:line="256" w:lineRule="auto"/>
        <w:rPr>
          <w:sz w:val="20"/>
          <w:szCs w:val="20"/>
          <w:color w:val="auto"/>
        </w:rPr>
      </w:pPr>
      <w:r>
        <w:rPr>
          <w:rFonts w:ascii="Arial" w:cs="Arial" w:eastAsia="Arial" w:hAnsi="Arial"/>
          <w:sz w:val="16"/>
          <w:szCs w:val="16"/>
          <w:color w:val="auto"/>
        </w:rPr>
        <w:t>Mr. Thirot’s employment agreement provides him with similar Tier 2 severance benefits. Mr. Simons was a Tier 3 participant in the Severance Plan. Ms. Koolhaas’ employment agreement provides her with similar Tier 3 severance benefits. A “qualified termination” is any termination of a participant’s employment: by the Company other than for cause, disability, or death; or for “good reason” by a participant in connection with a change in control.</w:t>
      </w:r>
    </w:p>
    <w:p>
      <w:pPr>
        <w:spacing w:after="0" w:line="178"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For a qualified termination that occurs not in connection with a change in control, a Tier 1 participant would receive severance payments in the form of base salary continuation for a period of 24 months, a Tier 2 participant would receive severance payments in the form of base salary continuation for a period of 18 months, and a Tier 3 participant would receive severance payments in the form of base salary continuation for a period of 12 months. In addition, Tier 1, Tier 2, and Tier 3 participants would receive a prorated portion of their annual incentive compensation for the fiscal year in which the termination occurred, based on the actual performance results for the year. The pro rata annual incentive payout will be determined based on the number of days in the fiscal year the eligible named executive officer was actually employed during such plan year divided by 365. Prorated annual incentive awards are paid at the same time that incentive compensation for the same year is paid to the other senior officers of the Company, following certification by the Committee that applicable performance goals have been attained. Salary continuation amounts would be paid by the Company in installments over the severance period and in accordance with the Company’s standard payroll practice, subject to the requirements of Section 409A.</w:t>
      </w:r>
    </w:p>
    <w:p>
      <w:pPr>
        <w:spacing w:after="0" w:line="185"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For a qualified termination that occurs in connection with a change in control, a Tier 1 participant would receive a single lump sum severance payment equal to two times the sum of the participant’s annual base salary and target annual incentive compensation. A Tier 2 participant would receive a single lump sum severance payment equal to one and one-half times the sum of the participant’s annual base salary and target annual incentive compensation. A Tier 3 participant would receive a single lump sum severance payment equal to one time the sum of the participant’s annual base salary and target annual incentive compensation. In addition, Tier 1, Tier 2, and Tier 3 participants would receive a prorated portion of their annual incentive compensation. If the qualifying termination occurred in the same year as the</w:t>
      </w:r>
    </w:p>
    <w:p>
      <w:pPr>
        <w:ind w:left="120"/>
        <w:spacing w:after="0" w:line="249" w:lineRule="auto"/>
        <w:rPr>
          <w:sz w:val="20"/>
          <w:szCs w:val="20"/>
          <w:color w:val="auto"/>
        </w:rPr>
      </w:pPr>
      <w:r>
        <w:rPr>
          <w:rFonts w:ascii="Arial" w:cs="Arial" w:eastAsia="Arial" w:hAnsi="Arial"/>
          <w:sz w:val="16"/>
          <w:szCs w:val="16"/>
          <w:color w:val="auto"/>
        </w:rPr>
        <w:t>change in control, a prorated portion of the participant’s annual incentive compensation is paid based on achievement of a target level of performance. If the qualifying termination occurred in the two years following a change in control, a prorated portion of the participant’s annual incentive compensation is paid based on the actual performance results achieved for the year. Any pro rata annual incentive payout will be determined based on the number of days in the fiscal year the eligible named executive officer was actually employed during such plan year divided by 365. Prorated annual incentive awards are paid in a lump sum at the same time that incentive compensation for the same year is paid to the other senior officers of the Company, following certification by the Committee that applicable performance goals have been attained. Participants are subject to a best-net cutback for 280G excise tax calculations with no excise tax gross-ups provided under the Severance Plan.</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Subject to the participant’s timely election of continued coverage under the Consolidated Omnibus Budget Reconciliation Act of 1985, as amended (“COBRA”), the Company would provide comparable medical (including prescription drug), dental, vision, and hospitalization benefits to the eligible named executive officer and his or her eligible dependents for the severance period, provided the named executive officer continues to pay the applicable employee</w:t>
      </w:r>
    </w:p>
    <w:p>
      <w:pPr>
        <w:spacing w:after="0" w:line="9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77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-143510</wp:posOffset>
            </wp:positionV>
            <wp:extent cx="411480" cy="1968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8420"/>
        <w:spacing w:after="0"/>
        <w:rPr>
          <w:sz w:val="20"/>
          <w:szCs w:val="20"/>
          <w:color w:val="auto"/>
        </w:rPr>
      </w:pPr>
      <w:r>
        <w:rPr>
          <w:rFonts w:ascii="Arial" w:cs="Arial" w:eastAsia="Arial" w:hAnsi="Arial"/>
          <w:sz w:val="15"/>
          <w:szCs w:val="15"/>
          <w:b w:val="1"/>
          <w:bCs w:val="1"/>
          <w:color w:val="auto"/>
        </w:rPr>
        <w:t>2022 Executive Compensation Tables</w:t>
      </w:r>
    </w:p>
    <w:p>
      <w:pPr>
        <w:spacing w:after="0" w:line="143"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rate for such coverage and the named executive officer remains eligible for COBRA coverage. The severance period for a Tier 1 participant is 24 months, for a Tier 2 participant is 18 months, and for Tier 3 participant is 12 months.</w:t>
      </w:r>
    </w:p>
    <w:p>
      <w:pPr>
        <w:spacing w:after="0" w:line="156" w:lineRule="exact"/>
        <w:rPr>
          <w:sz w:val="20"/>
          <w:szCs w:val="20"/>
          <w:color w:val="auto"/>
        </w:rPr>
      </w:pPr>
    </w:p>
    <w:p>
      <w:pPr>
        <w:ind w:left="120" w:right="300"/>
        <w:spacing w:after="0" w:line="286" w:lineRule="auto"/>
        <w:rPr>
          <w:sz w:val="20"/>
          <w:szCs w:val="20"/>
          <w:color w:val="auto"/>
        </w:rPr>
      </w:pPr>
      <w:r>
        <w:rPr>
          <w:rFonts w:ascii="Arial" w:cs="Arial" w:eastAsia="Arial" w:hAnsi="Arial"/>
          <w:sz w:val="16"/>
          <w:szCs w:val="16"/>
          <w:color w:val="auto"/>
        </w:rPr>
        <w:t>The eligible named executive officer will be entitled to receive reimbursement for professional outplacement services actually incurred during the initial 12-month period following termination, not to exceed $10,000.</w:t>
      </w:r>
    </w:p>
    <w:p>
      <w:pPr>
        <w:spacing w:after="0" w:line="156" w:lineRule="exact"/>
        <w:rPr>
          <w:sz w:val="20"/>
          <w:szCs w:val="20"/>
          <w:color w:val="auto"/>
        </w:rPr>
      </w:pPr>
    </w:p>
    <w:p>
      <w:pPr>
        <w:ind w:left="120" w:right="220"/>
        <w:spacing w:after="0" w:line="259" w:lineRule="auto"/>
        <w:rPr>
          <w:sz w:val="20"/>
          <w:szCs w:val="20"/>
          <w:color w:val="auto"/>
        </w:rPr>
      </w:pPr>
      <w:r>
        <w:rPr>
          <w:rFonts w:ascii="Arial" w:cs="Arial" w:eastAsia="Arial" w:hAnsi="Arial"/>
          <w:sz w:val="16"/>
          <w:szCs w:val="16"/>
          <w:color w:val="auto"/>
        </w:rPr>
        <w:t>The eligible named executive officers, as a condition to receiving payments under the Severance Plan, are required to sign a general release of claims relating to their employment. In addition, they are required to agree not to directly or indirectly, individually or in any capacity or relationship, engage in any business or employment, or aid or endeavor to assist any business or legal entity, that is in direct competition with the business of the Company for the 12 months following termination.</w:t>
      </w:r>
    </w:p>
    <w:p>
      <w:pPr>
        <w:spacing w:after="0" w:line="178" w:lineRule="exact"/>
        <w:rPr>
          <w:sz w:val="20"/>
          <w:szCs w:val="20"/>
          <w:color w:val="auto"/>
        </w:rPr>
      </w:pPr>
    </w:p>
    <w:p>
      <w:pPr>
        <w:ind w:left="120" w:right="460"/>
        <w:spacing w:after="0" w:line="266" w:lineRule="auto"/>
        <w:rPr>
          <w:sz w:val="20"/>
          <w:szCs w:val="20"/>
          <w:color w:val="auto"/>
        </w:rPr>
      </w:pPr>
      <w:r>
        <w:rPr>
          <w:rFonts w:ascii="Arial" w:cs="Arial" w:eastAsia="Arial" w:hAnsi="Arial"/>
          <w:sz w:val="16"/>
          <w:szCs w:val="16"/>
          <w:color w:val="auto"/>
        </w:rPr>
        <w:t>During the 12 months following termination, the eligible named executive officers must also agree to not induce any employee of the Company to terminate employment with the Company, nor knowingly offer employment to any person who is or who was employed by the Company unless such person has ceased to be employed by the Company for a period of at least six months.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Named executive officers covered under the Severance Plan may not disparage, slander, or injure the business reputation or goodwill of the Company.</w:t>
      </w:r>
    </w:p>
    <w:p>
      <w:pPr>
        <w:spacing w:after="0" w:line="221" w:lineRule="exact"/>
        <w:rPr>
          <w:sz w:val="20"/>
          <w:szCs w:val="20"/>
          <w:color w:val="auto"/>
        </w:rPr>
      </w:pPr>
    </w:p>
    <w:p>
      <w:pPr>
        <w:jc w:val="both"/>
        <w:ind w:left="120" w:right="180"/>
        <w:spacing w:after="0" w:line="259" w:lineRule="auto"/>
        <w:rPr>
          <w:sz w:val="20"/>
          <w:szCs w:val="20"/>
          <w:color w:val="auto"/>
        </w:rPr>
      </w:pPr>
      <w:r>
        <w:rPr>
          <w:rFonts w:ascii="Arial" w:cs="Arial" w:eastAsia="Arial" w:hAnsi="Arial"/>
          <w:sz w:val="16"/>
          <w:szCs w:val="16"/>
          <w:color w:val="auto"/>
        </w:rPr>
        <w:t>Named executive officers must maintain as secret and confidential all protected information such as trade secrets, confidential and proprietary business information of the Company, and any other information of the Company, including but not limited to customer lists, sources of supply, processes, plans, materials, pricing information, internal memoranda, marketing plans, internal policies, and products and services which may be developed from time to time by the Company and its agents or employees, including the named executive officer.</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Noncompliance with any of the above may result in the loss of severance benefits.</w:t>
      </w:r>
    </w:p>
    <w:p>
      <w:pPr>
        <w:spacing w:after="0" w:line="33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Treatment of Long-Term Incentive Awards</w:t>
      </w:r>
    </w:p>
    <w:p>
      <w:pPr>
        <w:spacing w:after="0" w:line="111"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Each equity-based award is conditioned upon the grantee’s acceptance of the terms of the EIP and the grant agreement, which includes restrictive covenants such as post-employment conditions not to solicit the Company’s employees or customers and not to compete against the Company for twelve months following any termination of employment, and indefinite covenants covering non-disparagement and confidentiality terms. Each of our named executive officer’s performance-based equity awards is subject to the Company’s Clawback Policy, which was described earlier in this document. Provisions for the treatment of long-term incentive awards upon various termination scenarios are outlined in the table below.</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2060" w:type="dxa"/>
            <w:vAlign w:val="bottom"/>
          </w:tcPr>
          <w:p>
            <w:pPr>
              <w:ind w:left="380"/>
              <w:spacing w:after="0"/>
              <w:rPr>
                <w:sz w:val="20"/>
                <w:szCs w:val="20"/>
                <w:color w:val="auto"/>
              </w:rPr>
            </w:pPr>
            <w:r>
              <w:rPr>
                <w:rFonts w:ascii="Arial" w:cs="Arial" w:eastAsia="Arial" w:hAnsi="Arial"/>
                <w:sz w:val="14"/>
                <w:szCs w:val="14"/>
                <w:b w:val="1"/>
                <w:bCs w:val="1"/>
                <w:color w:val="00AF41"/>
              </w:rPr>
              <w:t>Restricted Stock/Units</w:t>
            </w:r>
          </w:p>
        </w:tc>
        <w:tc>
          <w:tcPr>
            <w:tcW w:w="4340" w:type="dxa"/>
            <w:vAlign w:val="bottom"/>
            <w:gridSpan w:val="3"/>
          </w:tcPr>
          <w:p>
            <w:pPr>
              <w:ind w:left="1540"/>
              <w:spacing w:after="0"/>
              <w:rPr>
                <w:sz w:val="20"/>
                <w:szCs w:val="20"/>
                <w:color w:val="auto"/>
              </w:rPr>
            </w:pPr>
            <w:r>
              <w:rPr>
                <w:rFonts w:ascii="Arial" w:cs="Arial" w:eastAsia="Arial" w:hAnsi="Arial"/>
                <w:sz w:val="14"/>
                <w:szCs w:val="14"/>
                <w:b w:val="1"/>
                <w:bCs w:val="1"/>
                <w:color w:val="00AF41"/>
              </w:rPr>
              <w:t>Performance Shares</w:t>
            </w:r>
          </w:p>
        </w:tc>
        <w:tc>
          <w:tcPr>
            <w:tcW w:w="0" w:type="dxa"/>
            <w:vAlign w:val="bottom"/>
          </w:tcPr>
          <w:p>
            <w:pPr>
              <w:spacing w:after="0"/>
              <w:rPr>
                <w:sz w:val="1"/>
                <w:szCs w:val="1"/>
                <w:color w:val="auto"/>
              </w:rPr>
            </w:pPr>
          </w:p>
        </w:tc>
      </w:tr>
      <w:tr>
        <w:trPr>
          <w:trHeight w:val="211"/>
        </w:trPr>
        <w:tc>
          <w:tcPr>
            <w:tcW w:w="4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00AF41"/>
              </w:rPr>
              <w:t>Termination</w:t>
            </w:r>
          </w:p>
        </w:tc>
        <w:tc>
          <w:tcPr>
            <w:tcW w:w="206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00AF41"/>
              </w:rPr>
              <w:t>(Time Vesting)</w:t>
            </w:r>
          </w:p>
        </w:tc>
        <w:tc>
          <w:tcPr>
            <w:tcW w:w="434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00AF41"/>
              </w:rPr>
              <w:t>(Performance and Time Vesting)</w:t>
            </w:r>
          </w:p>
        </w:tc>
        <w:tc>
          <w:tcPr>
            <w:tcW w:w="0" w:type="dxa"/>
            <w:vAlign w:val="bottom"/>
          </w:tcPr>
          <w:p>
            <w:pPr>
              <w:spacing w:after="0"/>
              <w:rPr>
                <w:sz w:val="1"/>
                <w:szCs w:val="1"/>
                <w:color w:val="auto"/>
              </w:rPr>
            </w:pPr>
          </w:p>
        </w:tc>
      </w:tr>
      <w:tr>
        <w:trPr>
          <w:trHeight w:val="212"/>
        </w:trPr>
        <w:tc>
          <w:tcPr>
            <w:tcW w:w="4620" w:type="dxa"/>
            <w:vAlign w:val="bottom"/>
            <w:shd w:val="clear" w:color="auto" w:fill="EDEDED"/>
          </w:tcPr>
          <w:p>
            <w:pPr>
              <w:ind w:left="80"/>
              <w:spacing w:after="0"/>
              <w:rPr>
                <w:sz w:val="20"/>
                <w:szCs w:val="20"/>
                <w:color w:val="auto"/>
              </w:rPr>
            </w:pPr>
            <w:r>
              <w:rPr>
                <w:rFonts w:ascii="Arial" w:cs="Arial" w:eastAsia="Arial" w:hAnsi="Arial"/>
                <w:sz w:val="16"/>
                <w:szCs w:val="16"/>
                <w:i w:val="1"/>
                <w:iCs w:val="1"/>
                <w:color w:val="auto"/>
              </w:rPr>
              <w:t>Termination not for Cause in connection with a Change In</w:t>
            </w:r>
          </w:p>
        </w:tc>
        <w:tc>
          <w:tcPr>
            <w:tcW w:w="2060" w:type="dxa"/>
            <w:vAlign w:val="bottom"/>
            <w:shd w:val="clear" w:color="auto" w:fill="EDEDED"/>
          </w:tcPr>
          <w:p>
            <w:pPr>
              <w:ind w:left="200"/>
              <w:spacing w:after="0"/>
              <w:rPr>
                <w:sz w:val="20"/>
                <w:szCs w:val="20"/>
                <w:color w:val="auto"/>
              </w:rPr>
            </w:pPr>
            <w:r>
              <w:rPr>
                <w:rFonts w:ascii="Arial" w:cs="Arial" w:eastAsia="Arial" w:hAnsi="Arial"/>
                <w:sz w:val="16"/>
                <w:szCs w:val="16"/>
                <w:color w:val="auto"/>
              </w:rPr>
              <w:t>Immediate Vesting</w:t>
            </w:r>
          </w:p>
        </w:tc>
        <w:tc>
          <w:tcPr>
            <w:tcW w:w="4340" w:type="dxa"/>
            <w:vAlign w:val="bottom"/>
            <w:gridSpan w:val="3"/>
            <w:shd w:val="clear" w:color="auto" w:fill="EDEDED"/>
          </w:tcPr>
          <w:p>
            <w:pPr>
              <w:ind w:left="140"/>
              <w:spacing w:after="0"/>
              <w:rPr>
                <w:sz w:val="20"/>
                <w:szCs w:val="20"/>
                <w:color w:val="auto"/>
              </w:rPr>
            </w:pPr>
            <w:r>
              <w:rPr>
                <w:rFonts w:ascii="Arial" w:cs="Arial" w:eastAsia="Arial" w:hAnsi="Arial"/>
                <w:sz w:val="16"/>
                <w:szCs w:val="16"/>
                <w:color w:val="auto"/>
              </w:rPr>
              <w:t>Immediate Vesting at Target</w:t>
            </w:r>
          </w:p>
        </w:tc>
        <w:tc>
          <w:tcPr>
            <w:tcW w:w="0" w:type="dxa"/>
            <w:vAlign w:val="bottom"/>
          </w:tcPr>
          <w:p>
            <w:pPr>
              <w:spacing w:after="0"/>
              <w:rPr>
                <w:sz w:val="1"/>
                <w:szCs w:val="1"/>
                <w:color w:val="auto"/>
              </w:rPr>
            </w:pPr>
          </w:p>
        </w:tc>
      </w:tr>
      <w:tr>
        <w:trPr>
          <w:trHeight w:val="235"/>
        </w:trPr>
        <w:tc>
          <w:tcPr>
            <w:tcW w:w="462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i w:val="1"/>
                <w:iCs w:val="1"/>
                <w:color w:val="auto"/>
              </w:rPr>
              <w:t>Control</w:t>
            </w:r>
          </w:p>
        </w:tc>
        <w:tc>
          <w:tcPr>
            <w:tcW w:w="2060" w:type="dxa"/>
            <w:vAlign w:val="bottom"/>
            <w:tcBorders>
              <w:bottom w:val="single" w:sz="8" w:color="EDEDED"/>
            </w:tcBorders>
            <w:shd w:val="clear" w:color="auto" w:fill="EDEDED"/>
          </w:tcPr>
          <w:p>
            <w:pPr>
              <w:spacing w:after="0"/>
              <w:rPr>
                <w:sz w:val="20"/>
                <w:szCs w:val="20"/>
                <w:color w:val="auto"/>
              </w:rPr>
            </w:pPr>
          </w:p>
        </w:tc>
        <w:tc>
          <w:tcPr>
            <w:tcW w:w="3600" w:type="dxa"/>
            <w:vAlign w:val="bottom"/>
            <w:tcBorders>
              <w:bottom w:val="single" w:sz="8" w:color="EDEDED"/>
            </w:tcBorders>
            <w:shd w:val="clear" w:color="auto" w:fill="EDEDED"/>
          </w:tcPr>
          <w:p>
            <w:pPr>
              <w:spacing w:after="0"/>
              <w:rPr>
                <w:sz w:val="20"/>
                <w:szCs w:val="20"/>
                <w:color w:val="auto"/>
              </w:rPr>
            </w:pPr>
          </w:p>
        </w:tc>
        <w:tc>
          <w:tcPr>
            <w:tcW w:w="20" w:type="dxa"/>
            <w:vAlign w:val="bottom"/>
            <w:tcBorders>
              <w:bottom w:val="single" w:sz="8" w:color="EDEDED"/>
            </w:tcBorders>
            <w:shd w:val="clear" w:color="auto" w:fill="EDEDED"/>
          </w:tcPr>
          <w:p>
            <w:pPr>
              <w:spacing w:after="0"/>
              <w:rPr>
                <w:sz w:val="20"/>
                <w:szCs w:val="20"/>
                <w:color w:val="auto"/>
              </w:rPr>
            </w:pPr>
          </w:p>
        </w:tc>
        <w:tc>
          <w:tcPr>
            <w:tcW w:w="720" w:type="dxa"/>
            <w:vAlign w:val="bottom"/>
            <w:tcBorders>
              <w:bottom w:val="single" w:sz="8" w:color="EDEDED"/>
            </w:tcBorders>
            <w:shd w:val="clear" w:color="auto" w:fill="EDEDED"/>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80"/>
              <w:spacing w:after="0"/>
              <w:rPr>
                <w:sz w:val="20"/>
                <w:szCs w:val="20"/>
                <w:color w:val="auto"/>
              </w:rPr>
            </w:pPr>
            <w:r>
              <w:rPr>
                <w:rFonts w:ascii="Arial" w:cs="Arial" w:eastAsia="Arial" w:hAnsi="Arial"/>
                <w:sz w:val="16"/>
                <w:szCs w:val="16"/>
                <w:i w:val="1"/>
                <w:iCs w:val="1"/>
                <w:color w:val="auto"/>
              </w:rPr>
              <w:t>Other Termination not for Cause</w:t>
            </w:r>
          </w:p>
        </w:tc>
        <w:tc>
          <w:tcPr>
            <w:tcW w:w="2060" w:type="dxa"/>
            <w:vAlign w:val="bottom"/>
          </w:tcPr>
          <w:p>
            <w:pPr>
              <w:ind w:left="200"/>
              <w:spacing w:after="0"/>
              <w:rPr>
                <w:sz w:val="20"/>
                <w:szCs w:val="20"/>
                <w:color w:val="auto"/>
              </w:rPr>
            </w:pPr>
            <w:r>
              <w:rPr>
                <w:rFonts w:ascii="Arial" w:cs="Arial" w:eastAsia="Arial" w:hAnsi="Arial"/>
                <w:sz w:val="16"/>
                <w:szCs w:val="16"/>
                <w:color w:val="auto"/>
              </w:rPr>
              <w:t>Forfeit</w:t>
            </w:r>
          </w:p>
        </w:tc>
        <w:tc>
          <w:tcPr>
            <w:tcW w:w="4340" w:type="dxa"/>
            <w:vAlign w:val="bottom"/>
            <w:gridSpan w:val="3"/>
          </w:tcPr>
          <w:p>
            <w:pPr>
              <w:ind w:left="140"/>
              <w:spacing w:after="0"/>
              <w:rPr>
                <w:sz w:val="20"/>
                <w:szCs w:val="20"/>
                <w:color w:val="auto"/>
              </w:rPr>
            </w:pPr>
            <w:r>
              <w:rPr>
                <w:rFonts w:ascii="Arial" w:cs="Arial" w:eastAsia="Arial" w:hAnsi="Arial"/>
                <w:sz w:val="16"/>
                <w:szCs w:val="16"/>
                <w:color w:val="auto"/>
              </w:rPr>
              <w:t>Prorated based on actual results (as determined at the</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340" w:type="dxa"/>
            <w:vAlign w:val="bottom"/>
            <w:gridSpan w:val="3"/>
          </w:tcPr>
          <w:p>
            <w:pPr>
              <w:ind w:left="140"/>
              <w:spacing w:after="0"/>
              <w:rPr>
                <w:sz w:val="20"/>
                <w:szCs w:val="20"/>
                <w:color w:val="auto"/>
              </w:rPr>
            </w:pPr>
            <w:r>
              <w:rPr>
                <w:rFonts w:ascii="Arial" w:cs="Arial" w:eastAsia="Arial" w:hAnsi="Arial"/>
                <w:sz w:val="16"/>
                <w:szCs w:val="16"/>
                <w:color w:val="auto"/>
              </w:rPr>
              <w:t>end of the cycle), subject to employment for at least one</w:t>
            </w:r>
          </w:p>
        </w:tc>
        <w:tc>
          <w:tcPr>
            <w:tcW w:w="0" w:type="dxa"/>
            <w:vAlign w:val="bottom"/>
          </w:tcPr>
          <w:p>
            <w:pPr>
              <w:spacing w:after="0"/>
              <w:rPr>
                <w:sz w:val="1"/>
                <w:szCs w:val="1"/>
                <w:color w:val="auto"/>
              </w:rPr>
            </w:pPr>
          </w:p>
        </w:tc>
      </w:tr>
      <w:tr>
        <w:trPr>
          <w:trHeight w:val="215"/>
        </w:trPr>
        <w:tc>
          <w:tcPr>
            <w:tcW w:w="46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340" w:type="dxa"/>
            <w:vAlign w:val="bottom"/>
            <w:gridSpan w:val="3"/>
          </w:tcPr>
          <w:p>
            <w:pPr>
              <w:ind w:left="140"/>
              <w:spacing w:after="0"/>
              <w:rPr>
                <w:sz w:val="20"/>
                <w:szCs w:val="20"/>
                <w:color w:val="auto"/>
              </w:rPr>
            </w:pPr>
            <w:r>
              <w:rPr>
                <w:rFonts w:ascii="Arial" w:cs="Arial" w:eastAsia="Arial" w:hAnsi="Arial"/>
                <w:sz w:val="16"/>
                <w:szCs w:val="16"/>
                <w:color w:val="auto"/>
              </w:rPr>
              <w:t>year after the date grant was approved</w:t>
            </w:r>
          </w:p>
        </w:tc>
        <w:tc>
          <w:tcPr>
            <w:tcW w:w="0" w:type="dxa"/>
            <w:vAlign w:val="bottom"/>
          </w:tcPr>
          <w:p>
            <w:pPr>
              <w:spacing w:after="0"/>
              <w:rPr>
                <w:sz w:val="1"/>
                <w:szCs w:val="1"/>
                <w:color w:val="auto"/>
              </w:rPr>
            </w:pPr>
          </w:p>
        </w:tc>
      </w:tr>
      <w:tr>
        <w:trPr>
          <w:trHeight w:val="43"/>
        </w:trPr>
        <w:tc>
          <w:tcPr>
            <w:tcW w:w="46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3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4620" w:type="dxa"/>
            <w:vAlign w:val="bottom"/>
            <w:shd w:val="clear" w:color="auto" w:fill="EDEDED"/>
          </w:tcPr>
          <w:p>
            <w:pPr>
              <w:ind w:left="80"/>
              <w:spacing w:after="0"/>
              <w:rPr>
                <w:sz w:val="20"/>
                <w:szCs w:val="20"/>
                <w:color w:val="auto"/>
              </w:rPr>
            </w:pPr>
            <w:r>
              <w:rPr>
                <w:rFonts w:ascii="Arial" w:cs="Arial" w:eastAsia="Arial" w:hAnsi="Arial"/>
                <w:sz w:val="16"/>
                <w:szCs w:val="16"/>
                <w:i w:val="1"/>
                <w:iCs w:val="1"/>
                <w:color w:val="auto"/>
              </w:rPr>
              <w:t>Termination for Good Reason in connection with a Change in</w:t>
            </w:r>
          </w:p>
        </w:tc>
        <w:tc>
          <w:tcPr>
            <w:tcW w:w="2060" w:type="dxa"/>
            <w:vAlign w:val="bottom"/>
            <w:shd w:val="clear" w:color="auto" w:fill="EDEDED"/>
          </w:tcPr>
          <w:p>
            <w:pPr>
              <w:ind w:left="200"/>
              <w:spacing w:after="0"/>
              <w:rPr>
                <w:sz w:val="20"/>
                <w:szCs w:val="20"/>
                <w:color w:val="auto"/>
              </w:rPr>
            </w:pPr>
            <w:r>
              <w:rPr>
                <w:rFonts w:ascii="Arial" w:cs="Arial" w:eastAsia="Arial" w:hAnsi="Arial"/>
                <w:sz w:val="16"/>
                <w:szCs w:val="16"/>
                <w:color w:val="auto"/>
              </w:rPr>
              <w:t>Immediate Vesting</w:t>
            </w:r>
          </w:p>
        </w:tc>
        <w:tc>
          <w:tcPr>
            <w:tcW w:w="4340" w:type="dxa"/>
            <w:vAlign w:val="bottom"/>
            <w:gridSpan w:val="3"/>
            <w:shd w:val="clear" w:color="auto" w:fill="EDEDED"/>
          </w:tcPr>
          <w:p>
            <w:pPr>
              <w:ind w:left="140"/>
              <w:spacing w:after="0"/>
              <w:rPr>
                <w:sz w:val="20"/>
                <w:szCs w:val="20"/>
                <w:color w:val="auto"/>
              </w:rPr>
            </w:pPr>
            <w:r>
              <w:rPr>
                <w:rFonts w:ascii="Arial" w:cs="Arial" w:eastAsia="Arial" w:hAnsi="Arial"/>
                <w:sz w:val="16"/>
                <w:szCs w:val="16"/>
                <w:color w:val="auto"/>
              </w:rPr>
              <w:t>Immediate Vesting at Target</w:t>
            </w:r>
          </w:p>
        </w:tc>
        <w:tc>
          <w:tcPr>
            <w:tcW w:w="0" w:type="dxa"/>
            <w:vAlign w:val="bottom"/>
          </w:tcPr>
          <w:p>
            <w:pPr>
              <w:spacing w:after="0"/>
              <w:rPr>
                <w:sz w:val="1"/>
                <w:szCs w:val="1"/>
                <w:color w:val="auto"/>
              </w:rPr>
            </w:pPr>
          </w:p>
        </w:tc>
      </w:tr>
      <w:tr>
        <w:trPr>
          <w:trHeight w:val="235"/>
        </w:trPr>
        <w:tc>
          <w:tcPr>
            <w:tcW w:w="462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i w:val="1"/>
                <w:iCs w:val="1"/>
                <w:color w:val="auto"/>
              </w:rPr>
              <w:t>Control</w:t>
            </w:r>
          </w:p>
        </w:tc>
        <w:tc>
          <w:tcPr>
            <w:tcW w:w="2060" w:type="dxa"/>
            <w:vAlign w:val="bottom"/>
            <w:tcBorders>
              <w:bottom w:val="single" w:sz="8" w:color="EDEDED"/>
            </w:tcBorders>
            <w:shd w:val="clear" w:color="auto" w:fill="EDEDED"/>
          </w:tcPr>
          <w:p>
            <w:pPr>
              <w:spacing w:after="0"/>
              <w:rPr>
                <w:sz w:val="20"/>
                <w:szCs w:val="20"/>
                <w:color w:val="auto"/>
              </w:rPr>
            </w:pPr>
          </w:p>
        </w:tc>
        <w:tc>
          <w:tcPr>
            <w:tcW w:w="3600" w:type="dxa"/>
            <w:vAlign w:val="bottom"/>
            <w:tcBorders>
              <w:bottom w:val="single" w:sz="8" w:color="EDEDED"/>
            </w:tcBorders>
            <w:shd w:val="clear" w:color="auto" w:fill="EDEDED"/>
          </w:tcPr>
          <w:p>
            <w:pPr>
              <w:spacing w:after="0"/>
              <w:rPr>
                <w:sz w:val="20"/>
                <w:szCs w:val="20"/>
                <w:color w:val="auto"/>
              </w:rPr>
            </w:pPr>
          </w:p>
        </w:tc>
        <w:tc>
          <w:tcPr>
            <w:tcW w:w="20" w:type="dxa"/>
            <w:vAlign w:val="bottom"/>
            <w:tcBorders>
              <w:bottom w:val="single" w:sz="8" w:color="EDEDED"/>
            </w:tcBorders>
            <w:shd w:val="clear" w:color="auto" w:fill="EDEDED"/>
          </w:tcPr>
          <w:p>
            <w:pPr>
              <w:spacing w:after="0"/>
              <w:rPr>
                <w:sz w:val="20"/>
                <w:szCs w:val="20"/>
                <w:color w:val="auto"/>
              </w:rPr>
            </w:pPr>
          </w:p>
        </w:tc>
        <w:tc>
          <w:tcPr>
            <w:tcW w:w="720" w:type="dxa"/>
            <w:vAlign w:val="bottom"/>
            <w:tcBorders>
              <w:bottom w:val="single" w:sz="8" w:color="EDEDED"/>
            </w:tcBorders>
            <w:shd w:val="clear" w:color="auto" w:fill="EDEDED"/>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620" w:type="dxa"/>
            <w:vAlign w:val="bottom"/>
          </w:tcPr>
          <w:p>
            <w:pPr>
              <w:ind w:left="80"/>
              <w:spacing w:after="0"/>
              <w:rPr>
                <w:sz w:val="20"/>
                <w:szCs w:val="20"/>
                <w:color w:val="auto"/>
              </w:rPr>
            </w:pPr>
            <w:r>
              <w:rPr>
                <w:rFonts w:ascii="Arial" w:cs="Arial" w:eastAsia="Arial" w:hAnsi="Arial"/>
                <w:sz w:val="16"/>
                <w:szCs w:val="16"/>
                <w:i w:val="1"/>
                <w:iCs w:val="1"/>
                <w:color w:val="auto"/>
              </w:rPr>
              <w:t>Termination for Cause</w:t>
            </w:r>
          </w:p>
        </w:tc>
        <w:tc>
          <w:tcPr>
            <w:tcW w:w="2060" w:type="dxa"/>
            <w:vAlign w:val="bottom"/>
          </w:tcPr>
          <w:p>
            <w:pPr>
              <w:ind w:left="200"/>
              <w:spacing w:after="0"/>
              <w:rPr>
                <w:sz w:val="20"/>
                <w:szCs w:val="20"/>
                <w:color w:val="auto"/>
              </w:rPr>
            </w:pPr>
            <w:r>
              <w:rPr>
                <w:rFonts w:ascii="Arial" w:cs="Arial" w:eastAsia="Arial" w:hAnsi="Arial"/>
                <w:sz w:val="16"/>
                <w:szCs w:val="16"/>
                <w:color w:val="auto"/>
              </w:rPr>
              <w:t>Forfeit</w:t>
            </w:r>
          </w:p>
        </w:tc>
        <w:tc>
          <w:tcPr>
            <w:tcW w:w="4340" w:type="dxa"/>
            <w:vAlign w:val="bottom"/>
            <w:gridSpan w:val="3"/>
          </w:tcPr>
          <w:p>
            <w:pPr>
              <w:ind w:left="140"/>
              <w:spacing w:after="0"/>
              <w:rPr>
                <w:sz w:val="20"/>
                <w:szCs w:val="20"/>
                <w:color w:val="auto"/>
              </w:rPr>
            </w:pPr>
            <w:r>
              <w:rPr>
                <w:rFonts w:ascii="Arial" w:cs="Arial" w:eastAsia="Arial" w:hAnsi="Arial"/>
                <w:sz w:val="16"/>
                <w:szCs w:val="16"/>
                <w:color w:val="auto"/>
              </w:rPr>
              <w:t>Forfeit</w:t>
            </w:r>
          </w:p>
        </w:tc>
        <w:tc>
          <w:tcPr>
            <w:tcW w:w="0" w:type="dxa"/>
            <w:vAlign w:val="bottom"/>
          </w:tcPr>
          <w:p>
            <w:pPr>
              <w:spacing w:after="0"/>
              <w:rPr>
                <w:sz w:val="1"/>
                <w:szCs w:val="1"/>
                <w:color w:val="auto"/>
              </w:rPr>
            </w:pPr>
          </w:p>
        </w:tc>
      </w:tr>
      <w:tr>
        <w:trPr>
          <w:trHeight w:val="43"/>
        </w:trPr>
        <w:tc>
          <w:tcPr>
            <w:tcW w:w="46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3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62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i w:val="1"/>
                <w:iCs w:val="1"/>
                <w:color w:val="auto"/>
              </w:rPr>
              <w:t>Voluntarily Quit</w:t>
            </w:r>
          </w:p>
        </w:tc>
        <w:tc>
          <w:tcPr>
            <w:tcW w:w="2060" w:type="dxa"/>
            <w:vAlign w:val="bottom"/>
            <w:tcBorders>
              <w:bottom w:val="single" w:sz="8" w:color="EDEDED"/>
            </w:tcBorders>
            <w:shd w:val="clear" w:color="auto" w:fill="EDEDED"/>
          </w:tcPr>
          <w:p>
            <w:pPr>
              <w:ind w:left="200"/>
              <w:spacing w:after="0"/>
              <w:rPr>
                <w:sz w:val="20"/>
                <w:szCs w:val="20"/>
                <w:color w:val="auto"/>
              </w:rPr>
            </w:pPr>
            <w:r>
              <w:rPr>
                <w:rFonts w:ascii="Arial" w:cs="Arial" w:eastAsia="Arial" w:hAnsi="Arial"/>
                <w:sz w:val="16"/>
                <w:szCs w:val="16"/>
                <w:color w:val="auto"/>
              </w:rPr>
              <w:t>Forfeit</w:t>
            </w:r>
          </w:p>
        </w:tc>
        <w:tc>
          <w:tcPr>
            <w:tcW w:w="4340" w:type="dxa"/>
            <w:vAlign w:val="bottom"/>
            <w:tcBorders>
              <w:bottom w:val="single" w:sz="8" w:color="EDEDED"/>
            </w:tcBorders>
            <w:gridSpan w:val="3"/>
            <w:shd w:val="clear" w:color="auto" w:fill="EDEDED"/>
          </w:tcPr>
          <w:p>
            <w:pPr>
              <w:ind w:left="140"/>
              <w:spacing w:after="0"/>
              <w:rPr>
                <w:sz w:val="20"/>
                <w:szCs w:val="20"/>
                <w:color w:val="auto"/>
              </w:rPr>
            </w:pPr>
            <w:r>
              <w:rPr>
                <w:rFonts w:ascii="Arial" w:cs="Arial" w:eastAsia="Arial" w:hAnsi="Arial"/>
                <w:sz w:val="16"/>
                <w:szCs w:val="16"/>
                <w:color w:val="auto"/>
              </w:rPr>
              <w:t>Forfeit</w:t>
            </w:r>
          </w:p>
        </w:tc>
        <w:tc>
          <w:tcPr>
            <w:tcW w:w="0" w:type="dxa"/>
            <w:vAlign w:val="bottom"/>
          </w:tcPr>
          <w:p>
            <w:pPr>
              <w:spacing w:after="0"/>
              <w:rPr>
                <w:sz w:val="1"/>
                <w:szCs w:val="1"/>
                <w:color w:val="auto"/>
              </w:rPr>
            </w:pPr>
          </w:p>
        </w:tc>
      </w:tr>
      <w:tr>
        <w:trPr>
          <w:trHeight w:val="229"/>
        </w:trPr>
        <w:tc>
          <w:tcPr>
            <w:tcW w:w="4620" w:type="dxa"/>
            <w:vAlign w:val="bottom"/>
          </w:tcPr>
          <w:p>
            <w:pPr>
              <w:ind w:left="80"/>
              <w:spacing w:after="0"/>
              <w:rPr>
                <w:sz w:val="20"/>
                <w:szCs w:val="20"/>
                <w:color w:val="auto"/>
              </w:rPr>
            </w:pPr>
            <w:r>
              <w:rPr>
                <w:rFonts w:ascii="Arial" w:cs="Arial" w:eastAsia="Arial" w:hAnsi="Arial"/>
                <w:sz w:val="16"/>
                <w:szCs w:val="16"/>
                <w:i w:val="1"/>
                <w:iCs w:val="1"/>
                <w:color w:val="auto"/>
              </w:rPr>
              <w:t>Retirement</w:t>
            </w:r>
          </w:p>
        </w:tc>
        <w:tc>
          <w:tcPr>
            <w:tcW w:w="2060" w:type="dxa"/>
            <w:vAlign w:val="bottom"/>
          </w:tcPr>
          <w:p>
            <w:pPr>
              <w:ind w:left="200"/>
              <w:spacing w:after="0"/>
              <w:rPr>
                <w:sz w:val="20"/>
                <w:szCs w:val="20"/>
                <w:color w:val="auto"/>
              </w:rPr>
            </w:pPr>
            <w:r>
              <w:rPr>
                <w:rFonts w:ascii="Arial" w:cs="Arial" w:eastAsia="Arial" w:hAnsi="Arial"/>
                <w:sz w:val="16"/>
                <w:szCs w:val="16"/>
                <w:color w:val="auto"/>
              </w:rPr>
              <w:t>Forfeit</w:t>
            </w:r>
          </w:p>
        </w:tc>
        <w:tc>
          <w:tcPr>
            <w:tcW w:w="4340" w:type="dxa"/>
            <w:vAlign w:val="bottom"/>
            <w:gridSpan w:val="3"/>
          </w:tcPr>
          <w:p>
            <w:pPr>
              <w:ind w:left="140"/>
              <w:spacing w:after="0"/>
              <w:rPr>
                <w:sz w:val="20"/>
                <w:szCs w:val="20"/>
                <w:color w:val="auto"/>
              </w:rPr>
            </w:pPr>
            <w:r>
              <w:rPr>
                <w:rFonts w:ascii="Arial" w:cs="Arial" w:eastAsia="Arial" w:hAnsi="Arial"/>
                <w:sz w:val="16"/>
                <w:szCs w:val="16"/>
                <w:color w:val="auto"/>
              </w:rPr>
              <w:t>Prorated based on actual results (as determined at the</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340" w:type="dxa"/>
            <w:vAlign w:val="bottom"/>
            <w:gridSpan w:val="3"/>
          </w:tcPr>
          <w:p>
            <w:pPr>
              <w:ind w:left="140"/>
              <w:spacing w:after="0"/>
              <w:rPr>
                <w:sz w:val="20"/>
                <w:szCs w:val="20"/>
                <w:color w:val="auto"/>
              </w:rPr>
            </w:pPr>
            <w:r>
              <w:rPr>
                <w:rFonts w:ascii="Arial" w:cs="Arial" w:eastAsia="Arial" w:hAnsi="Arial"/>
                <w:sz w:val="16"/>
                <w:szCs w:val="16"/>
                <w:color w:val="auto"/>
              </w:rPr>
              <w:t>end of the cycle) for “Normal Retirement” defined as age</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340" w:type="dxa"/>
            <w:vAlign w:val="bottom"/>
            <w:gridSpan w:val="3"/>
          </w:tcPr>
          <w:p>
            <w:pPr>
              <w:ind w:left="140"/>
              <w:spacing w:after="0"/>
              <w:rPr>
                <w:sz w:val="20"/>
                <w:szCs w:val="20"/>
                <w:color w:val="auto"/>
              </w:rPr>
            </w:pPr>
            <w:r>
              <w:rPr>
                <w:rFonts w:ascii="Arial" w:cs="Arial" w:eastAsia="Arial" w:hAnsi="Arial"/>
                <w:sz w:val="16"/>
                <w:szCs w:val="16"/>
                <w:color w:val="auto"/>
              </w:rPr>
              <w:t>62 with 5 years of service or as a combination of age plus</w:t>
            </w:r>
          </w:p>
        </w:tc>
        <w:tc>
          <w:tcPr>
            <w:tcW w:w="0" w:type="dxa"/>
            <w:vAlign w:val="bottom"/>
          </w:tcPr>
          <w:p>
            <w:pPr>
              <w:spacing w:after="0"/>
              <w:rPr>
                <w:sz w:val="1"/>
                <w:szCs w:val="1"/>
                <w:color w:val="auto"/>
              </w:rPr>
            </w:pPr>
          </w:p>
        </w:tc>
      </w:tr>
      <w:tr>
        <w:trPr>
          <w:trHeight w:val="215"/>
        </w:trPr>
        <w:tc>
          <w:tcPr>
            <w:tcW w:w="46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340" w:type="dxa"/>
            <w:vAlign w:val="bottom"/>
            <w:gridSpan w:val="3"/>
          </w:tcPr>
          <w:p>
            <w:pPr>
              <w:ind w:left="140"/>
              <w:spacing w:after="0"/>
              <w:rPr>
                <w:sz w:val="20"/>
                <w:szCs w:val="20"/>
                <w:color w:val="auto"/>
              </w:rPr>
            </w:pPr>
            <w:r>
              <w:rPr>
                <w:rFonts w:ascii="Arial" w:cs="Arial" w:eastAsia="Arial" w:hAnsi="Arial"/>
                <w:sz w:val="16"/>
                <w:szCs w:val="16"/>
                <w:color w:val="auto"/>
              </w:rPr>
              <w:t>years of service equal to 70, with a minimum age of 60</w:t>
            </w:r>
          </w:p>
        </w:tc>
        <w:tc>
          <w:tcPr>
            <w:tcW w:w="0" w:type="dxa"/>
            <w:vAlign w:val="bottom"/>
          </w:tcPr>
          <w:p>
            <w:pPr>
              <w:spacing w:after="0"/>
              <w:rPr>
                <w:sz w:val="1"/>
                <w:szCs w:val="1"/>
                <w:color w:val="auto"/>
              </w:rPr>
            </w:pPr>
          </w:p>
        </w:tc>
      </w:tr>
      <w:tr>
        <w:trPr>
          <w:trHeight w:val="43"/>
        </w:trPr>
        <w:tc>
          <w:tcPr>
            <w:tcW w:w="46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36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4620" w:type="dxa"/>
            <w:vAlign w:val="bottom"/>
            <w:tcBorders>
              <w:bottom w:val="single" w:sz="8" w:color="EDEDED"/>
            </w:tcBorders>
            <w:shd w:val="clear" w:color="auto" w:fill="EDEDED"/>
          </w:tcPr>
          <w:p>
            <w:pPr>
              <w:ind w:left="80"/>
              <w:spacing w:after="0"/>
              <w:rPr>
                <w:sz w:val="20"/>
                <w:szCs w:val="20"/>
                <w:color w:val="auto"/>
              </w:rPr>
            </w:pPr>
            <w:r>
              <w:rPr>
                <w:rFonts w:ascii="Arial" w:cs="Arial" w:eastAsia="Arial" w:hAnsi="Arial"/>
                <w:sz w:val="16"/>
                <w:szCs w:val="16"/>
                <w:i w:val="1"/>
                <w:iCs w:val="1"/>
                <w:color w:val="auto"/>
              </w:rPr>
              <w:t>Death or Disability</w:t>
            </w:r>
          </w:p>
        </w:tc>
        <w:tc>
          <w:tcPr>
            <w:tcW w:w="2060" w:type="dxa"/>
            <w:vAlign w:val="bottom"/>
            <w:tcBorders>
              <w:bottom w:val="single" w:sz="8" w:color="EDEDED"/>
            </w:tcBorders>
            <w:shd w:val="clear" w:color="auto" w:fill="EDEDED"/>
          </w:tcPr>
          <w:p>
            <w:pPr>
              <w:ind w:left="200"/>
              <w:spacing w:after="0"/>
              <w:rPr>
                <w:sz w:val="20"/>
                <w:szCs w:val="20"/>
                <w:color w:val="auto"/>
              </w:rPr>
            </w:pPr>
            <w:r>
              <w:rPr>
                <w:rFonts w:ascii="Arial" w:cs="Arial" w:eastAsia="Arial" w:hAnsi="Arial"/>
                <w:sz w:val="16"/>
                <w:szCs w:val="16"/>
                <w:color w:val="auto"/>
              </w:rPr>
              <w:t>Prorated</w:t>
            </w:r>
          </w:p>
        </w:tc>
        <w:tc>
          <w:tcPr>
            <w:tcW w:w="4340" w:type="dxa"/>
            <w:vAlign w:val="bottom"/>
            <w:tcBorders>
              <w:bottom w:val="single" w:sz="8" w:color="EDEDED"/>
            </w:tcBorders>
            <w:gridSpan w:val="3"/>
            <w:shd w:val="clear" w:color="auto" w:fill="EDEDED"/>
          </w:tcPr>
          <w:p>
            <w:pPr>
              <w:ind w:left="140"/>
              <w:spacing w:after="0"/>
              <w:rPr>
                <w:sz w:val="20"/>
                <w:szCs w:val="20"/>
                <w:color w:val="auto"/>
              </w:rPr>
            </w:pPr>
            <w:r>
              <w:rPr>
                <w:rFonts w:ascii="Arial" w:cs="Arial" w:eastAsia="Arial" w:hAnsi="Arial"/>
                <w:sz w:val="16"/>
                <w:szCs w:val="16"/>
                <w:color w:val="auto"/>
              </w:rPr>
              <w:t>Prorated based on actual results</w:t>
            </w:r>
          </w:p>
        </w:tc>
        <w:tc>
          <w:tcPr>
            <w:tcW w:w="0" w:type="dxa"/>
            <w:vAlign w:val="bottom"/>
          </w:tcPr>
          <w:p>
            <w:pPr>
              <w:spacing w:after="0"/>
              <w:rPr>
                <w:sz w:val="1"/>
                <w:szCs w:val="1"/>
                <w:color w:val="auto"/>
              </w:rPr>
            </w:pPr>
          </w:p>
        </w:tc>
      </w:tr>
      <w:tr>
        <w:trPr>
          <w:trHeight w:val="142"/>
        </w:trPr>
        <w:tc>
          <w:tcPr>
            <w:tcW w:w="462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3600" w:type="dxa"/>
            <w:vAlign w:val="bottom"/>
            <w:tcBorders>
              <w:top w:val="single" w:sz="8" w:color="auto"/>
            </w:tcBorders>
            <w:vMerge w:val="restart"/>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22"/>
                <w:szCs w:val="22"/>
                <w:color w:val="auto"/>
              </w:rPr>
              <w:t>77</w:t>
            </w:r>
          </w:p>
        </w:tc>
        <w:tc>
          <w:tcPr>
            <w:tcW w:w="0" w:type="dxa"/>
            <w:vAlign w:val="bottom"/>
          </w:tcPr>
          <w:p>
            <w:pPr>
              <w:spacing w:after="0"/>
              <w:rPr>
                <w:sz w:val="1"/>
                <w:szCs w:val="1"/>
                <w:color w:val="auto"/>
              </w:rPr>
            </w:pPr>
          </w:p>
        </w:tc>
      </w:tr>
      <w:tr>
        <w:trPr>
          <w:trHeight w:val="257"/>
        </w:trPr>
        <w:tc>
          <w:tcPr>
            <w:tcW w:w="46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600" w:type="dxa"/>
            <w:vAlign w:val="bottom"/>
            <w:vMerge w:val="continue"/>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4620" w:type="dxa"/>
            <w:vAlign w:val="bottom"/>
          </w:tcPr>
          <w:p>
            <w:pPr>
              <w:spacing w:after="0"/>
              <w:rPr>
                <w:sz w:val="9"/>
                <w:szCs w:val="9"/>
                <w:color w:val="auto"/>
              </w:rPr>
            </w:pPr>
          </w:p>
        </w:tc>
        <w:tc>
          <w:tcPr>
            <w:tcW w:w="2060" w:type="dxa"/>
            <w:vAlign w:val="bottom"/>
          </w:tcPr>
          <w:p>
            <w:pPr>
              <w:spacing w:after="0"/>
              <w:rPr>
                <w:sz w:val="9"/>
                <w:szCs w:val="9"/>
                <w:color w:val="auto"/>
              </w:rPr>
            </w:pPr>
          </w:p>
        </w:tc>
        <w:tc>
          <w:tcPr>
            <w:tcW w:w="360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-231140</wp:posOffset>
            </wp:positionV>
            <wp:extent cx="411480" cy="1968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2022 Executive Compensation Tables</w:t>
      </w:r>
    </w:p>
    <w:p>
      <w:pPr>
        <w:spacing w:after="0" w:line="143" w:lineRule="exact"/>
        <w:rPr>
          <w:sz w:val="20"/>
          <w:szCs w:val="20"/>
          <w:color w:val="auto"/>
        </w:rPr>
      </w:pPr>
    </w:p>
    <w:p>
      <w:pPr>
        <w:ind w:left="120" w:right="400"/>
        <w:spacing w:after="0" w:line="286" w:lineRule="auto"/>
        <w:rPr>
          <w:sz w:val="20"/>
          <w:szCs w:val="20"/>
          <w:color w:val="auto"/>
        </w:rPr>
      </w:pPr>
      <w:r>
        <w:rPr>
          <w:rFonts w:ascii="Arial" w:cs="Arial" w:eastAsia="Arial" w:hAnsi="Arial"/>
          <w:sz w:val="16"/>
          <w:szCs w:val="16"/>
          <w:color w:val="auto"/>
        </w:rPr>
        <w:t>Based on the terms of the severance plans and treatment of LTI awards for each upon termination of employment as outlined above, the table below illustrates the amounts that each named executive officer would receive in each of the potential termination scenarios.</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1180" w:type="dxa"/>
            <w:vAlign w:val="bottom"/>
          </w:tcPr>
          <w:p>
            <w:pPr>
              <w:ind w:left="400"/>
              <w:spacing w:after="0"/>
              <w:rPr>
                <w:sz w:val="20"/>
                <w:szCs w:val="20"/>
                <w:color w:val="auto"/>
              </w:rPr>
            </w:pPr>
            <w:r>
              <w:rPr>
                <w:rFonts w:ascii="Arial" w:cs="Arial" w:eastAsia="Arial" w:hAnsi="Arial"/>
                <w:sz w:val="14"/>
                <w:szCs w:val="14"/>
                <w:b w:val="1"/>
                <w:bCs w:val="1"/>
                <w:color w:val="00AF41"/>
              </w:rPr>
              <w:t>Peter W.</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00AF41"/>
              </w:rPr>
              <w:t>Olivier G.</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00AF41"/>
              </w:rPr>
              <w:t>Dinette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00AF41"/>
                <w:w w:val="97"/>
              </w:rPr>
              <w:t>Vanessa P.</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AF41"/>
              </w:rPr>
              <w:t>Darren L.</w:t>
            </w:r>
          </w:p>
        </w:tc>
      </w:tr>
      <w:tr>
        <w:trPr>
          <w:trHeight w:val="162"/>
        </w:trPr>
        <w:tc>
          <w:tcPr>
            <w:tcW w:w="5900" w:type="dxa"/>
            <w:vAlign w:val="bottom"/>
          </w:tcPr>
          <w:p>
            <w:pPr>
              <w:spacing w:after="0"/>
              <w:rPr>
                <w:sz w:val="14"/>
                <w:szCs w:val="14"/>
                <w:color w:val="auto"/>
              </w:rPr>
            </w:pPr>
          </w:p>
        </w:tc>
        <w:tc>
          <w:tcPr>
            <w:tcW w:w="1180" w:type="dxa"/>
            <w:vAlign w:val="bottom"/>
          </w:tcPr>
          <w:p>
            <w:pPr>
              <w:ind w:left="420"/>
              <w:spacing w:after="0"/>
              <w:rPr>
                <w:sz w:val="20"/>
                <w:szCs w:val="20"/>
                <w:color w:val="auto"/>
              </w:rPr>
            </w:pPr>
            <w:r>
              <w:rPr>
                <w:rFonts w:ascii="Arial" w:cs="Arial" w:eastAsia="Arial" w:hAnsi="Arial"/>
                <w:sz w:val="14"/>
                <w:szCs w:val="14"/>
                <w:b w:val="1"/>
                <w:bCs w:val="1"/>
                <w:color w:val="00AF41"/>
              </w:rPr>
              <w:t>Quigley</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00AF41"/>
              </w:rPr>
              <w:t>Thirot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00AF41"/>
              </w:rPr>
              <w:t>Koolhaas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00AF41"/>
              </w:rPr>
              <w:t>Williams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AF41"/>
              </w:rPr>
              <w:t>Simons</w:t>
            </w:r>
          </w:p>
        </w:tc>
      </w:tr>
      <w:tr>
        <w:trPr>
          <w:trHeight w:val="197"/>
        </w:trPr>
        <w:tc>
          <w:tcPr>
            <w:tcW w:w="5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00AF41"/>
              </w:rPr>
              <w:t>Event and Amounts</w:t>
            </w:r>
          </w:p>
        </w:tc>
        <w:tc>
          <w:tcPr>
            <w:tcW w:w="1180" w:type="dxa"/>
            <w:vAlign w:val="bottom"/>
            <w:tcBorders>
              <w:bottom w:val="single" w:sz="8" w:color="auto"/>
            </w:tcBorders>
          </w:tcPr>
          <w:p>
            <w:pPr>
              <w:jc w:val="center"/>
              <w:ind w:left="120"/>
              <w:spacing w:after="0"/>
              <w:rPr>
                <w:sz w:val="20"/>
                <w:szCs w:val="20"/>
                <w:color w:val="auto"/>
              </w:rPr>
            </w:pPr>
            <w:r>
              <w:rPr>
                <w:rFonts w:ascii="Arial" w:cs="Arial" w:eastAsia="Arial" w:hAnsi="Arial"/>
                <w:sz w:val="14"/>
                <w:szCs w:val="14"/>
                <w:b w:val="1"/>
                <w:bCs w:val="1"/>
                <w:color w:val="00AF41"/>
              </w:rPr>
              <w:t>($)</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AF41"/>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AF41"/>
                <w:w w:val="93"/>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AF41"/>
                <w:w w:val="93"/>
              </w:rPr>
              <w: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AF41"/>
              </w:rPr>
              <w:t>($)</w:t>
            </w:r>
          </w:p>
        </w:tc>
      </w:tr>
      <w:tr>
        <w:trPr>
          <w:trHeight w:val="183"/>
        </w:trPr>
        <w:tc>
          <w:tcPr>
            <w:tcW w:w="5900" w:type="dxa"/>
            <w:vAlign w:val="bottom"/>
            <w:shd w:val="clear" w:color="auto" w:fill="EDEDED"/>
          </w:tcPr>
          <w:p>
            <w:pPr>
              <w:ind w:left="60"/>
              <w:spacing w:after="0"/>
              <w:rPr>
                <w:sz w:val="20"/>
                <w:szCs w:val="20"/>
                <w:color w:val="auto"/>
              </w:rPr>
            </w:pPr>
            <w:r>
              <w:rPr>
                <w:rFonts w:ascii="Arial" w:cs="Arial" w:eastAsia="Arial" w:hAnsi="Arial"/>
                <w:sz w:val="16"/>
                <w:szCs w:val="16"/>
                <w:b w:val="1"/>
                <w:bCs w:val="1"/>
                <w:color w:val="auto"/>
              </w:rPr>
              <w:t>Involuntary Termination (For Cause)</w:t>
            </w:r>
          </w:p>
        </w:tc>
        <w:tc>
          <w:tcPr>
            <w:tcW w:w="1180" w:type="dxa"/>
            <w:vAlign w:val="bottom"/>
            <w:shd w:val="clear" w:color="auto" w:fill="EDEDED"/>
          </w:tcPr>
          <w:p>
            <w:pPr>
              <w:spacing w:after="0"/>
              <w:rPr>
                <w:sz w:val="15"/>
                <w:szCs w:val="15"/>
                <w:color w:val="auto"/>
              </w:rPr>
            </w:pPr>
          </w:p>
        </w:tc>
        <w:tc>
          <w:tcPr>
            <w:tcW w:w="980" w:type="dxa"/>
            <w:vAlign w:val="bottom"/>
            <w:shd w:val="clear" w:color="auto" w:fill="EDEDED"/>
          </w:tcPr>
          <w:p>
            <w:pPr>
              <w:spacing w:after="0"/>
              <w:rPr>
                <w:sz w:val="15"/>
                <w:szCs w:val="15"/>
                <w:color w:val="auto"/>
              </w:rPr>
            </w:pPr>
          </w:p>
        </w:tc>
        <w:tc>
          <w:tcPr>
            <w:tcW w:w="1000" w:type="dxa"/>
            <w:vAlign w:val="bottom"/>
            <w:shd w:val="clear" w:color="auto" w:fill="EDEDED"/>
          </w:tcPr>
          <w:p>
            <w:pPr>
              <w:spacing w:after="0"/>
              <w:rPr>
                <w:sz w:val="15"/>
                <w:szCs w:val="15"/>
                <w:color w:val="auto"/>
              </w:rPr>
            </w:pPr>
          </w:p>
        </w:tc>
        <w:tc>
          <w:tcPr>
            <w:tcW w:w="1000" w:type="dxa"/>
            <w:vAlign w:val="bottom"/>
            <w:shd w:val="clear" w:color="auto" w:fill="EDEDED"/>
          </w:tcPr>
          <w:p>
            <w:pPr>
              <w:spacing w:after="0"/>
              <w:rPr>
                <w:sz w:val="15"/>
                <w:szCs w:val="15"/>
                <w:color w:val="auto"/>
              </w:rPr>
            </w:pPr>
          </w:p>
        </w:tc>
        <w:tc>
          <w:tcPr>
            <w:tcW w:w="960" w:type="dxa"/>
            <w:vAlign w:val="bottom"/>
            <w:shd w:val="clear" w:color="auto" w:fill="EDEDED"/>
          </w:tcPr>
          <w:p>
            <w:pPr>
              <w:spacing w:after="0"/>
              <w:rPr>
                <w:sz w:val="15"/>
                <w:szCs w:val="15"/>
                <w:color w:val="auto"/>
              </w:rPr>
            </w:pPr>
          </w:p>
        </w:tc>
      </w:tr>
      <w:tr>
        <w:trPr>
          <w:trHeight w:val="227"/>
        </w:trPr>
        <w:tc>
          <w:tcPr>
            <w:tcW w:w="5900" w:type="dxa"/>
            <w:vAlign w:val="bottom"/>
          </w:tcPr>
          <w:p>
            <w:pPr>
              <w:ind w:left="60"/>
              <w:spacing w:after="0"/>
              <w:rPr>
                <w:sz w:val="20"/>
                <w:szCs w:val="20"/>
                <w:color w:val="auto"/>
              </w:rPr>
            </w:pPr>
            <w:r>
              <w:rPr>
                <w:rFonts w:ascii="Arial" w:cs="Arial" w:eastAsia="Arial" w:hAnsi="Arial"/>
                <w:sz w:val="16"/>
                <w:szCs w:val="16"/>
                <w:color w:val="auto"/>
              </w:rPr>
              <w:t>No other payments due</w:t>
            </w: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9"/>
        </w:trPr>
        <w:tc>
          <w:tcPr>
            <w:tcW w:w="5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9"/>
        </w:trPr>
        <w:tc>
          <w:tcPr>
            <w:tcW w:w="5900" w:type="dxa"/>
            <w:vAlign w:val="bottom"/>
            <w:shd w:val="clear" w:color="auto" w:fill="EDEDED"/>
          </w:tcPr>
          <w:p>
            <w:pPr>
              <w:ind w:left="60"/>
              <w:spacing w:after="0"/>
              <w:rPr>
                <w:sz w:val="20"/>
                <w:szCs w:val="20"/>
                <w:color w:val="auto"/>
              </w:rPr>
            </w:pPr>
            <w:r>
              <w:rPr>
                <w:rFonts w:ascii="Arial" w:cs="Arial" w:eastAsia="Arial" w:hAnsi="Arial"/>
                <w:sz w:val="16"/>
                <w:szCs w:val="16"/>
                <w:b w:val="1"/>
                <w:bCs w:val="1"/>
                <w:color w:val="auto"/>
              </w:rPr>
              <w:t>Voluntary Termination</w:t>
            </w:r>
          </w:p>
        </w:tc>
        <w:tc>
          <w:tcPr>
            <w:tcW w:w="1180" w:type="dxa"/>
            <w:vAlign w:val="bottom"/>
            <w:shd w:val="clear" w:color="auto" w:fill="EDEDED"/>
          </w:tcPr>
          <w:p>
            <w:pPr>
              <w:spacing w:after="0"/>
              <w:rPr>
                <w:sz w:val="16"/>
                <w:szCs w:val="16"/>
                <w:color w:val="auto"/>
              </w:rPr>
            </w:pPr>
          </w:p>
        </w:tc>
        <w:tc>
          <w:tcPr>
            <w:tcW w:w="980" w:type="dxa"/>
            <w:vAlign w:val="bottom"/>
            <w:shd w:val="clear" w:color="auto" w:fill="EDEDED"/>
          </w:tcPr>
          <w:p>
            <w:pPr>
              <w:spacing w:after="0"/>
              <w:rPr>
                <w:sz w:val="16"/>
                <w:szCs w:val="16"/>
                <w:color w:val="auto"/>
              </w:rPr>
            </w:pPr>
          </w:p>
        </w:tc>
        <w:tc>
          <w:tcPr>
            <w:tcW w:w="1000" w:type="dxa"/>
            <w:vAlign w:val="bottom"/>
            <w:shd w:val="clear" w:color="auto" w:fill="EDEDED"/>
          </w:tcPr>
          <w:p>
            <w:pPr>
              <w:spacing w:after="0"/>
              <w:rPr>
                <w:sz w:val="16"/>
                <w:szCs w:val="16"/>
                <w:color w:val="auto"/>
              </w:rPr>
            </w:pPr>
          </w:p>
        </w:tc>
        <w:tc>
          <w:tcPr>
            <w:tcW w:w="1000" w:type="dxa"/>
            <w:vAlign w:val="bottom"/>
            <w:shd w:val="clear" w:color="auto" w:fill="EDEDED"/>
          </w:tcPr>
          <w:p>
            <w:pPr>
              <w:spacing w:after="0"/>
              <w:rPr>
                <w:sz w:val="16"/>
                <w:szCs w:val="16"/>
                <w:color w:val="auto"/>
              </w:rPr>
            </w:pPr>
          </w:p>
        </w:tc>
        <w:tc>
          <w:tcPr>
            <w:tcW w:w="960" w:type="dxa"/>
            <w:vAlign w:val="bottom"/>
            <w:shd w:val="clear" w:color="auto" w:fill="EDEDED"/>
          </w:tcPr>
          <w:p>
            <w:pPr>
              <w:spacing w:after="0"/>
              <w:rPr>
                <w:sz w:val="16"/>
                <w:szCs w:val="16"/>
                <w:color w:val="auto"/>
              </w:rPr>
            </w:pPr>
          </w:p>
        </w:tc>
      </w:tr>
      <w:tr>
        <w:trPr>
          <w:trHeight w:val="228"/>
        </w:trPr>
        <w:tc>
          <w:tcPr>
            <w:tcW w:w="5900" w:type="dxa"/>
            <w:vAlign w:val="bottom"/>
          </w:tcPr>
          <w:p>
            <w:pPr>
              <w:ind w:left="60"/>
              <w:spacing w:after="0"/>
              <w:rPr>
                <w:sz w:val="20"/>
                <w:szCs w:val="20"/>
                <w:color w:val="auto"/>
              </w:rPr>
            </w:pPr>
            <w:r>
              <w:rPr>
                <w:rFonts w:ascii="Arial" w:cs="Arial" w:eastAsia="Arial" w:hAnsi="Arial"/>
                <w:sz w:val="16"/>
                <w:szCs w:val="16"/>
                <w:color w:val="auto"/>
              </w:rPr>
              <w:t>No other payments due</w:t>
            </w: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9"/>
        </w:trPr>
        <w:tc>
          <w:tcPr>
            <w:tcW w:w="5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9"/>
        </w:trPr>
        <w:tc>
          <w:tcPr>
            <w:tcW w:w="5900" w:type="dxa"/>
            <w:vAlign w:val="bottom"/>
            <w:shd w:val="clear" w:color="auto" w:fill="EDEDED"/>
          </w:tcPr>
          <w:p>
            <w:pPr>
              <w:ind w:left="60"/>
              <w:spacing w:after="0"/>
              <w:rPr>
                <w:sz w:val="20"/>
                <w:szCs w:val="20"/>
                <w:color w:val="auto"/>
              </w:rPr>
            </w:pPr>
            <w:r>
              <w:rPr>
                <w:rFonts w:ascii="Arial" w:cs="Arial" w:eastAsia="Arial" w:hAnsi="Arial"/>
                <w:sz w:val="16"/>
                <w:szCs w:val="16"/>
                <w:b w:val="1"/>
                <w:bCs w:val="1"/>
                <w:color w:val="auto"/>
              </w:rPr>
              <w:t>Death or Disability</w:t>
            </w:r>
          </w:p>
        </w:tc>
        <w:tc>
          <w:tcPr>
            <w:tcW w:w="1180" w:type="dxa"/>
            <w:vAlign w:val="bottom"/>
            <w:shd w:val="clear" w:color="auto" w:fill="EDEDED"/>
          </w:tcPr>
          <w:p>
            <w:pPr>
              <w:spacing w:after="0"/>
              <w:rPr>
                <w:sz w:val="16"/>
                <w:szCs w:val="16"/>
                <w:color w:val="auto"/>
              </w:rPr>
            </w:pPr>
          </w:p>
        </w:tc>
        <w:tc>
          <w:tcPr>
            <w:tcW w:w="980" w:type="dxa"/>
            <w:vAlign w:val="bottom"/>
            <w:shd w:val="clear" w:color="auto" w:fill="EDEDED"/>
          </w:tcPr>
          <w:p>
            <w:pPr>
              <w:spacing w:after="0"/>
              <w:rPr>
                <w:sz w:val="16"/>
                <w:szCs w:val="16"/>
                <w:color w:val="auto"/>
              </w:rPr>
            </w:pPr>
          </w:p>
        </w:tc>
        <w:tc>
          <w:tcPr>
            <w:tcW w:w="1000" w:type="dxa"/>
            <w:vAlign w:val="bottom"/>
            <w:shd w:val="clear" w:color="auto" w:fill="EDEDED"/>
          </w:tcPr>
          <w:p>
            <w:pPr>
              <w:spacing w:after="0"/>
              <w:rPr>
                <w:sz w:val="16"/>
                <w:szCs w:val="16"/>
                <w:color w:val="auto"/>
              </w:rPr>
            </w:pPr>
          </w:p>
        </w:tc>
        <w:tc>
          <w:tcPr>
            <w:tcW w:w="1000" w:type="dxa"/>
            <w:vAlign w:val="bottom"/>
            <w:shd w:val="clear" w:color="auto" w:fill="EDEDED"/>
          </w:tcPr>
          <w:p>
            <w:pPr>
              <w:spacing w:after="0"/>
              <w:rPr>
                <w:sz w:val="16"/>
                <w:szCs w:val="16"/>
                <w:color w:val="auto"/>
              </w:rPr>
            </w:pPr>
          </w:p>
        </w:tc>
        <w:tc>
          <w:tcPr>
            <w:tcW w:w="960" w:type="dxa"/>
            <w:vAlign w:val="bottom"/>
            <w:shd w:val="clear" w:color="auto" w:fill="EDEDED"/>
          </w:tcPr>
          <w:p>
            <w:pPr>
              <w:spacing w:after="0"/>
              <w:rPr>
                <w:sz w:val="16"/>
                <w:szCs w:val="16"/>
                <w:color w:val="auto"/>
              </w:rPr>
            </w:pPr>
          </w:p>
        </w:tc>
      </w:tr>
      <w:tr>
        <w:trPr>
          <w:trHeight w:val="257"/>
        </w:trPr>
        <w:tc>
          <w:tcPr>
            <w:tcW w:w="5900" w:type="dxa"/>
            <w:vAlign w:val="bottom"/>
          </w:tcPr>
          <w:p>
            <w:pPr>
              <w:ind w:left="60"/>
              <w:spacing w:after="0" w:line="257" w:lineRule="exact"/>
              <w:rPr>
                <w:sz w:val="20"/>
                <w:szCs w:val="20"/>
                <w:color w:val="auto"/>
              </w:rPr>
            </w:pPr>
            <w:r>
              <w:rPr>
                <w:rFonts w:ascii="Arial" w:cs="Arial" w:eastAsia="Arial" w:hAnsi="Arial"/>
                <w:sz w:val="16"/>
                <w:szCs w:val="16"/>
                <w:color w:val="auto"/>
              </w:rPr>
              <w:t>Performance Shares (Equity-Based)</w:t>
            </w:r>
            <w:r>
              <w:rPr>
                <w:rFonts w:ascii="Arial" w:cs="Arial" w:eastAsia="Arial" w:hAnsi="Arial"/>
                <w:sz w:val="24"/>
                <w:szCs w:val="24"/>
                <w:color w:val="auto"/>
                <w:vertAlign w:val="superscript"/>
              </w:rPr>
              <w:t>(1)</w:t>
            </w:r>
          </w:p>
        </w:tc>
        <w:tc>
          <w:tcPr>
            <w:tcW w:w="1180" w:type="dxa"/>
            <w:vAlign w:val="bottom"/>
          </w:tcPr>
          <w:p>
            <w:pPr>
              <w:jc w:val="center"/>
              <w:ind w:left="120"/>
              <w:spacing w:after="0"/>
              <w:rPr>
                <w:sz w:val="20"/>
                <w:szCs w:val="20"/>
                <w:color w:val="auto"/>
              </w:rPr>
            </w:pPr>
            <w:r>
              <w:rPr>
                <w:rFonts w:ascii="Arial" w:cs="Arial" w:eastAsia="Arial" w:hAnsi="Arial"/>
                <w:sz w:val="16"/>
                <w:szCs w:val="16"/>
                <w:color w:val="auto"/>
              </w:rPr>
              <w:t>550,433</w:t>
            </w:r>
          </w:p>
        </w:tc>
        <w:tc>
          <w:tcPr>
            <w:tcW w:w="980" w:type="dxa"/>
            <w:vAlign w:val="bottom"/>
          </w:tcPr>
          <w:p>
            <w:pPr>
              <w:jc w:val="center"/>
              <w:spacing w:after="0"/>
              <w:rPr>
                <w:sz w:val="20"/>
                <w:szCs w:val="20"/>
                <w:color w:val="auto"/>
              </w:rPr>
            </w:pPr>
            <w:r>
              <w:rPr>
                <w:rFonts w:ascii="Arial" w:cs="Arial" w:eastAsia="Arial" w:hAnsi="Arial"/>
                <w:sz w:val="16"/>
                <w:szCs w:val="16"/>
                <w:color w:val="auto"/>
              </w:rPr>
              <w:t>271,093</w:t>
            </w: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99,186</w:t>
            </w:r>
          </w:p>
        </w:tc>
        <w:tc>
          <w:tcPr>
            <w:tcW w:w="1000" w:type="dxa"/>
            <w:vAlign w:val="bottom"/>
          </w:tcPr>
          <w:p>
            <w:pPr>
              <w:jc w:val="center"/>
              <w:spacing w:after="0"/>
              <w:rPr>
                <w:sz w:val="20"/>
                <w:szCs w:val="20"/>
                <w:color w:val="auto"/>
              </w:rPr>
            </w:pPr>
            <w:r>
              <w:rPr>
                <w:rFonts w:ascii="Arial" w:cs="Arial" w:eastAsia="Arial" w:hAnsi="Arial"/>
                <w:sz w:val="16"/>
                <w:szCs w:val="16"/>
                <w:color w:val="auto"/>
                <w:w w:val="96"/>
              </w:rPr>
              <w:t>118,739</w:t>
            </w:r>
          </w:p>
        </w:tc>
        <w:tc>
          <w:tcPr>
            <w:tcW w:w="960" w:type="dxa"/>
            <w:vAlign w:val="bottom"/>
          </w:tcPr>
          <w:p>
            <w:pPr>
              <w:jc w:val="center"/>
              <w:spacing w:after="0"/>
              <w:rPr>
                <w:sz w:val="20"/>
                <w:szCs w:val="20"/>
                <w:color w:val="auto"/>
              </w:rPr>
            </w:pPr>
            <w:r>
              <w:rPr>
                <w:rFonts w:ascii="Arial" w:cs="Arial" w:eastAsia="Arial" w:hAnsi="Arial"/>
                <w:sz w:val="16"/>
                <w:szCs w:val="16"/>
                <w:color w:val="auto"/>
              </w:rPr>
              <w:t>36,791</w:t>
            </w:r>
          </w:p>
        </w:tc>
      </w:tr>
      <w:tr>
        <w:trPr>
          <w:trHeight w:val="256"/>
        </w:trPr>
        <w:tc>
          <w:tcPr>
            <w:tcW w:w="5900" w:type="dxa"/>
            <w:vAlign w:val="bottom"/>
            <w:shd w:val="clear" w:color="auto" w:fill="EDEDED"/>
          </w:tcPr>
          <w:p>
            <w:pPr>
              <w:ind w:left="60"/>
              <w:spacing w:after="0" w:line="257" w:lineRule="exact"/>
              <w:rPr>
                <w:sz w:val="20"/>
                <w:szCs w:val="20"/>
                <w:color w:val="auto"/>
              </w:rPr>
            </w:pPr>
            <w:r>
              <w:rPr>
                <w:rFonts w:ascii="Arial" w:cs="Arial" w:eastAsia="Arial" w:hAnsi="Arial"/>
                <w:sz w:val="16"/>
                <w:szCs w:val="16"/>
                <w:color w:val="auto"/>
              </w:rPr>
              <w:t>Restricted Shares</w:t>
            </w:r>
            <w:r>
              <w:rPr>
                <w:rFonts w:ascii="Arial" w:cs="Arial" w:eastAsia="Arial" w:hAnsi="Arial"/>
                <w:sz w:val="24"/>
                <w:szCs w:val="24"/>
                <w:color w:val="auto"/>
                <w:vertAlign w:val="superscript"/>
              </w:rPr>
              <w:t>(2)</w:t>
            </w:r>
          </w:p>
        </w:tc>
        <w:tc>
          <w:tcPr>
            <w:tcW w:w="1180" w:type="dxa"/>
            <w:vAlign w:val="bottom"/>
            <w:shd w:val="clear" w:color="auto" w:fill="EDEDED"/>
          </w:tcPr>
          <w:p>
            <w:pPr>
              <w:jc w:val="center"/>
              <w:ind w:left="120"/>
              <w:spacing w:after="0"/>
              <w:rPr>
                <w:sz w:val="20"/>
                <w:szCs w:val="20"/>
                <w:color w:val="auto"/>
              </w:rPr>
            </w:pPr>
            <w:r>
              <w:rPr>
                <w:rFonts w:ascii="Arial" w:cs="Arial" w:eastAsia="Arial" w:hAnsi="Arial"/>
                <w:sz w:val="16"/>
                <w:szCs w:val="16"/>
                <w:color w:val="auto"/>
              </w:rPr>
              <w:t>647,980</w:t>
            </w:r>
          </w:p>
        </w:tc>
        <w:tc>
          <w:tcPr>
            <w:tcW w:w="98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390,509</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w w:val="96"/>
              </w:rPr>
              <w:t>119,736</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125,670</w:t>
            </w:r>
          </w:p>
        </w:tc>
        <w:tc>
          <w:tcPr>
            <w:tcW w:w="96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160,855</w:t>
            </w:r>
          </w:p>
        </w:tc>
      </w:tr>
      <w:tr>
        <w:trPr>
          <w:trHeight w:val="236"/>
        </w:trPr>
        <w:tc>
          <w:tcPr>
            <w:tcW w:w="590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1180" w:type="dxa"/>
            <w:vAlign w:val="bottom"/>
          </w:tcPr>
          <w:p>
            <w:pPr>
              <w:jc w:val="center"/>
              <w:ind w:left="140"/>
              <w:spacing w:after="0"/>
              <w:rPr>
                <w:sz w:val="20"/>
                <w:szCs w:val="20"/>
                <w:color w:val="auto"/>
              </w:rPr>
            </w:pPr>
            <w:r>
              <w:rPr>
                <w:rFonts w:ascii="Arial" w:cs="Arial" w:eastAsia="Arial" w:hAnsi="Arial"/>
                <w:sz w:val="16"/>
                <w:szCs w:val="16"/>
                <w:b w:val="1"/>
                <w:bCs w:val="1"/>
                <w:color w:val="auto"/>
              </w:rPr>
              <w:t>1,198,413</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661,602</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218,922</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244,409</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197,646</w:t>
            </w:r>
          </w:p>
        </w:tc>
      </w:tr>
      <w:tr>
        <w:trPr>
          <w:trHeight w:val="21"/>
        </w:trPr>
        <w:tc>
          <w:tcPr>
            <w:tcW w:w="5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75"/>
        </w:trPr>
        <w:tc>
          <w:tcPr>
            <w:tcW w:w="5900" w:type="dxa"/>
            <w:vAlign w:val="bottom"/>
            <w:shd w:val="clear" w:color="auto" w:fill="EDEDED"/>
          </w:tcPr>
          <w:p>
            <w:pPr>
              <w:ind w:left="60"/>
              <w:spacing w:after="0" w:line="175" w:lineRule="exact"/>
              <w:rPr>
                <w:sz w:val="20"/>
                <w:szCs w:val="20"/>
                <w:color w:val="auto"/>
              </w:rPr>
            </w:pPr>
            <w:r>
              <w:rPr>
                <w:rFonts w:ascii="Arial" w:cs="Arial" w:eastAsia="Arial" w:hAnsi="Arial"/>
                <w:sz w:val="16"/>
                <w:szCs w:val="16"/>
                <w:b w:val="1"/>
                <w:bCs w:val="1"/>
                <w:color w:val="auto"/>
              </w:rPr>
              <w:t>Normal Retirement</w:t>
            </w:r>
          </w:p>
        </w:tc>
        <w:tc>
          <w:tcPr>
            <w:tcW w:w="1180" w:type="dxa"/>
            <w:vAlign w:val="bottom"/>
            <w:shd w:val="clear" w:color="auto" w:fill="EDEDED"/>
          </w:tcPr>
          <w:p>
            <w:pPr>
              <w:spacing w:after="0"/>
              <w:rPr>
                <w:sz w:val="15"/>
                <w:szCs w:val="15"/>
                <w:color w:val="auto"/>
              </w:rPr>
            </w:pPr>
          </w:p>
        </w:tc>
        <w:tc>
          <w:tcPr>
            <w:tcW w:w="980" w:type="dxa"/>
            <w:vAlign w:val="bottom"/>
            <w:shd w:val="clear" w:color="auto" w:fill="EDEDED"/>
          </w:tcPr>
          <w:p>
            <w:pPr>
              <w:spacing w:after="0"/>
              <w:rPr>
                <w:sz w:val="15"/>
                <w:szCs w:val="15"/>
                <w:color w:val="auto"/>
              </w:rPr>
            </w:pPr>
          </w:p>
        </w:tc>
        <w:tc>
          <w:tcPr>
            <w:tcW w:w="1000" w:type="dxa"/>
            <w:vAlign w:val="bottom"/>
            <w:shd w:val="clear" w:color="auto" w:fill="EDEDED"/>
          </w:tcPr>
          <w:p>
            <w:pPr>
              <w:spacing w:after="0"/>
              <w:rPr>
                <w:sz w:val="15"/>
                <w:szCs w:val="15"/>
                <w:color w:val="auto"/>
              </w:rPr>
            </w:pPr>
          </w:p>
        </w:tc>
        <w:tc>
          <w:tcPr>
            <w:tcW w:w="1000" w:type="dxa"/>
            <w:vAlign w:val="bottom"/>
            <w:shd w:val="clear" w:color="auto" w:fill="EDEDED"/>
          </w:tcPr>
          <w:p>
            <w:pPr>
              <w:spacing w:after="0"/>
              <w:rPr>
                <w:sz w:val="15"/>
                <w:szCs w:val="15"/>
                <w:color w:val="auto"/>
              </w:rPr>
            </w:pPr>
          </w:p>
        </w:tc>
        <w:tc>
          <w:tcPr>
            <w:tcW w:w="960" w:type="dxa"/>
            <w:vAlign w:val="bottom"/>
            <w:shd w:val="clear" w:color="auto" w:fill="EDEDED"/>
          </w:tcPr>
          <w:p>
            <w:pPr>
              <w:spacing w:after="0"/>
              <w:rPr>
                <w:sz w:val="15"/>
                <w:szCs w:val="15"/>
                <w:color w:val="auto"/>
              </w:rPr>
            </w:pPr>
          </w:p>
        </w:tc>
      </w:tr>
      <w:tr>
        <w:trPr>
          <w:trHeight w:val="203"/>
        </w:trPr>
        <w:tc>
          <w:tcPr>
            <w:tcW w:w="8060" w:type="dxa"/>
            <w:vAlign w:val="bottom"/>
            <w:gridSpan w:val="3"/>
            <w:shd w:val="clear" w:color="auto" w:fill="EDEDED"/>
          </w:tcPr>
          <w:p>
            <w:pPr>
              <w:ind w:left="60"/>
              <w:spacing w:after="0"/>
              <w:rPr>
                <w:sz w:val="20"/>
                <w:szCs w:val="20"/>
                <w:color w:val="auto"/>
              </w:rPr>
            </w:pPr>
            <w:r>
              <w:rPr>
                <w:rFonts w:ascii="Arial" w:cs="Arial" w:eastAsia="Arial" w:hAnsi="Arial"/>
                <w:sz w:val="16"/>
                <w:szCs w:val="16"/>
                <w:b w:val="1"/>
                <w:bCs w:val="1"/>
                <w:color w:val="auto"/>
              </w:rPr>
              <w:t>(Age 62 and 5 Years of Service or any Combination of Age + Service &gt; 70 with Minimum Age of 60)</w:t>
            </w:r>
          </w:p>
        </w:tc>
        <w:tc>
          <w:tcPr>
            <w:tcW w:w="1000" w:type="dxa"/>
            <w:vAlign w:val="bottom"/>
            <w:shd w:val="clear" w:color="auto" w:fill="EDEDED"/>
          </w:tcPr>
          <w:p>
            <w:pPr>
              <w:spacing w:after="0"/>
              <w:rPr>
                <w:sz w:val="17"/>
                <w:szCs w:val="17"/>
                <w:color w:val="auto"/>
              </w:rPr>
            </w:pPr>
          </w:p>
        </w:tc>
        <w:tc>
          <w:tcPr>
            <w:tcW w:w="1000" w:type="dxa"/>
            <w:vAlign w:val="bottom"/>
            <w:shd w:val="clear" w:color="auto" w:fill="EDEDED"/>
          </w:tcPr>
          <w:p>
            <w:pPr>
              <w:spacing w:after="0"/>
              <w:rPr>
                <w:sz w:val="17"/>
                <w:szCs w:val="17"/>
                <w:color w:val="auto"/>
              </w:rPr>
            </w:pPr>
          </w:p>
        </w:tc>
        <w:tc>
          <w:tcPr>
            <w:tcW w:w="960" w:type="dxa"/>
            <w:vAlign w:val="bottom"/>
            <w:shd w:val="clear" w:color="auto" w:fill="EDEDED"/>
          </w:tcPr>
          <w:p>
            <w:pPr>
              <w:spacing w:after="0"/>
              <w:rPr>
                <w:sz w:val="17"/>
                <w:szCs w:val="17"/>
                <w:color w:val="auto"/>
              </w:rPr>
            </w:pPr>
          </w:p>
        </w:tc>
      </w:tr>
      <w:tr>
        <w:trPr>
          <w:trHeight w:val="256"/>
        </w:trPr>
        <w:tc>
          <w:tcPr>
            <w:tcW w:w="5900" w:type="dxa"/>
            <w:vAlign w:val="bottom"/>
          </w:tcPr>
          <w:p>
            <w:pPr>
              <w:ind w:left="60"/>
              <w:spacing w:after="0" w:line="257" w:lineRule="exact"/>
              <w:rPr>
                <w:sz w:val="20"/>
                <w:szCs w:val="20"/>
                <w:color w:val="auto"/>
              </w:rPr>
            </w:pPr>
            <w:r>
              <w:rPr>
                <w:rFonts w:ascii="Arial" w:cs="Arial" w:eastAsia="Arial" w:hAnsi="Arial"/>
                <w:sz w:val="16"/>
                <w:szCs w:val="16"/>
                <w:color w:val="auto"/>
              </w:rPr>
              <w:t>Performance Shares (Equity-Based)</w:t>
            </w:r>
            <w:r>
              <w:rPr>
                <w:rFonts w:ascii="Arial" w:cs="Arial" w:eastAsia="Arial" w:hAnsi="Arial"/>
                <w:sz w:val="24"/>
                <w:szCs w:val="24"/>
                <w:color w:val="auto"/>
                <w:vertAlign w:val="superscript"/>
              </w:rPr>
              <w:t>(1)</w:t>
            </w:r>
          </w:p>
        </w:tc>
        <w:tc>
          <w:tcPr>
            <w:tcW w:w="1180" w:type="dxa"/>
            <w:vAlign w:val="bottom"/>
          </w:tcPr>
          <w:p>
            <w:pPr>
              <w:jc w:val="center"/>
              <w:ind w:left="120"/>
              <w:spacing w:after="0"/>
              <w:rPr>
                <w:sz w:val="20"/>
                <w:szCs w:val="20"/>
                <w:color w:val="auto"/>
              </w:rPr>
            </w:pPr>
            <w:r>
              <w:rPr>
                <w:rFonts w:ascii="Arial" w:cs="Arial" w:eastAsia="Arial" w:hAnsi="Arial"/>
                <w:sz w:val="16"/>
                <w:szCs w:val="16"/>
                <w:color w:val="auto"/>
              </w:rPr>
              <w:t>550,427</w:t>
            </w:r>
          </w:p>
        </w:tc>
        <w:tc>
          <w:tcPr>
            <w:tcW w:w="980" w:type="dxa"/>
            <w:vAlign w:val="bottom"/>
          </w:tcPr>
          <w:p>
            <w:pPr>
              <w:jc w:val="center"/>
              <w:spacing w:after="0"/>
              <w:rPr>
                <w:sz w:val="20"/>
                <w:szCs w:val="20"/>
                <w:color w:val="auto"/>
              </w:rPr>
            </w:pPr>
            <w:r>
              <w:rPr>
                <w:rFonts w:ascii="Arial" w:cs="Arial" w:eastAsia="Arial" w:hAnsi="Arial"/>
                <w:sz w:val="16"/>
                <w:szCs w:val="16"/>
                <w:color w:val="auto"/>
              </w:rPr>
              <w:t>271,086</w:t>
            </w:r>
          </w:p>
        </w:tc>
        <w:tc>
          <w:tcPr>
            <w:tcW w:w="1000" w:type="dxa"/>
            <w:vAlign w:val="bottom"/>
          </w:tcPr>
          <w:p>
            <w:pPr>
              <w:jc w:val="center"/>
              <w:spacing w:after="0"/>
              <w:rPr>
                <w:sz w:val="20"/>
                <w:szCs w:val="20"/>
                <w:color w:val="auto"/>
              </w:rPr>
            </w:pPr>
            <w:r>
              <w:rPr>
                <w:rFonts w:ascii="Arial" w:cs="Arial" w:eastAsia="Arial" w:hAnsi="Arial"/>
                <w:sz w:val="16"/>
                <w:szCs w:val="16"/>
                <w:color w:val="auto"/>
              </w:rPr>
              <w:t>n/a</w:t>
            </w:r>
          </w:p>
        </w:tc>
        <w:tc>
          <w:tcPr>
            <w:tcW w:w="1000" w:type="dxa"/>
            <w:vAlign w:val="bottom"/>
          </w:tcPr>
          <w:p>
            <w:pPr>
              <w:jc w:val="center"/>
              <w:spacing w:after="0"/>
              <w:rPr>
                <w:sz w:val="20"/>
                <w:szCs w:val="20"/>
                <w:color w:val="auto"/>
              </w:rPr>
            </w:pPr>
            <w:r>
              <w:rPr>
                <w:rFonts w:ascii="Arial" w:cs="Arial" w:eastAsia="Arial" w:hAnsi="Arial"/>
                <w:sz w:val="16"/>
                <w:szCs w:val="16"/>
                <w:color w:val="auto"/>
              </w:rPr>
              <w:t>n/a</w:t>
            </w:r>
          </w:p>
        </w:tc>
        <w:tc>
          <w:tcPr>
            <w:tcW w:w="960" w:type="dxa"/>
            <w:vAlign w:val="bottom"/>
          </w:tcPr>
          <w:p>
            <w:pPr>
              <w:jc w:val="center"/>
              <w:spacing w:after="0"/>
              <w:rPr>
                <w:sz w:val="20"/>
                <w:szCs w:val="20"/>
                <w:color w:val="auto"/>
              </w:rPr>
            </w:pPr>
            <w:r>
              <w:rPr>
                <w:rFonts w:ascii="Arial" w:cs="Arial" w:eastAsia="Arial" w:hAnsi="Arial"/>
                <w:sz w:val="16"/>
                <w:szCs w:val="16"/>
                <w:color w:val="auto"/>
                <w:w w:val="98"/>
              </w:rPr>
              <w:t>n/a</w:t>
            </w:r>
          </w:p>
        </w:tc>
      </w:tr>
      <w:tr>
        <w:trPr>
          <w:trHeight w:val="175"/>
        </w:trPr>
        <w:tc>
          <w:tcPr>
            <w:tcW w:w="5900" w:type="dxa"/>
            <w:vAlign w:val="bottom"/>
            <w:shd w:val="clear" w:color="auto" w:fill="EDEDED"/>
          </w:tcPr>
          <w:p>
            <w:pPr>
              <w:ind w:left="60"/>
              <w:spacing w:after="0" w:line="175" w:lineRule="exact"/>
              <w:rPr>
                <w:sz w:val="20"/>
                <w:szCs w:val="20"/>
                <w:color w:val="auto"/>
              </w:rPr>
            </w:pPr>
            <w:r>
              <w:rPr>
                <w:rFonts w:ascii="Arial" w:cs="Arial" w:eastAsia="Arial" w:hAnsi="Arial"/>
                <w:sz w:val="16"/>
                <w:szCs w:val="16"/>
                <w:b w:val="1"/>
                <w:bCs w:val="1"/>
                <w:color w:val="auto"/>
              </w:rPr>
              <w:t>Involuntary Termination</w:t>
            </w:r>
          </w:p>
        </w:tc>
        <w:tc>
          <w:tcPr>
            <w:tcW w:w="1180" w:type="dxa"/>
            <w:vAlign w:val="bottom"/>
            <w:shd w:val="clear" w:color="auto" w:fill="EDEDED"/>
          </w:tcPr>
          <w:p>
            <w:pPr>
              <w:spacing w:after="0"/>
              <w:rPr>
                <w:sz w:val="15"/>
                <w:szCs w:val="15"/>
                <w:color w:val="auto"/>
              </w:rPr>
            </w:pPr>
          </w:p>
        </w:tc>
        <w:tc>
          <w:tcPr>
            <w:tcW w:w="980" w:type="dxa"/>
            <w:vAlign w:val="bottom"/>
            <w:shd w:val="clear" w:color="auto" w:fill="EDEDED"/>
          </w:tcPr>
          <w:p>
            <w:pPr>
              <w:spacing w:after="0"/>
              <w:rPr>
                <w:sz w:val="15"/>
                <w:szCs w:val="15"/>
                <w:color w:val="auto"/>
              </w:rPr>
            </w:pPr>
          </w:p>
        </w:tc>
        <w:tc>
          <w:tcPr>
            <w:tcW w:w="1000" w:type="dxa"/>
            <w:vAlign w:val="bottom"/>
            <w:shd w:val="clear" w:color="auto" w:fill="EDEDED"/>
          </w:tcPr>
          <w:p>
            <w:pPr>
              <w:spacing w:after="0"/>
              <w:rPr>
                <w:sz w:val="15"/>
                <w:szCs w:val="15"/>
                <w:color w:val="auto"/>
              </w:rPr>
            </w:pPr>
          </w:p>
        </w:tc>
        <w:tc>
          <w:tcPr>
            <w:tcW w:w="1000" w:type="dxa"/>
            <w:vAlign w:val="bottom"/>
            <w:shd w:val="clear" w:color="auto" w:fill="EDEDED"/>
          </w:tcPr>
          <w:p>
            <w:pPr>
              <w:spacing w:after="0"/>
              <w:rPr>
                <w:sz w:val="15"/>
                <w:szCs w:val="15"/>
                <w:color w:val="auto"/>
              </w:rPr>
            </w:pPr>
          </w:p>
        </w:tc>
        <w:tc>
          <w:tcPr>
            <w:tcW w:w="960" w:type="dxa"/>
            <w:vAlign w:val="bottom"/>
            <w:shd w:val="clear" w:color="auto" w:fill="EDEDED"/>
          </w:tcPr>
          <w:p>
            <w:pPr>
              <w:spacing w:after="0"/>
              <w:rPr>
                <w:sz w:val="15"/>
                <w:szCs w:val="15"/>
                <w:color w:val="auto"/>
              </w:rPr>
            </w:pPr>
          </w:p>
        </w:tc>
      </w:tr>
      <w:tr>
        <w:trPr>
          <w:trHeight w:val="203"/>
        </w:trPr>
        <w:tc>
          <w:tcPr>
            <w:tcW w:w="5900" w:type="dxa"/>
            <w:vAlign w:val="bottom"/>
            <w:shd w:val="clear" w:color="auto" w:fill="EDEDED"/>
          </w:tcPr>
          <w:p>
            <w:pPr>
              <w:ind w:left="60"/>
              <w:spacing w:after="0"/>
              <w:rPr>
                <w:sz w:val="20"/>
                <w:szCs w:val="20"/>
                <w:color w:val="auto"/>
              </w:rPr>
            </w:pPr>
            <w:r>
              <w:rPr>
                <w:rFonts w:ascii="Arial" w:cs="Arial" w:eastAsia="Arial" w:hAnsi="Arial"/>
                <w:sz w:val="16"/>
                <w:szCs w:val="16"/>
                <w:b w:val="1"/>
                <w:bCs w:val="1"/>
                <w:color w:val="auto"/>
              </w:rPr>
              <w:t>(Not For Cause)</w:t>
            </w:r>
          </w:p>
        </w:tc>
        <w:tc>
          <w:tcPr>
            <w:tcW w:w="1180" w:type="dxa"/>
            <w:vAlign w:val="bottom"/>
            <w:shd w:val="clear" w:color="auto" w:fill="EDEDED"/>
          </w:tcPr>
          <w:p>
            <w:pPr>
              <w:spacing w:after="0"/>
              <w:rPr>
                <w:sz w:val="17"/>
                <w:szCs w:val="17"/>
                <w:color w:val="auto"/>
              </w:rPr>
            </w:pPr>
          </w:p>
        </w:tc>
        <w:tc>
          <w:tcPr>
            <w:tcW w:w="980" w:type="dxa"/>
            <w:vAlign w:val="bottom"/>
            <w:shd w:val="clear" w:color="auto" w:fill="EDEDED"/>
          </w:tcPr>
          <w:p>
            <w:pPr>
              <w:spacing w:after="0"/>
              <w:rPr>
                <w:sz w:val="17"/>
                <w:szCs w:val="17"/>
                <w:color w:val="auto"/>
              </w:rPr>
            </w:pPr>
          </w:p>
        </w:tc>
        <w:tc>
          <w:tcPr>
            <w:tcW w:w="1000" w:type="dxa"/>
            <w:vAlign w:val="bottom"/>
            <w:shd w:val="clear" w:color="auto" w:fill="EDEDED"/>
          </w:tcPr>
          <w:p>
            <w:pPr>
              <w:spacing w:after="0"/>
              <w:rPr>
                <w:sz w:val="17"/>
                <w:szCs w:val="17"/>
                <w:color w:val="auto"/>
              </w:rPr>
            </w:pPr>
          </w:p>
        </w:tc>
        <w:tc>
          <w:tcPr>
            <w:tcW w:w="1000" w:type="dxa"/>
            <w:vAlign w:val="bottom"/>
            <w:shd w:val="clear" w:color="auto" w:fill="EDEDED"/>
          </w:tcPr>
          <w:p>
            <w:pPr>
              <w:spacing w:after="0"/>
              <w:rPr>
                <w:sz w:val="17"/>
                <w:szCs w:val="17"/>
                <w:color w:val="auto"/>
              </w:rPr>
            </w:pPr>
          </w:p>
        </w:tc>
        <w:tc>
          <w:tcPr>
            <w:tcW w:w="960" w:type="dxa"/>
            <w:vAlign w:val="bottom"/>
            <w:shd w:val="clear" w:color="auto" w:fill="EDEDED"/>
          </w:tcPr>
          <w:p>
            <w:pPr>
              <w:spacing w:after="0"/>
              <w:rPr>
                <w:sz w:val="17"/>
                <w:szCs w:val="17"/>
                <w:color w:val="auto"/>
              </w:rPr>
            </w:pPr>
          </w:p>
        </w:tc>
      </w:tr>
      <w:tr>
        <w:trPr>
          <w:trHeight w:val="257"/>
        </w:trPr>
        <w:tc>
          <w:tcPr>
            <w:tcW w:w="5900" w:type="dxa"/>
            <w:vAlign w:val="bottom"/>
          </w:tcPr>
          <w:p>
            <w:pPr>
              <w:ind w:left="60"/>
              <w:spacing w:after="0" w:line="257" w:lineRule="exact"/>
              <w:rPr>
                <w:sz w:val="20"/>
                <w:szCs w:val="20"/>
                <w:color w:val="auto"/>
              </w:rPr>
            </w:pPr>
            <w:r>
              <w:rPr>
                <w:rFonts w:ascii="Arial" w:cs="Arial" w:eastAsia="Arial" w:hAnsi="Arial"/>
                <w:sz w:val="16"/>
                <w:szCs w:val="16"/>
                <w:color w:val="auto"/>
              </w:rPr>
              <w:t>Cash Severance</w:t>
            </w:r>
            <w:r>
              <w:rPr>
                <w:rFonts w:ascii="Arial" w:cs="Arial" w:eastAsia="Arial" w:hAnsi="Arial"/>
                <w:sz w:val="24"/>
                <w:szCs w:val="24"/>
                <w:color w:val="auto"/>
                <w:vertAlign w:val="superscript"/>
              </w:rPr>
              <w:t>(3)</w:t>
            </w:r>
          </w:p>
        </w:tc>
        <w:tc>
          <w:tcPr>
            <w:tcW w:w="1180" w:type="dxa"/>
            <w:vAlign w:val="bottom"/>
          </w:tcPr>
          <w:p>
            <w:pPr>
              <w:jc w:val="center"/>
              <w:ind w:left="140"/>
              <w:spacing w:after="0"/>
              <w:rPr>
                <w:sz w:val="20"/>
                <w:szCs w:val="20"/>
                <w:color w:val="auto"/>
              </w:rPr>
            </w:pPr>
            <w:r>
              <w:rPr>
                <w:rFonts w:ascii="Arial" w:cs="Arial" w:eastAsia="Arial" w:hAnsi="Arial"/>
                <w:sz w:val="16"/>
                <w:szCs w:val="16"/>
                <w:color w:val="auto"/>
              </w:rPr>
              <w:t>1,800,000</w:t>
            </w:r>
          </w:p>
        </w:tc>
        <w:tc>
          <w:tcPr>
            <w:tcW w:w="980" w:type="dxa"/>
            <w:vAlign w:val="bottom"/>
          </w:tcPr>
          <w:p>
            <w:pPr>
              <w:jc w:val="center"/>
              <w:spacing w:after="0"/>
              <w:rPr>
                <w:sz w:val="20"/>
                <w:szCs w:val="20"/>
                <w:color w:val="auto"/>
              </w:rPr>
            </w:pPr>
            <w:r>
              <w:rPr>
                <w:rFonts w:ascii="Arial" w:cs="Arial" w:eastAsia="Arial" w:hAnsi="Arial"/>
                <w:sz w:val="16"/>
                <w:szCs w:val="16"/>
                <w:color w:val="auto"/>
              </w:rPr>
              <w:t>930,875</w:t>
            </w:r>
          </w:p>
        </w:tc>
        <w:tc>
          <w:tcPr>
            <w:tcW w:w="1000" w:type="dxa"/>
            <w:vAlign w:val="bottom"/>
          </w:tcPr>
          <w:p>
            <w:pPr>
              <w:jc w:val="center"/>
              <w:spacing w:after="0"/>
              <w:rPr>
                <w:sz w:val="20"/>
                <w:szCs w:val="20"/>
                <w:color w:val="auto"/>
              </w:rPr>
            </w:pPr>
            <w:r>
              <w:rPr>
                <w:rFonts w:ascii="Arial" w:cs="Arial" w:eastAsia="Arial" w:hAnsi="Arial"/>
                <w:sz w:val="16"/>
                <w:szCs w:val="16"/>
                <w:color w:val="auto"/>
              </w:rPr>
              <w:t>521,865</w:t>
            </w:r>
          </w:p>
        </w:tc>
        <w:tc>
          <w:tcPr>
            <w:tcW w:w="1000" w:type="dxa"/>
            <w:vAlign w:val="bottom"/>
          </w:tcPr>
          <w:p>
            <w:pPr>
              <w:jc w:val="center"/>
              <w:spacing w:after="0"/>
              <w:rPr>
                <w:sz w:val="20"/>
                <w:szCs w:val="20"/>
                <w:color w:val="auto"/>
              </w:rPr>
            </w:pPr>
            <w:r>
              <w:rPr>
                <w:rFonts w:ascii="Arial" w:cs="Arial" w:eastAsia="Arial" w:hAnsi="Arial"/>
                <w:sz w:val="16"/>
                <w:szCs w:val="16"/>
                <w:color w:val="auto"/>
              </w:rPr>
              <w:t>621,000</w:t>
            </w:r>
          </w:p>
        </w:tc>
        <w:tc>
          <w:tcPr>
            <w:tcW w:w="960" w:type="dxa"/>
            <w:vAlign w:val="bottom"/>
          </w:tcPr>
          <w:p>
            <w:pPr>
              <w:jc w:val="center"/>
              <w:spacing w:after="0"/>
              <w:rPr>
                <w:sz w:val="20"/>
                <w:szCs w:val="20"/>
                <w:color w:val="auto"/>
              </w:rPr>
            </w:pPr>
            <w:r>
              <w:rPr>
                <w:rFonts w:ascii="Arial" w:cs="Arial" w:eastAsia="Arial" w:hAnsi="Arial"/>
                <w:sz w:val="16"/>
                <w:szCs w:val="16"/>
                <w:color w:val="auto"/>
              </w:rPr>
              <w:t>377,000</w:t>
            </w:r>
          </w:p>
        </w:tc>
      </w:tr>
      <w:tr>
        <w:trPr>
          <w:trHeight w:val="257"/>
        </w:trPr>
        <w:tc>
          <w:tcPr>
            <w:tcW w:w="5900" w:type="dxa"/>
            <w:vAlign w:val="bottom"/>
            <w:shd w:val="clear" w:color="auto" w:fill="EDEDED"/>
          </w:tcPr>
          <w:p>
            <w:pPr>
              <w:ind w:left="60"/>
              <w:spacing w:after="0" w:line="257" w:lineRule="exact"/>
              <w:rPr>
                <w:sz w:val="20"/>
                <w:szCs w:val="20"/>
                <w:color w:val="auto"/>
              </w:rPr>
            </w:pPr>
            <w:r>
              <w:rPr>
                <w:rFonts w:ascii="Arial" w:cs="Arial" w:eastAsia="Arial" w:hAnsi="Arial"/>
                <w:sz w:val="16"/>
                <w:szCs w:val="16"/>
                <w:color w:val="auto"/>
              </w:rPr>
              <w:t>Pro-Rated Annual Incentive</w:t>
            </w:r>
            <w:r>
              <w:rPr>
                <w:rFonts w:ascii="Arial" w:cs="Arial" w:eastAsia="Arial" w:hAnsi="Arial"/>
                <w:sz w:val="24"/>
                <w:szCs w:val="24"/>
                <w:color w:val="auto"/>
                <w:vertAlign w:val="superscript"/>
              </w:rPr>
              <w:t>(4)</w:t>
            </w:r>
          </w:p>
        </w:tc>
        <w:tc>
          <w:tcPr>
            <w:tcW w:w="1180" w:type="dxa"/>
            <w:vAlign w:val="bottom"/>
            <w:shd w:val="clear" w:color="auto" w:fill="EDEDED"/>
          </w:tcPr>
          <w:p>
            <w:pPr>
              <w:jc w:val="center"/>
              <w:ind w:left="120"/>
              <w:spacing w:after="0"/>
              <w:rPr>
                <w:sz w:val="20"/>
                <w:szCs w:val="20"/>
                <w:color w:val="auto"/>
              </w:rPr>
            </w:pPr>
            <w:r>
              <w:rPr>
                <w:rFonts w:ascii="Arial" w:cs="Arial" w:eastAsia="Arial" w:hAnsi="Arial"/>
                <w:sz w:val="16"/>
                <w:szCs w:val="16"/>
                <w:color w:val="auto"/>
              </w:rPr>
              <w:t>777,988</w:t>
            </w:r>
          </w:p>
        </w:tc>
        <w:tc>
          <w:tcPr>
            <w:tcW w:w="98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443,100</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318,900</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225,600</w:t>
            </w:r>
          </w:p>
        </w:tc>
        <w:tc>
          <w:tcPr>
            <w:tcW w:w="96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173,800</w:t>
            </w:r>
          </w:p>
        </w:tc>
      </w:tr>
      <w:tr>
        <w:trPr>
          <w:trHeight w:val="256"/>
        </w:trPr>
        <w:tc>
          <w:tcPr>
            <w:tcW w:w="5900" w:type="dxa"/>
            <w:vAlign w:val="bottom"/>
          </w:tcPr>
          <w:p>
            <w:pPr>
              <w:ind w:left="60"/>
              <w:spacing w:after="0" w:line="257" w:lineRule="exact"/>
              <w:rPr>
                <w:sz w:val="20"/>
                <w:szCs w:val="20"/>
                <w:color w:val="auto"/>
              </w:rPr>
            </w:pPr>
            <w:r>
              <w:rPr>
                <w:rFonts w:ascii="Arial" w:cs="Arial" w:eastAsia="Arial" w:hAnsi="Arial"/>
                <w:sz w:val="16"/>
                <w:szCs w:val="16"/>
                <w:color w:val="auto"/>
              </w:rPr>
              <w:t>Performance Shares (Equity-Based)</w:t>
            </w:r>
            <w:r>
              <w:rPr>
                <w:rFonts w:ascii="Arial" w:cs="Arial" w:eastAsia="Arial" w:hAnsi="Arial"/>
                <w:sz w:val="24"/>
                <w:szCs w:val="24"/>
                <w:color w:val="auto"/>
                <w:vertAlign w:val="superscript"/>
              </w:rPr>
              <w:t>(1)</w:t>
            </w:r>
          </w:p>
        </w:tc>
        <w:tc>
          <w:tcPr>
            <w:tcW w:w="1180" w:type="dxa"/>
            <w:vAlign w:val="bottom"/>
          </w:tcPr>
          <w:p>
            <w:pPr>
              <w:jc w:val="center"/>
              <w:ind w:left="120"/>
              <w:spacing w:after="0"/>
              <w:rPr>
                <w:sz w:val="20"/>
                <w:szCs w:val="20"/>
                <w:color w:val="auto"/>
              </w:rPr>
            </w:pPr>
            <w:r>
              <w:rPr>
                <w:rFonts w:ascii="Arial" w:cs="Arial" w:eastAsia="Arial" w:hAnsi="Arial"/>
                <w:sz w:val="16"/>
                <w:szCs w:val="16"/>
                <w:color w:val="auto"/>
              </w:rPr>
              <w:t>292,736</w:t>
            </w:r>
          </w:p>
        </w:tc>
        <w:tc>
          <w:tcPr>
            <w:tcW w:w="980" w:type="dxa"/>
            <w:vAlign w:val="bottom"/>
          </w:tcPr>
          <w:p>
            <w:pPr>
              <w:jc w:val="center"/>
              <w:spacing w:after="0"/>
              <w:rPr>
                <w:sz w:val="20"/>
                <w:szCs w:val="20"/>
                <w:color w:val="auto"/>
              </w:rPr>
            </w:pPr>
            <w:r>
              <w:rPr>
                <w:rFonts w:ascii="Arial" w:cs="Arial" w:eastAsia="Arial" w:hAnsi="Arial"/>
                <w:sz w:val="16"/>
                <w:szCs w:val="16"/>
                <w:color w:val="auto"/>
              </w:rPr>
              <w:t>148,105</w:t>
            </w: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46,770</w:t>
            </w: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61,006</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257"/>
        </w:trPr>
        <w:tc>
          <w:tcPr>
            <w:tcW w:w="5900" w:type="dxa"/>
            <w:vAlign w:val="bottom"/>
            <w:shd w:val="clear" w:color="auto" w:fill="EDEDED"/>
          </w:tcPr>
          <w:p>
            <w:pPr>
              <w:ind w:left="60"/>
              <w:spacing w:after="0" w:line="257" w:lineRule="exact"/>
              <w:rPr>
                <w:sz w:val="20"/>
                <w:szCs w:val="20"/>
                <w:color w:val="auto"/>
              </w:rPr>
            </w:pPr>
            <w:r>
              <w:rPr>
                <w:rFonts w:ascii="Arial" w:cs="Arial" w:eastAsia="Arial" w:hAnsi="Arial"/>
                <w:sz w:val="16"/>
                <w:szCs w:val="16"/>
                <w:color w:val="auto"/>
              </w:rPr>
              <w:t>Restricted Shares</w:t>
            </w:r>
            <w:r>
              <w:rPr>
                <w:rFonts w:ascii="Arial" w:cs="Arial" w:eastAsia="Arial" w:hAnsi="Arial"/>
                <w:sz w:val="24"/>
                <w:szCs w:val="24"/>
                <w:color w:val="auto"/>
                <w:vertAlign w:val="superscript"/>
              </w:rPr>
              <w:t>(2)</w:t>
            </w:r>
          </w:p>
        </w:tc>
        <w:tc>
          <w:tcPr>
            <w:tcW w:w="1180" w:type="dxa"/>
            <w:vAlign w:val="bottom"/>
            <w:shd w:val="clear" w:color="auto" w:fill="EDEDED"/>
          </w:tcPr>
          <w:p>
            <w:pPr>
              <w:jc w:val="center"/>
              <w:ind w:left="120"/>
              <w:spacing w:after="0"/>
              <w:rPr>
                <w:sz w:val="20"/>
                <w:szCs w:val="20"/>
                <w:color w:val="auto"/>
              </w:rPr>
            </w:pPr>
            <w:r>
              <w:rPr>
                <w:rFonts w:ascii="Arial" w:cs="Arial" w:eastAsia="Arial" w:hAnsi="Arial"/>
                <w:sz w:val="16"/>
                <w:szCs w:val="16"/>
                <w:color w:val="auto"/>
              </w:rPr>
              <w:t>—</w:t>
            </w:r>
          </w:p>
        </w:tc>
        <w:tc>
          <w:tcPr>
            <w:tcW w:w="980" w:type="dxa"/>
            <w:vAlign w:val="bottom"/>
            <w:shd w:val="clear" w:color="auto" w:fill="EDEDED"/>
          </w:tcPr>
          <w:p>
            <w:pPr>
              <w:jc w:val="center"/>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w w:val="99"/>
              </w:rPr>
              <w:t>—</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w w:val="99"/>
              </w:rPr>
              <w:t>—</w:t>
            </w:r>
          </w:p>
        </w:tc>
        <w:tc>
          <w:tcPr>
            <w:tcW w:w="960" w:type="dxa"/>
            <w:vAlign w:val="bottom"/>
            <w:shd w:val="clear" w:color="auto" w:fill="EDEDED"/>
          </w:tcPr>
          <w:p>
            <w:pPr>
              <w:jc w:val="center"/>
              <w:spacing w:after="0"/>
              <w:rPr>
                <w:sz w:val="20"/>
                <w:szCs w:val="20"/>
                <w:color w:val="auto"/>
              </w:rPr>
            </w:pPr>
            <w:r>
              <w:rPr>
                <w:rFonts w:ascii="Arial" w:cs="Arial" w:eastAsia="Arial" w:hAnsi="Arial"/>
                <w:sz w:val="16"/>
                <w:szCs w:val="16"/>
                <w:color w:val="auto"/>
                <w:w w:val="99"/>
              </w:rPr>
              <w:t>—</w:t>
            </w:r>
          </w:p>
        </w:tc>
      </w:tr>
      <w:tr>
        <w:trPr>
          <w:trHeight w:val="257"/>
        </w:trPr>
        <w:tc>
          <w:tcPr>
            <w:tcW w:w="5900" w:type="dxa"/>
            <w:vAlign w:val="bottom"/>
          </w:tcPr>
          <w:p>
            <w:pPr>
              <w:ind w:left="60"/>
              <w:spacing w:after="0" w:line="257" w:lineRule="exact"/>
              <w:rPr>
                <w:sz w:val="20"/>
                <w:szCs w:val="20"/>
                <w:color w:val="auto"/>
              </w:rPr>
            </w:pPr>
            <w:r>
              <w:rPr>
                <w:rFonts w:ascii="Arial" w:cs="Arial" w:eastAsia="Arial" w:hAnsi="Arial"/>
                <w:sz w:val="16"/>
                <w:szCs w:val="16"/>
                <w:color w:val="auto"/>
              </w:rPr>
              <w:t>Benefits Continuation</w:t>
            </w:r>
            <w:r>
              <w:rPr>
                <w:rFonts w:ascii="Arial" w:cs="Arial" w:eastAsia="Arial" w:hAnsi="Arial"/>
                <w:sz w:val="24"/>
                <w:szCs w:val="24"/>
                <w:color w:val="auto"/>
                <w:vertAlign w:val="superscript"/>
              </w:rPr>
              <w:t>(5)</w:t>
            </w:r>
          </w:p>
        </w:tc>
        <w:tc>
          <w:tcPr>
            <w:tcW w:w="1180" w:type="dxa"/>
            <w:vAlign w:val="bottom"/>
          </w:tcPr>
          <w:p>
            <w:pPr>
              <w:jc w:val="center"/>
              <w:ind w:left="120"/>
              <w:spacing w:after="0"/>
              <w:rPr>
                <w:sz w:val="20"/>
                <w:szCs w:val="20"/>
                <w:color w:val="auto"/>
              </w:rPr>
            </w:pPr>
            <w:r>
              <w:rPr>
                <w:rFonts w:ascii="Arial" w:cs="Arial" w:eastAsia="Arial" w:hAnsi="Arial"/>
                <w:sz w:val="16"/>
                <w:szCs w:val="16"/>
                <w:color w:val="auto"/>
              </w:rPr>
              <w:t>26,194</w:t>
            </w:r>
          </w:p>
        </w:tc>
        <w:tc>
          <w:tcPr>
            <w:tcW w:w="980" w:type="dxa"/>
            <w:vAlign w:val="bottom"/>
          </w:tcPr>
          <w:p>
            <w:pPr>
              <w:jc w:val="center"/>
              <w:spacing w:after="0"/>
              <w:rPr>
                <w:sz w:val="20"/>
                <w:szCs w:val="20"/>
                <w:color w:val="auto"/>
              </w:rPr>
            </w:pPr>
            <w:r>
              <w:rPr>
                <w:rFonts w:ascii="Arial" w:cs="Arial" w:eastAsia="Arial" w:hAnsi="Arial"/>
                <w:sz w:val="16"/>
                <w:szCs w:val="16"/>
                <w:color w:val="auto"/>
              </w:rPr>
              <w:t>19,617</w:t>
            </w: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14,013</w:t>
            </w: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19,334</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6,571</w:t>
            </w:r>
          </w:p>
        </w:tc>
      </w:tr>
      <w:tr>
        <w:trPr>
          <w:trHeight w:val="256"/>
        </w:trPr>
        <w:tc>
          <w:tcPr>
            <w:tcW w:w="5900" w:type="dxa"/>
            <w:vAlign w:val="bottom"/>
            <w:shd w:val="clear" w:color="auto" w:fill="EDEDED"/>
          </w:tcPr>
          <w:p>
            <w:pPr>
              <w:ind w:left="60"/>
              <w:spacing w:after="0" w:line="257" w:lineRule="exact"/>
              <w:rPr>
                <w:sz w:val="20"/>
                <w:szCs w:val="20"/>
                <w:color w:val="auto"/>
              </w:rPr>
            </w:pPr>
            <w:r>
              <w:rPr>
                <w:rFonts w:ascii="Arial" w:cs="Arial" w:eastAsia="Arial" w:hAnsi="Arial"/>
                <w:sz w:val="16"/>
                <w:szCs w:val="16"/>
                <w:color w:val="auto"/>
              </w:rPr>
              <w:t>Outplacement Services</w:t>
            </w:r>
            <w:r>
              <w:rPr>
                <w:rFonts w:ascii="Arial" w:cs="Arial" w:eastAsia="Arial" w:hAnsi="Arial"/>
                <w:sz w:val="24"/>
                <w:szCs w:val="24"/>
                <w:color w:val="auto"/>
                <w:vertAlign w:val="superscript"/>
              </w:rPr>
              <w:t>(6)</w:t>
            </w:r>
          </w:p>
        </w:tc>
        <w:tc>
          <w:tcPr>
            <w:tcW w:w="1180" w:type="dxa"/>
            <w:vAlign w:val="bottom"/>
            <w:shd w:val="clear" w:color="auto" w:fill="EDEDED"/>
          </w:tcPr>
          <w:p>
            <w:pPr>
              <w:jc w:val="center"/>
              <w:ind w:left="120"/>
              <w:spacing w:after="0"/>
              <w:rPr>
                <w:sz w:val="20"/>
                <w:szCs w:val="20"/>
                <w:color w:val="auto"/>
              </w:rPr>
            </w:pPr>
            <w:r>
              <w:rPr>
                <w:rFonts w:ascii="Arial" w:cs="Arial" w:eastAsia="Arial" w:hAnsi="Arial"/>
                <w:sz w:val="16"/>
                <w:szCs w:val="16"/>
                <w:color w:val="auto"/>
              </w:rPr>
              <w:t>10,000</w:t>
            </w:r>
          </w:p>
        </w:tc>
        <w:tc>
          <w:tcPr>
            <w:tcW w:w="98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10,000</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w w:val="98"/>
              </w:rPr>
              <w:t>10,000</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w w:val="98"/>
              </w:rPr>
              <w:t>10,000</w:t>
            </w:r>
          </w:p>
        </w:tc>
        <w:tc>
          <w:tcPr>
            <w:tcW w:w="96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10,000</w:t>
            </w:r>
          </w:p>
        </w:tc>
      </w:tr>
      <w:tr>
        <w:trPr>
          <w:trHeight w:val="236"/>
        </w:trPr>
        <w:tc>
          <w:tcPr>
            <w:tcW w:w="590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1180" w:type="dxa"/>
            <w:vAlign w:val="bottom"/>
          </w:tcPr>
          <w:p>
            <w:pPr>
              <w:jc w:val="center"/>
              <w:ind w:left="140"/>
              <w:spacing w:after="0"/>
              <w:rPr>
                <w:sz w:val="20"/>
                <w:szCs w:val="20"/>
                <w:color w:val="auto"/>
              </w:rPr>
            </w:pPr>
            <w:r>
              <w:rPr>
                <w:rFonts w:ascii="Arial" w:cs="Arial" w:eastAsia="Arial" w:hAnsi="Arial"/>
                <w:sz w:val="16"/>
                <w:szCs w:val="16"/>
                <w:b w:val="1"/>
                <w:bCs w:val="1"/>
                <w:color w:val="auto"/>
              </w:rPr>
              <w:t>2,906,917</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1,551,696</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911,548</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936,940</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567,371</w:t>
            </w:r>
          </w:p>
        </w:tc>
      </w:tr>
      <w:tr>
        <w:trPr>
          <w:trHeight w:val="21"/>
        </w:trPr>
        <w:tc>
          <w:tcPr>
            <w:tcW w:w="5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9"/>
        </w:trPr>
        <w:tc>
          <w:tcPr>
            <w:tcW w:w="5900" w:type="dxa"/>
            <w:vAlign w:val="bottom"/>
            <w:shd w:val="clear" w:color="auto" w:fill="EDEDED"/>
          </w:tcPr>
          <w:p>
            <w:pPr>
              <w:ind w:left="60"/>
              <w:spacing w:after="0"/>
              <w:rPr>
                <w:sz w:val="20"/>
                <w:szCs w:val="20"/>
                <w:color w:val="auto"/>
              </w:rPr>
            </w:pPr>
            <w:r>
              <w:rPr>
                <w:rFonts w:ascii="Arial" w:cs="Arial" w:eastAsia="Arial" w:hAnsi="Arial"/>
                <w:sz w:val="16"/>
                <w:szCs w:val="16"/>
                <w:b w:val="1"/>
                <w:bCs w:val="1"/>
                <w:color w:val="auto"/>
              </w:rPr>
              <w:t>Termination in Connection with a Change In Control - For Good Reason</w:t>
            </w:r>
          </w:p>
        </w:tc>
        <w:tc>
          <w:tcPr>
            <w:tcW w:w="1180" w:type="dxa"/>
            <w:vAlign w:val="bottom"/>
            <w:shd w:val="clear" w:color="auto" w:fill="EDEDED"/>
          </w:tcPr>
          <w:p>
            <w:pPr>
              <w:spacing w:after="0"/>
              <w:rPr>
                <w:sz w:val="16"/>
                <w:szCs w:val="16"/>
                <w:color w:val="auto"/>
              </w:rPr>
            </w:pPr>
          </w:p>
        </w:tc>
        <w:tc>
          <w:tcPr>
            <w:tcW w:w="980" w:type="dxa"/>
            <w:vAlign w:val="bottom"/>
            <w:shd w:val="clear" w:color="auto" w:fill="EDEDED"/>
          </w:tcPr>
          <w:p>
            <w:pPr>
              <w:spacing w:after="0"/>
              <w:rPr>
                <w:sz w:val="16"/>
                <w:szCs w:val="16"/>
                <w:color w:val="auto"/>
              </w:rPr>
            </w:pPr>
          </w:p>
        </w:tc>
        <w:tc>
          <w:tcPr>
            <w:tcW w:w="1000" w:type="dxa"/>
            <w:vAlign w:val="bottom"/>
            <w:shd w:val="clear" w:color="auto" w:fill="EDEDED"/>
          </w:tcPr>
          <w:p>
            <w:pPr>
              <w:spacing w:after="0"/>
              <w:rPr>
                <w:sz w:val="16"/>
                <w:szCs w:val="16"/>
                <w:color w:val="auto"/>
              </w:rPr>
            </w:pPr>
          </w:p>
        </w:tc>
        <w:tc>
          <w:tcPr>
            <w:tcW w:w="1000" w:type="dxa"/>
            <w:vAlign w:val="bottom"/>
            <w:shd w:val="clear" w:color="auto" w:fill="EDEDED"/>
          </w:tcPr>
          <w:p>
            <w:pPr>
              <w:spacing w:after="0"/>
              <w:rPr>
                <w:sz w:val="16"/>
                <w:szCs w:val="16"/>
                <w:color w:val="auto"/>
              </w:rPr>
            </w:pPr>
          </w:p>
        </w:tc>
        <w:tc>
          <w:tcPr>
            <w:tcW w:w="960" w:type="dxa"/>
            <w:vAlign w:val="bottom"/>
            <w:shd w:val="clear" w:color="auto" w:fill="EDEDED"/>
          </w:tcPr>
          <w:p>
            <w:pPr>
              <w:spacing w:after="0"/>
              <w:rPr>
                <w:sz w:val="16"/>
                <w:szCs w:val="16"/>
                <w:color w:val="auto"/>
              </w:rPr>
            </w:pPr>
          </w:p>
        </w:tc>
      </w:tr>
      <w:tr>
        <w:trPr>
          <w:trHeight w:val="257"/>
        </w:trPr>
        <w:tc>
          <w:tcPr>
            <w:tcW w:w="5900" w:type="dxa"/>
            <w:vAlign w:val="bottom"/>
          </w:tcPr>
          <w:p>
            <w:pPr>
              <w:ind w:left="60"/>
              <w:spacing w:after="0" w:line="257" w:lineRule="exact"/>
              <w:rPr>
                <w:sz w:val="20"/>
                <w:szCs w:val="20"/>
                <w:color w:val="auto"/>
              </w:rPr>
            </w:pPr>
            <w:r>
              <w:rPr>
                <w:rFonts w:ascii="Arial" w:cs="Arial" w:eastAsia="Arial" w:hAnsi="Arial"/>
                <w:sz w:val="16"/>
                <w:szCs w:val="16"/>
                <w:color w:val="auto"/>
              </w:rPr>
              <w:t>Cash Severance</w:t>
            </w:r>
            <w:r>
              <w:rPr>
                <w:rFonts w:ascii="Arial" w:cs="Arial" w:eastAsia="Arial" w:hAnsi="Arial"/>
                <w:sz w:val="24"/>
                <w:szCs w:val="24"/>
                <w:color w:val="auto"/>
                <w:vertAlign w:val="superscript"/>
              </w:rPr>
              <w:t>(3)</w:t>
            </w:r>
          </w:p>
        </w:tc>
        <w:tc>
          <w:tcPr>
            <w:tcW w:w="1180" w:type="dxa"/>
            <w:vAlign w:val="bottom"/>
          </w:tcPr>
          <w:p>
            <w:pPr>
              <w:jc w:val="center"/>
              <w:ind w:left="140"/>
              <w:spacing w:after="0"/>
              <w:rPr>
                <w:sz w:val="20"/>
                <w:szCs w:val="20"/>
                <w:color w:val="auto"/>
              </w:rPr>
            </w:pPr>
            <w:r>
              <w:rPr>
                <w:rFonts w:ascii="Arial" w:cs="Arial" w:eastAsia="Arial" w:hAnsi="Arial"/>
                <w:sz w:val="16"/>
                <w:szCs w:val="16"/>
                <w:color w:val="auto"/>
              </w:rPr>
              <w:t>3,780,000</w:t>
            </w:r>
          </w:p>
        </w:tc>
        <w:tc>
          <w:tcPr>
            <w:tcW w:w="980" w:type="dxa"/>
            <w:vAlign w:val="bottom"/>
          </w:tcPr>
          <w:p>
            <w:pPr>
              <w:jc w:val="center"/>
              <w:spacing w:after="0"/>
              <w:rPr>
                <w:sz w:val="20"/>
                <w:szCs w:val="20"/>
                <w:color w:val="auto"/>
              </w:rPr>
            </w:pPr>
            <w:r>
              <w:rPr>
                <w:rFonts w:ascii="Arial" w:cs="Arial" w:eastAsia="Arial" w:hAnsi="Arial"/>
                <w:sz w:val="16"/>
                <w:szCs w:val="16"/>
                <w:color w:val="auto"/>
              </w:rPr>
              <w:t>1,722,118</w:t>
            </w:r>
          </w:p>
        </w:tc>
        <w:tc>
          <w:tcPr>
            <w:tcW w:w="1000" w:type="dxa"/>
            <w:vAlign w:val="bottom"/>
          </w:tcPr>
          <w:p>
            <w:pPr>
              <w:jc w:val="center"/>
              <w:spacing w:after="0"/>
              <w:rPr>
                <w:sz w:val="20"/>
                <w:szCs w:val="20"/>
                <w:color w:val="auto"/>
              </w:rPr>
            </w:pPr>
            <w:r>
              <w:rPr>
                <w:rFonts w:ascii="Arial" w:cs="Arial" w:eastAsia="Arial" w:hAnsi="Arial"/>
                <w:sz w:val="16"/>
                <w:szCs w:val="16"/>
                <w:color w:val="auto"/>
              </w:rPr>
              <w:t>808,891</w:t>
            </w:r>
          </w:p>
        </w:tc>
        <w:tc>
          <w:tcPr>
            <w:tcW w:w="1000" w:type="dxa"/>
            <w:vAlign w:val="bottom"/>
          </w:tcPr>
          <w:p>
            <w:pPr>
              <w:jc w:val="center"/>
              <w:spacing w:after="0"/>
              <w:rPr>
                <w:sz w:val="20"/>
                <w:szCs w:val="20"/>
                <w:color w:val="auto"/>
              </w:rPr>
            </w:pPr>
            <w:r>
              <w:rPr>
                <w:rFonts w:ascii="Arial" w:cs="Arial" w:eastAsia="Arial" w:hAnsi="Arial"/>
                <w:sz w:val="16"/>
                <w:szCs w:val="16"/>
                <w:color w:val="auto"/>
              </w:rPr>
              <w:t>962,550</w:t>
            </w:r>
          </w:p>
        </w:tc>
        <w:tc>
          <w:tcPr>
            <w:tcW w:w="960" w:type="dxa"/>
            <w:vAlign w:val="bottom"/>
          </w:tcPr>
          <w:p>
            <w:pPr>
              <w:jc w:val="center"/>
              <w:spacing w:after="0"/>
              <w:rPr>
                <w:sz w:val="20"/>
                <w:szCs w:val="20"/>
                <w:color w:val="auto"/>
              </w:rPr>
            </w:pPr>
            <w:r>
              <w:rPr>
                <w:rFonts w:ascii="Arial" w:cs="Arial" w:eastAsia="Arial" w:hAnsi="Arial"/>
                <w:sz w:val="16"/>
                <w:szCs w:val="16"/>
                <w:color w:val="auto"/>
              </w:rPr>
              <w:t>584,350</w:t>
            </w:r>
          </w:p>
        </w:tc>
      </w:tr>
      <w:tr>
        <w:trPr>
          <w:trHeight w:val="257"/>
        </w:trPr>
        <w:tc>
          <w:tcPr>
            <w:tcW w:w="5900" w:type="dxa"/>
            <w:vAlign w:val="bottom"/>
            <w:shd w:val="clear" w:color="auto" w:fill="EDEDED"/>
          </w:tcPr>
          <w:p>
            <w:pPr>
              <w:ind w:left="60"/>
              <w:spacing w:after="0" w:line="257" w:lineRule="exact"/>
              <w:rPr>
                <w:sz w:val="20"/>
                <w:szCs w:val="20"/>
                <w:color w:val="auto"/>
              </w:rPr>
            </w:pPr>
            <w:r>
              <w:rPr>
                <w:rFonts w:ascii="Arial" w:cs="Arial" w:eastAsia="Arial" w:hAnsi="Arial"/>
                <w:sz w:val="16"/>
                <w:szCs w:val="16"/>
                <w:color w:val="auto"/>
              </w:rPr>
              <w:t>Pro-Rated Annual Incentive</w:t>
            </w:r>
            <w:r>
              <w:rPr>
                <w:rFonts w:ascii="Arial" w:cs="Arial" w:eastAsia="Arial" w:hAnsi="Arial"/>
                <w:sz w:val="24"/>
                <w:szCs w:val="24"/>
                <w:color w:val="auto"/>
                <w:vertAlign w:val="superscript"/>
              </w:rPr>
              <w:t>(4)</w:t>
            </w:r>
          </w:p>
        </w:tc>
        <w:tc>
          <w:tcPr>
            <w:tcW w:w="1180" w:type="dxa"/>
            <w:vAlign w:val="bottom"/>
            <w:shd w:val="clear" w:color="auto" w:fill="EDEDED"/>
          </w:tcPr>
          <w:p>
            <w:pPr>
              <w:jc w:val="center"/>
              <w:ind w:left="120"/>
              <w:spacing w:after="0"/>
              <w:rPr>
                <w:sz w:val="20"/>
                <w:szCs w:val="20"/>
                <w:color w:val="auto"/>
              </w:rPr>
            </w:pPr>
            <w:r>
              <w:rPr>
                <w:rFonts w:ascii="Arial" w:cs="Arial" w:eastAsia="Arial" w:hAnsi="Arial"/>
                <w:sz w:val="16"/>
                <w:szCs w:val="16"/>
                <w:color w:val="auto"/>
              </w:rPr>
              <w:t>990,000</w:t>
            </w:r>
          </w:p>
        </w:tc>
        <w:tc>
          <w:tcPr>
            <w:tcW w:w="98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527,496</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287,026</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227,700</w:t>
            </w:r>
          </w:p>
        </w:tc>
        <w:tc>
          <w:tcPr>
            <w:tcW w:w="96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207,350</w:t>
            </w:r>
          </w:p>
        </w:tc>
      </w:tr>
      <w:tr>
        <w:trPr>
          <w:trHeight w:val="256"/>
        </w:trPr>
        <w:tc>
          <w:tcPr>
            <w:tcW w:w="5900" w:type="dxa"/>
            <w:vAlign w:val="bottom"/>
          </w:tcPr>
          <w:p>
            <w:pPr>
              <w:ind w:left="60"/>
              <w:spacing w:after="0" w:line="257" w:lineRule="exact"/>
              <w:rPr>
                <w:sz w:val="20"/>
                <w:szCs w:val="20"/>
                <w:color w:val="auto"/>
              </w:rPr>
            </w:pPr>
            <w:r>
              <w:rPr>
                <w:rFonts w:ascii="Arial" w:cs="Arial" w:eastAsia="Arial" w:hAnsi="Arial"/>
                <w:sz w:val="16"/>
                <w:szCs w:val="16"/>
                <w:color w:val="auto"/>
              </w:rPr>
              <w:t>Performance Shares (Equity-Based)</w:t>
            </w:r>
            <w:r>
              <w:rPr>
                <w:rFonts w:ascii="Arial" w:cs="Arial" w:eastAsia="Arial" w:hAnsi="Arial"/>
                <w:sz w:val="24"/>
                <w:szCs w:val="24"/>
                <w:color w:val="auto"/>
                <w:vertAlign w:val="superscript"/>
              </w:rPr>
              <w:t>(1)</w:t>
            </w:r>
          </w:p>
        </w:tc>
        <w:tc>
          <w:tcPr>
            <w:tcW w:w="1180" w:type="dxa"/>
            <w:vAlign w:val="bottom"/>
          </w:tcPr>
          <w:p>
            <w:pPr>
              <w:jc w:val="center"/>
              <w:ind w:left="140"/>
              <w:spacing w:after="0"/>
              <w:rPr>
                <w:sz w:val="20"/>
                <w:szCs w:val="20"/>
                <w:color w:val="auto"/>
              </w:rPr>
            </w:pPr>
            <w:r>
              <w:rPr>
                <w:rFonts w:ascii="Arial" w:cs="Arial" w:eastAsia="Arial" w:hAnsi="Arial"/>
                <w:sz w:val="16"/>
                <w:szCs w:val="16"/>
                <w:color w:val="auto"/>
              </w:rPr>
              <w:t>1,835,729</w:t>
            </w:r>
          </w:p>
        </w:tc>
        <w:tc>
          <w:tcPr>
            <w:tcW w:w="980" w:type="dxa"/>
            <w:vAlign w:val="bottom"/>
          </w:tcPr>
          <w:p>
            <w:pPr>
              <w:jc w:val="center"/>
              <w:spacing w:after="0"/>
              <w:rPr>
                <w:sz w:val="20"/>
                <w:szCs w:val="20"/>
                <w:color w:val="auto"/>
              </w:rPr>
            </w:pPr>
            <w:r>
              <w:rPr>
                <w:rFonts w:ascii="Arial" w:cs="Arial" w:eastAsia="Arial" w:hAnsi="Arial"/>
                <w:sz w:val="16"/>
                <w:szCs w:val="16"/>
                <w:color w:val="auto"/>
              </w:rPr>
              <w:t>897,948</w:t>
            </w:r>
          </w:p>
        </w:tc>
        <w:tc>
          <w:tcPr>
            <w:tcW w:w="1000" w:type="dxa"/>
            <w:vAlign w:val="bottom"/>
          </w:tcPr>
          <w:p>
            <w:pPr>
              <w:jc w:val="center"/>
              <w:spacing w:after="0"/>
              <w:rPr>
                <w:sz w:val="20"/>
                <w:szCs w:val="20"/>
                <w:color w:val="auto"/>
              </w:rPr>
            </w:pPr>
            <w:r>
              <w:rPr>
                <w:rFonts w:ascii="Arial" w:cs="Arial" w:eastAsia="Arial" w:hAnsi="Arial"/>
                <w:sz w:val="16"/>
                <w:szCs w:val="16"/>
                <w:color w:val="auto"/>
              </w:rPr>
              <w:t>340,366</w:t>
            </w:r>
          </w:p>
        </w:tc>
        <w:tc>
          <w:tcPr>
            <w:tcW w:w="1000" w:type="dxa"/>
            <w:vAlign w:val="bottom"/>
          </w:tcPr>
          <w:p>
            <w:pPr>
              <w:jc w:val="center"/>
              <w:spacing w:after="0"/>
              <w:rPr>
                <w:sz w:val="20"/>
                <w:szCs w:val="20"/>
                <w:color w:val="auto"/>
              </w:rPr>
            </w:pPr>
            <w:r>
              <w:rPr>
                <w:rFonts w:ascii="Arial" w:cs="Arial" w:eastAsia="Arial" w:hAnsi="Arial"/>
                <w:sz w:val="16"/>
                <w:szCs w:val="16"/>
                <w:color w:val="auto"/>
              </w:rPr>
              <w:t>399,296</w:t>
            </w:r>
          </w:p>
        </w:tc>
        <w:tc>
          <w:tcPr>
            <w:tcW w:w="960" w:type="dxa"/>
            <w:vAlign w:val="bottom"/>
          </w:tcPr>
          <w:p>
            <w:pPr>
              <w:jc w:val="center"/>
              <w:spacing w:after="0"/>
              <w:rPr>
                <w:sz w:val="20"/>
                <w:szCs w:val="20"/>
                <w:color w:val="auto"/>
              </w:rPr>
            </w:pPr>
            <w:r>
              <w:rPr>
                <w:rFonts w:ascii="Arial" w:cs="Arial" w:eastAsia="Arial" w:hAnsi="Arial"/>
                <w:sz w:val="16"/>
                <w:szCs w:val="16"/>
                <w:color w:val="auto"/>
              </w:rPr>
              <w:t>153,621</w:t>
            </w:r>
          </w:p>
        </w:tc>
      </w:tr>
      <w:tr>
        <w:trPr>
          <w:trHeight w:val="257"/>
        </w:trPr>
        <w:tc>
          <w:tcPr>
            <w:tcW w:w="5900" w:type="dxa"/>
            <w:vAlign w:val="bottom"/>
            <w:shd w:val="clear" w:color="auto" w:fill="EDEDED"/>
          </w:tcPr>
          <w:p>
            <w:pPr>
              <w:ind w:left="60"/>
              <w:spacing w:after="0" w:line="257" w:lineRule="exact"/>
              <w:rPr>
                <w:sz w:val="20"/>
                <w:szCs w:val="20"/>
                <w:color w:val="auto"/>
              </w:rPr>
            </w:pPr>
            <w:r>
              <w:rPr>
                <w:rFonts w:ascii="Arial" w:cs="Arial" w:eastAsia="Arial" w:hAnsi="Arial"/>
                <w:sz w:val="16"/>
                <w:szCs w:val="16"/>
                <w:color w:val="auto"/>
              </w:rPr>
              <w:t>Restricted Shares</w:t>
            </w:r>
            <w:r>
              <w:rPr>
                <w:rFonts w:ascii="Arial" w:cs="Arial" w:eastAsia="Arial" w:hAnsi="Arial"/>
                <w:sz w:val="24"/>
                <w:szCs w:val="24"/>
                <w:color w:val="auto"/>
                <w:vertAlign w:val="superscript"/>
              </w:rPr>
              <w:t>(2)</w:t>
            </w:r>
          </w:p>
        </w:tc>
        <w:tc>
          <w:tcPr>
            <w:tcW w:w="1180" w:type="dxa"/>
            <w:vAlign w:val="bottom"/>
            <w:shd w:val="clear" w:color="auto" w:fill="EDEDED"/>
          </w:tcPr>
          <w:p>
            <w:pPr>
              <w:jc w:val="center"/>
              <w:ind w:left="140"/>
              <w:spacing w:after="0"/>
              <w:rPr>
                <w:sz w:val="20"/>
                <w:szCs w:val="20"/>
                <w:color w:val="auto"/>
              </w:rPr>
            </w:pPr>
            <w:r>
              <w:rPr>
                <w:rFonts w:ascii="Arial" w:cs="Arial" w:eastAsia="Arial" w:hAnsi="Arial"/>
                <w:sz w:val="16"/>
                <w:szCs w:val="16"/>
                <w:color w:val="auto"/>
              </w:rPr>
              <w:t>2,236,817</w:t>
            </w:r>
          </w:p>
        </w:tc>
        <w:tc>
          <w:tcPr>
            <w:tcW w:w="98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1,484,328</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448,137</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541,967</w:t>
            </w:r>
          </w:p>
        </w:tc>
        <w:tc>
          <w:tcPr>
            <w:tcW w:w="96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688,710</w:t>
            </w:r>
          </w:p>
        </w:tc>
      </w:tr>
      <w:tr>
        <w:trPr>
          <w:trHeight w:val="256"/>
        </w:trPr>
        <w:tc>
          <w:tcPr>
            <w:tcW w:w="5900" w:type="dxa"/>
            <w:vAlign w:val="bottom"/>
          </w:tcPr>
          <w:p>
            <w:pPr>
              <w:ind w:left="60"/>
              <w:spacing w:after="0" w:line="257" w:lineRule="exact"/>
              <w:rPr>
                <w:sz w:val="20"/>
                <w:szCs w:val="20"/>
                <w:color w:val="auto"/>
              </w:rPr>
            </w:pPr>
            <w:r>
              <w:rPr>
                <w:rFonts w:ascii="Arial" w:cs="Arial" w:eastAsia="Arial" w:hAnsi="Arial"/>
                <w:sz w:val="16"/>
                <w:szCs w:val="16"/>
                <w:color w:val="auto"/>
              </w:rPr>
              <w:t>Benefits Continuation</w:t>
            </w:r>
            <w:r>
              <w:rPr>
                <w:rFonts w:ascii="Arial" w:cs="Arial" w:eastAsia="Arial" w:hAnsi="Arial"/>
                <w:sz w:val="24"/>
                <w:szCs w:val="24"/>
                <w:color w:val="auto"/>
                <w:vertAlign w:val="superscript"/>
              </w:rPr>
              <w:t>(5)</w:t>
            </w:r>
          </w:p>
        </w:tc>
        <w:tc>
          <w:tcPr>
            <w:tcW w:w="1180" w:type="dxa"/>
            <w:vAlign w:val="bottom"/>
          </w:tcPr>
          <w:p>
            <w:pPr>
              <w:jc w:val="center"/>
              <w:ind w:left="120"/>
              <w:spacing w:after="0"/>
              <w:rPr>
                <w:sz w:val="20"/>
                <w:szCs w:val="20"/>
                <w:color w:val="auto"/>
              </w:rPr>
            </w:pPr>
            <w:r>
              <w:rPr>
                <w:rFonts w:ascii="Arial" w:cs="Arial" w:eastAsia="Arial" w:hAnsi="Arial"/>
                <w:sz w:val="16"/>
                <w:szCs w:val="16"/>
                <w:color w:val="auto"/>
              </w:rPr>
              <w:t>26,194</w:t>
            </w:r>
          </w:p>
        </w:tc>
        <w:tc>
          <w:tcPr>
            <w:tcW w:w="980" w:type="dxa"/>
            <w:vAlign w:val="bottom"/>
          </w:tcPr>
          <w:p>
            <w:pPr>
              <w:jc w:val="center"/>
              <w:spacing w:after="0"/>
              <w:rPr>
                <w:sz w:val="20"/>
                <w:szCs w:val="20"/>
                <w:color w:val="auto"/>
              </w:rPr>
            </w:pPr>
            <w:r>
              <w:rPr>
                <w:rFonts w:ascii="Arial" w:cs="Arial" w:eastAsia="Arial" w:hAnsi="Arial"/>
                <w:sz w:val="16"/>
                <w:szCs w:val="16"/>
                <w:color w:val="auto"/>
              </w:rPr>
              <w:t>19,617</w:t>
            </w: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14,013</w:t>
            </w: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19,334</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6,571</w:t>
            </w:r>
          </w:p>
        </w:tc>
      </w:tr>
      <w:tr>
        <w:trPr>
          <w:trHeight w:val="257"/>
        </w:trPr>
        <w:tc>
          <w:tcPr>
            <w:tcW w:w="5900" w:type="dxa"/>
            <w:vAlign w:val="bottom"/>
            <w:shd w:val="clear" w:color="auto" w:fill="EDEDED"/>
          </w:tcPr>
          <w:p>
            <w:pPr>
              <w:ind w:left="60"/>
              <w:spacing w:after="0" w:line="257" w:lineRule="exact"/>
              <w:rPr>
                <w:sz w:val="20"/>
                <w:szCs w:val="20"/>
                <w:color w:val="auto"/>
              </w:rPr>
            </w:pPr>
            <w:r>
              <w:rPr>
                <w:rFonts w:ascii="Arial" w:cs="Arial" w:eastAsia="Arial" w:hAnsi="Arial"/>
                <w:sz w:val="16"/>
                <w:szCs w:val="16"/>
                <w:color w:val="auto"/>
              </w:rPr>
              <w:t>Outplacement Services</w:t>
            </w:r>
            <w:r>
              <w:rPr>
                <w:rFonts w:ascii="Arial" w:cs="Arial" w:eastAsia="Arial" w:hAnsi="Arial"/>
                <w:sz w:val="24"/>
                <w:szCs w:val="24"/>
                <w:color w:val="auto"/>
                <w:vertAlign w:val="superscript"/>
              </w:rPr>
              <w:t>(6)</w:t>
            </w:r>
          </w:p>
        </w:tc>
        <w:tc>
          <w:tcPr>
            <w:tcW w:w="1180" w:type="dxa"/>
            <w:vAlign w:val="bottom"/>
            <w:shd w:val="clear" w:color="auto" w:fill="EDEDED"/>
          </w:tcPr>
          <w:p>
            <w:pPr>
              <w:jc w:val="center"/>
              <w:ind w:left="120"/>
              <w:spacing w:after="0"/>
              <w:rPr>
                <w:sz w:val="20"/>
                <w:szCs w:val="20"/>
                <w:color w:val="auto"/>
              </w:rPr>
            </w:pPr>
            <w:r>
              <w:rPr>
                <w:rFonts w:ascii="Arial" w:cs="Arial" w:eastAsia="Arial" w:hAnsi="Arial"/>
                <w:sz w:val="16"/>
                <w:szCs w:val="16"/>
                <w:color w:val="auto"/>
              </w:rPr>
              <w:t>10,000</w:t>
            </w:r>
          </w:p>
        </w:tc>
        <w:tc>
          <w:tcPr>
            <w:tcW w:w="98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10,000</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w w:val="98"/>
              </w:rPr>
              <w:t>10,000</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w w:val="98"/>
              </w:rPr>
              <w:t>10,000</w:t>
            </w:r>
          </w:p>
        </w:tc>
        <w:tc>
          <w:tcPr>
            <w:tcW w:w="96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10,000</w:t>
            </w:r>
          </w:p>
        </w:tc>
      </w:tr>
      <w:tr>
        <w:trPr>
          <w:trHeight w:val="235"/>
        </w:trPr>
        <w:tc>
          <w:tcPr>
            <w:tcW w:w="590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1180" w:type="dxa"/>
            <w:vAlign w:val="bottom"/>
          </w:tcPr>
          <w:p>
            <w:pPr>
              <w:jc w:val="center"/>
              <w:ind w:left="140"/>
              <w:spacing w:after="0"/>
              <w:rPr>
                <w:sz w:val="20"/>
                <w:szCs w:val="20"/>
                <w:color w:val="auto"/>
              </w:rPr>
            </w:pPr>
            <w:r>
              <w:rPr>
                <w:rFonts w:ascii="Arial" w:cs="Arial" w:eastAsia="Arial" w:hAnsi="Arial"/>
                <w:sz w:val="16"/>
                <w:szCs w:val="16"/>
                <w:b w:val="1"/>
                <w:bCs w:val="1"/>
                <w:color w:val="auto"/>
              </w:rPr>
              <w:t>8,878,740</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4,661,506</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1,908,433</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2,160,847</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1,650,602</w:t>
            </w:r>
          </w:p>
        </w:tc>
      </w:tr>
      <w:tr>
        <w:trPr>
          <w:trHeight w:val="21"/>
        </w:trPr>
        <w:tc>
          <w:tcPr>
            <w:tcW w:w="5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89"/>
        </w:trPr>
        <w:tc>
          <w:tcPr>
            <w:tcW w:w="5900" w:type="dxa"/>
            <w:vAlign w:val="bottom"/>
            <w:shd w:val="clear" w:color="auto" w:fill="EDEDED"/>
          </w:tcPr>
          <w:p>
            <w:pPr>
              <w:ind w:left="60"/>
              <w:spacing w:after="0"/>
              <w:rPr>
                <w:sz w:val="20"/>
                <w:szCs w:val="20"/>
                <w:color w:val="auto"/>
              </w:rPr>
            </w:pPr>
            <w:r>
              <w:rPr>
                <w:rFonts w:ascii="Arial" w:cs="Arial" w:eastAsia="Arial" w:hAnsi="Arial"/>
                <w:sz w:val="16"/>
                <w:szCs w:val="16"/>
                <w:b w:val="1"/>
                <w:bCs w:val="1"/>
                <w:color w:val="auto"/>
              </w:rPr>
              <w:t>Termination in Connection with a Change In Control - Not For Cause</w:t>
            </w:r>
          </w:p>
        </w:tc>
        <w:tc>
          <w:tcPr>
            <w:tcW w:w="1180" w:type="dxa"/>
            <w:vAlign w:val="bottom"/>
            <w:shd w:val="clear" w:color="auto" w:fill="EDEDED"/>
          </w:tcPr>
          <w:p>
            <w:pPr>
              <w:spacing w:after="0"/>
              <w:rPr>
                <w:sz w:val="16"/>
                <w:szCs w:val="16"/>
                <w:color w:val="auto"/>
              </w:rPr>
            </w:pPr>
          </w:p>
        </w:tc>
        <w:tc>
          <w:tcPr>
            <w:tcW w:w="980" w:type="dxa"/>
            <w:vAlign w:val="bottom"/>
            <w:shd w:val="clear" w:color="auto" w:fill="EDEDED"/>
          </w:tcPr>
          <w:p>
            <w:pPr>
              <w:spacing w:after="0"/>
              <w:rPr>
                <w:sz w:val="16"/>
                <w:szCs w:val="16"/>
                <w:color w:val="auto"/>
              </w:rPr>
            </w:pPr>
          </w:p>
        </w:tc>
        <w:tc>
          <w:tcPr>
            <w:tcW w:w="1000" w:type="dxa"/>
            <w:vAlign w:val="bottom"/>
            <w:shd w:val="clear" w:color="auto" w:fill="EDEDED"/>
          </w:tcPr>
          <w:p>
            <w:pPr>
              <w:spacing w:after="0"/>
              <w:rPr>
                <w:sz w:val="16"/>
                <w:szCs w:val="16"/>
                <w:color w:val="auto"/>
              </w:rPr>
            </w:pPr>
          </w:p>
        </w:tc>
        <w:tc>
          <w:tcPr>
            <w:tcW w:w="1000" w:type="dxa"/>
            <w:vAlign w:val="bottom"/>
            <w:shd w:val="clear" w:color="auto" w:fill="EDEDED"/>
          </w:tcPr>
          <w:p>
            <w:pPr>
              <w:spacing w:after="0"/>
              <w:rPr>
                <w:sz w:val="16"/>
                <w:szCs w:val="16"/>
                <w:color w:val="auto"/>
              </w:rPr>
            </w:pPr>
          </w:p>
        </w:tc>
        <w:tc>
          <w:tcPr>
            <w:tcW w:w="960" w:type="dxa"/>
            <w:vAlign w:val="bottom"/>
            <w:shd w:val="clear" w:color="auto" w:fill="EDEDED"/>
          </w:tcPr>
          <w:p>
            <w:pPr>
              <w:spacing w:after="0"/>
              <w:rPr>
                <w:sz w:val="16"/>
                <w:szCs w:val="16"/>
                <w:color w:val="auto"/>
              </w:rPr>
            </w:pPr>
          </w:p>
        </w:tc>
      </w:tr>
      <w:tr>
        <w:trPr>
          <w:trHeight w:val="256"/>
        </w:trPr>
        <w:tc>
          <w:tcPr>
            <w:tcW w:w="5900" w:type="dxa"/>
            <w:vAlign w:val="bottom"/>
          </w:tcPr>
          <w:p>
            <w:pPr>
              <w:ind w:left="60"/>
              <w:spacing w:after="0" w:line="257" w:lineRule="exact"/>
              <w:rPr>
                <w:sz w:val="20"/>
                <w:szCs w:val="20"/>
                <w:color w:val="auto"/>
              </w:rPr>
            </w:pPr>
            <w:r>
              <w:rPr>
                <w:rFonts w:ascii="Arial" w:cs="Arial" w:eastAsia="Arial" w:hAnsi="Arial"/>
                <w:sz w:val="16"/>
                <w:szCs w:val="16"/>
                <w:color w:val="auto"/>
              </w:rPr>
              <w:t>Cash Severance</w:t>
            </w:r>
            <w:r>
              <w:rPr>
                <w:rFonts w:ascii="Arial" w:cs="Arial" w:eastAsia="Arial" w:hAnsi="Arial"/>
                <w:sz w:val="24"/>
                <w:szCs w:val="24"/>
                <w:color w:val="auto"/>
                <w:vertAlign w:val="superscript"/>
              </w:rPr>
              <w:t>(3)</w:t>
            </w:r>
          </w:p>
        </w:tc>
        <w:tc>
          <w:tcPr>
            <w:tcW w:w="1180" w:type="dxa"/>
            <w:vAlign w:val="bottom"/>
          </w:tcPr>
          <w:p>
            <w:pPr>
              <w:jc w:val="center"/>
              <w:ind w:left="140"/>
              <w:spacing w:after="0"/>
              <w:rPr>
                <w:sz w:val="20"/>
                <w:szCs w:val="20"/>
                <w:color w:val="auto"/>
              </w:rPr>
            </w:pPr>
            <w:r>
              <w:rPr>
                <w:rFonts w:ascii="Arial" w:cs="Arial" w:eastAsia="Arial" w:hAnsi="Arial"/>
                <w:sz w:val="16"/>
                <w:szCs w:val="16"/>
                <w:color w:val="auto"/>
              </w:rPr>
              <w:t>3,780,000</w:t>
            </w:r>
          </w:p>
        </w:tc>
        <w:tc>
          <w:tcPr>
            <w:tcW w:w="980" w:type="dxa"/>
            <w:vAlign w:val="bottom"/>
          </w:tcPr>
          <w:p>
            <w:pPr>
              <w:jc w:val="center"/>
              <w:spacing w:after="0"/>
              <w:rPr>
                <w:sz w:val="20"/>
                <w:szCs w:val="20"/>
                <w:color w:val="auto"/>
              </w:rPr>
            </w:pPr>
            <w:r>
              <w:rPr>
                <w:rFonts w:ascii="Arial" w:cs="Arial" w:eastAsia="Arial" w:hAnsi="Arial"/>
                <w:sz w:val="16"/>
                <w:szCs w:val="16"/>
                <w:color w:val="auto"/>
              </w:rPr>
              <w:t>1,722,118</w:t>
            </w:r>
          </w:p>
        </w:tc>
        <w:tc>
          <w:tcPr>
            <w:tcW w:w="1000" w:type="dxa"/>
            <w:vAlign w:val="bottom"/>
          </w:tcPr>
          <w:p>
            <w:pPr>
              <w:jc w:val="center"/>
              <w:spacing w:after="0"/>
              <w:rPr>
                <w:sz w:val="20"/>
                <w:szCs w:val="20"/>
                <w:color w:val="auto"/>
              </w:rPr>
            </w:pPr>
            <w:r>
              <w:rPr>
                <w:rFonts w:ascii="Arial" w:cs="Arial" w:eastAsia="Arial" w:hAnsi="Arial"/>
                <w:sz w:val="16"/>
                <w:szCs w:val="16"/>
                <w:color w:val="auto"/>
              </w:rPr>
              <w:t>808,891</w:t>
            </w:r>
          </w:p>
        </w:tc>
        <w:tc>
          <w:tcPr>
            <w:tcW w:w="1000" w:type="dxa"/>
            <w:vAlign w:val="bottom"/>
          </w:tcPr>
          <w:p>
            <w:pPr>
              <w:jc w:val="center"/>
              <w:spacing w:after="0"/>
              <w:rPr>
                <w:sz w:val="20"/>
                <w:szCs w:val="20"/>
                <w:color w:val="auto"/>
              </w:rPr>
            </w:pPr>
            <w:r>
              <w:rPr>
                <w:rFonts w:ascii="Arial" w:cs="Arial" w:eastAsia="Arial" w:hAnsi="Arial"/>
                <w:sz w:val="16"/>
                <w:szCs w:val="16"/>
                <w:color w:val="auto"/>
              </w:rPr>
              <w:t>962,550</w:t>
            </w:r>
          </w:p>
        </w:tc>
        <w:tc>
          <w:tcPr>
            <w:tcW w:w="960" w:type="dxa"/>
            <w:vAlign w:val="bottom"/>
          </w:tcPr>
          <w:p>
            <w:pPr>
              <w:jc w:val="center"/>
              <w:spacing w:after="0"/>
              <w:rPr>
                <w:sz w:val="20"/>
                <w:szCs w:val="20"/>
                <w:color w:val="auto"/>
              </w:rPr>
            </w:pPr>
            <w:r>
              <w:rPr>
                <w:rFonts w:ascii="Arial" w:cs="Arial" w:eastAsia="Arial" w:hAnsi="Arial"/>
                <w:sz w:val="16"/>
                <w:szCs w:val="16"/>
                <w:color w:val="auto"/>
              </w:rPr>
              <w:t>584,350</w:t>
            </w:r>
          </w:p>
        </w:tc>
      </w:tr>
      <w:tr>
        <w:trPr>
          <w:trHeight w:val="257"/>
        </w:trPr>
        <w:tc>
          <w:tcPr>
            <w:tcW w:w="5900" w:type="dxa"/>
            <w:vAlign w:val="bottom"/>
            <w:shd w:val="clear" w:color="auto" w:fill="EDEDED"/>
          </w:tcPr>
          <w:p>
            <w:pPr>
              <w:ind w:left="60"/>
              <w:spacing w:after="0" w:line="257" w:lineRule="exact"/>
              <w:rPr>
                <w:sz w:val="20"/>
                <w:szCs w:val="20"/>
                <w:color w:val="auto"/>
              </w:rPr>
            </w:pPr>
            <w:r>
              <w:rPr>
                <w:rFonts w:ascii="Arial" w:cs="Arial" w:eastAsia="Arial" w:hAnsi="Arial"/>
                <w:sz w:val="16"/>
                <w:szCs w:val="16"/>
                <w:color w:val="auto"/>
              </w:rPr>
              <w:t>Pro-Rated Annual Incentive</w:t>
            </w:r>
            <w:r>
              <w:rPr>
                <w:rFonts w:ascii="Arial" w:cs="Arial" w:eastAsia="Arial" w:hAnsi="Arial"/>
                <w:sz w:val="24"/>
                <w:szCs w:val="24"/>
                <w:color w:val="auto"/>
                <w:vertAlign w:val="superscript"/>
              </w:rPr>
              <w:t>(4)</w:t>
            </w:r>
          </w:p>
        </w:tc>
        <w:tc>
          <w:tcPr>
            <w:tcW w:w="1180" w:type="dxa"/>
            <w:vAlign w:val="bottom"/>
            <w:shd w:val="clear" w:color="auto" w:fill="EDEDED"/>
          </w:tcPr>
          <w:p>
            <w:pPr>
              <w:jc w:val="center"/>
              <w:ind w:left="120"/>
              <w:spacing w:after="0"/>
              <w:rPr>
                <w:sz w:val="20"/>
                <w:szCs w:val="20"/>
                <w:color w:val="auto"/>
              </w:rPr>
            </w:pPr>
            <w:r>
              <w:rPr>
                <w:rFonts w:ascii="Arial" w:cs="Arial" w:eastAsia="Arial" w:hAnsi="Arial"/>
                <w:sz w:val="16"/>
                <w:szCs w:val="16"/>
                <w:color w:val="auto"/>
              </w:rPr>
              <w:t>990,000</w:t>
            </w:r>
          </w:p>
        </w:tc>
        <w:tc>
          <w:tcPr>
            <w:tcW w:w="98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527,496</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287,026</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227,700</w:t>
            </w:r>
          </w:p>
        </w:tc>
        <w:tc>
          <w:tcPr>
            <w:tcW w:w="96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207,350</w:t>
            </w:r>
          </w:p>
        </w:tc>
      </w:tr>
      <w:tr>
        <w:trPr>
          <w:trHeight w:val="257"/>
        </w:trPr>
        <w:tc>
          <w:tcPr>
            <w:tcW w:w="5900" w:type="dxa"/>
            <w:vAlign w:val="bottom"/>
          </w:tcPr>
          <w:p>
            <w:pPr>
              <w:ind w:left="60"/>
              <w:spacing w:after="0" w:line="257" w:lineRule="exact"/>
              <w:rPr>
                <w:sz w:val="20"/>
                <w:szCs w:val="20"/>
                <w:color w:val="auto"/>
              </w:rPr>
            </w:pPr>
            <w:r>
              <w:rPr>
                <w:rFonts w:ascii="Arial" w:cs="Arial" w:eastAsia="Arial" w:hAnsi="Arial"/>
                <w:sz w:val="16"/>
                <w:szCs w:val="16"/>
                <w:color w:val="auto"/>
              </w:rPr>
              <w:t>Performance Shares (Equity-Based)</w:t>
            </w:r>
            <w:r>
              <w:rPr>
                <w:rFonts w:ascii="Arial" w:cs="Arial" w:eastAsia="Arial" w:hAnsi="Arial"/>
                <w:sz w:val="24"/>
                <w:szCs w:val="24"/>
                <w:color w:val="auto"/>
                <w:vertAlign w:val="superscript"/>
              </w:rPr>
              <w:t>(1)</w:t>
            </w:r>
          </w:p>
        </w:tc>
        <w:tc>
          <w:tcPr>
            <w:tcW w:w="1180" w:type="dxa"/>
            <w:vAlign w:val="bottom"/>
          </w:tcPr>
          <w:p>
            <w:pPr>
              <w:jc w:val="center"/>
              <w:ind w:left="140"/>
              <w:spacing w:after="0"/>
              <w:rPr>
                <w:sz w:val="20"/>
                <w:szCs w:val="20"/>
                <w:color w:val="auto"/>
              </w:rPr>
            </w:pPr>
            <w:r>
              <w:rPr>
                <w:rFonts w:ascii="Arial" w:cs="Arial" w:eastAsia="Arial" w:hAnsi="Arial"/>
                <w:sz w:val="16"/>
                <w:szCs w:val="16"/>
                <w:color w:val="auto"/>
              </w:rPr>
              <w:t>1,835,729</w:t>
            </w:r>
          </w:p>
        </w:tc>
        <w:tc>
          <w:tcPr>
            <w:tcW w:w="980" w:type="dxa"/>
            <w:vAlign w:val="bottom"/>
          </w:tcPr>
          <w:p>
            <w:pPr>
              <w:jc w:val="center"/>
              <w:spacing w:after="0"/>
              <w:rPr>
                <w:sz w:val="20"/>
                <w:szCs w:val="20"/>
                <w:color w:val="auto"/>
              </w:rPr>
            </w:pPr>
            <w:r>
              <w:rPr>
                <w:rFonts w:ascii="Arial" w:cs="Arial" w:eastAsia="Arial" w:hAnsi="Arial"/>
                <w:sz w:val="16"/>
                <w:szCs w:val="16"/>
                <w:color w:val="auto"/>
              </w:rPr>
              <w:t>897,948</w:t>
            </w:r>
          </w:p>
        </w:tc>
        <w:tc>
          <w:tcPr>
            <w:tcW w:w="1000" w:type="dxa"/>
            <w:vAlign w:val="bottom"/>
          </w:tcPr>
          <w:p>
            <w:pPr>
              <w:jc w:val="center"/>
              <w:spacing w:after="0"/>
              <w:rPr>
                <w:sz w:val="20"/>
                <w:szCs w:val="20"/>
                <w:color w:val="auto"/>
              </w:rPr>
            </w:pPr>
            <w:r>
              <w:rPr>
                <w:rFonts w:ascii="Arial" w:cs="Arial" w:eastAsia="Arial" w:hAnsi="Arial"/>
                <w:sz w:val="16"/>
                <w:szCs w:val="16"/>
                <w:color w:val="auto"/>
              </w:rPr>
              <w:t>340,366</w:t>
            </w:r>
          </w:p>
        </w:tc>
        <w:tc>
          <w:tcPr>
            <w:tcW w:w="1000" w:type="dxa"/>
            <w:vAlign w:val="bottom"/>
          </w:tcPr>
          <w:p>
            <w:pPr>
              <w:jc w:val="center"/>
              <w:spacing w:after="0"/>
              <w:rPr>
                <w:sz w:val="20"/>
                <w:szCs w:val="20"/>
                <w:color w:val="auto"/>
              </w:rPr>
            </w:pPr>
            <w:r>
              <w:rPr>
                <w:rFonts w:ascii="Arial" w:cs="Arial" w:eastAsia="Arial" w:hAnsi="Arial"/>
                <w:sz w:val="16"/>
                <w:szCs w:val="16"/>
                <w:color w:val="auto"/>
              </w:rPr>
              <w:t>399,296</w:t>
            </w:r>
          </w:p>
        </w:tc>
        <w:tc>
          <w:tcPr>
            <w:tcW w:w="960" w:type="dxa"/>
            <w:vAlign w:val="bottom"/>
          </w:tcPr>
          <w:p>
            <w:pPr>
              <w:jc w:val="center"/>
              <w:spacing w:after="0"/>
              <w:rPr>
                <w:sz w:val="20"/>
                <w:szCs w:val="20"/>
                <w:color w:val="auto"/>
              </w:rPr>
            </w:pPr>
            <w:r>
              <w:rPr>
                <w:rFonts w:ascii="Arial" w:cs="Arial" w:eastAsia="Arial" w:hAnsi="Arial"/>
                <w:sz w:val="16"/>
                <w:szCs w:val="16"/>
                <w:color w:val="auto"/>
              </w:rPr>
              <w:t>153,621</w:t>
            </w:r>
          </w:p>
        </w:tc>
      </w:tr>
      <w:tr>
        <w:trPr>
          <w:trHeight w:val="256"/>
        </w:trPr>
        <w:tc>
          <w:tcPr>
            <w:tcW w:w="5900" w:type="dxa"/>
            <w:vAlign w:val="bottom"/>
            <w:shd w:val="clear" w:color="auto" w:fill="EDEDED"/>
          </w:tcPr>
          <w:p>
            <w:pPr>
              <w:ind w:left="60"/>
              <w:spacing w:after="0" w:line="257" w:lineRule="exact"/>
              <w:rPr>
                <w:sz w:val="20"/>
                <w:szCs w:val="20"/>
                <w:color w:val="auto"/>
              </w:rPr>
            </w:pPr>
            <w:r>
              <w:rPr>
                <w:rFonts w:ascii="Arial" w:cs="Arial" w:eastAsia="Arial" w:hAnsi="Arial"/>
                <w:sz w:val="16"/>
                <w:szCs w:val="16"/>
                <w:color w:val="auto"/>
              </w:rPr>
              <w:t>Restricted Shares</w:t>
            </w:r>
            <w:r>
              <w:rPr>
                <w:rFonts w:ascii="Arial" w:cs="Arial" w:eastAsia="Arial" w:hAnsi="Arial"/>
                <w:sz w:val="24"/>
                <w:szCs w:val="24"/>
                <w:color w:val="auto"/>
                <w:vertAlign w:val="superscript"/>
              </w:rPr>
              <w:t>(2)</w:t>
            </w:r>
          </w:p>
        </w:tc>
        <w:tc>
          <w:tcPr>
            <w:tcW w:w="1180" w:type="dxa"/>
            <w:vAlign w:val="bottom"/>
            <w:shd w:val="clear" w:color="auto" w:fill="EDEDED"/>
          </w:tcPr>
          <w:p>
            <w:pPr>
              <w:jc w:val="center"/>
              <w:ind w:left="140"/>
              <w:spacing w:after="0"/>
              <w:rPr>
                <w:sz w:val="20"/>
                <w:szCs w:val="20"/>
                <w:color w:val="auto"/>
              </w:rPr>
            </w:pPr>
            <w:r>
              <w:rPr>
                <w:rFonts w:ascii="Arial" w:cs="Arial" w:eastAsia="Arial" w:hAnsi="Arial"/>
                <w:sz w:val="16"/>
                <w:szCs w:val="16"/>
                <w:color w:val="auto"/>
              </w:rPr>
              <w:t>2,236,817</w:t>
            </w:r>
          </w:p>
        </w:tc>
        <w:tc>
          <w:tcPr>
            <w:tcW w:w="98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1,484,328</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448,137</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541,967</w:t>
            </w:r>
          </w:p>
        </w:tc>
        <w:tc>
          <w:tcPr>
            <w:tcW w:w="96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688,710</w:t>
            </w:r>
          </w:p>
        </w:tc>
      </w:tr>
      <w:tr>
        <w:trPr>
          <w:trHeight w:val="257"/>
        </w:trPr>
        <w:tc>
          <w:tcPr>
            <w:tcW w:w="5900" w:type="dxa"/>
            <w:vAlign w:val="bottom"/>
          </w:tcPr>
          <w:p>
            <w:pPr>
              <w:ind w:left="60"/>
              <w:spacing w:after="0" w:line="257" w:lineRule="exact"/>
              <w:rPr>
                <w:sz w:val="20"/>
                <w:szCs w:val="20"/>
                <w:color w:val="auto"/>
              </w:rPr>
            </w:pPr>
            <w:r>
              <w:rPr>
                <w:rFonts w:ascii="Arial" w:cs="Arial" w:eastAsia="Arial" w:hAnsi="Arial"/>
                <w:sz w:val="16"/>
                <w:szCs w:val="16"/>
                <w:color w:val="auto"/>
              </w:rPr>
              <w:t>Benefits Continuation</w:t>
            </w:r>
            <w:r>
              <w:rPr>
                <w:rFonts w:ascii="Arial" w:cs="Arial" w:eastAsia="Arial" w:hAnsi="Arial"/>
                <w:sz w:val="24"/>
                <w:szCs w:val="24"/>
                <w:color w:val="auto"/>
                <w:vertAlign w:val="superscript"/>
              </w:rPr>
              <w:t>(5)</w:t>
            </w:r>
          </w:p>
        </w:tc>
        <w:tc>
          <w:tcPr>
            <w:tcW w:w="1180" w:type="dxa"/>
            <w:vAlign w:val="bottom"/>
          </w:tcPr>
          <w:p>
            <w:pPr>
              <w:jc w:val="center"/>
              <w:ind w:left="120"/>
              <w:spacing w:after="0"/>
              <w:rPr>
                <w:sz w:val="20"/>
                <w:szCs w:val="20"/>
                <w:color w:val="auto"/>
              </w:rPr>
            </w:pPr>
            <w:r>
              <w:rPr>
                <w:rFonts w:ascii="Arial" w:cs="Arial" w:eastAsia="Arial" w:hAnsi="Arial"/>
                <w:sz w:val="16"/>
                <w:szCs w:val="16"/>
                <w:color w:val="auto"/>
              </w:rPr>
              <w:t>26,194</w:t>
            </w:r>
          </w:p>
        </w:tc>
        <w:tc>
          <w:tcPr>
            <w:tcW w:w="980" w:type="dxa"/>
            <w:vAlign w:val="bottom"/>
          </w:tcPr>
          <w:p>
            <w:pPr>
              <w:jc w:val="center"/>
              <w:spacing w:after="0"/>
              <w:rPr>
                <w:sz w:val="20"/>
                <w:szCs w:val="20"/>
                <w:color w:val="auto"/>
              </w:rPr>
            </w:pPr>
            <w:r>
              <w:rPr>
                <w:rFonts w:ascii="Arial" w:cs="Arial" w:eastAsia="Arial" w:hAnsi="Arial"/>
                <w:sz w:val="16"/>
                <w:szCs w:val="16"/>
                <w:color w:val="auto"/>
              </w:rPr>
              <w:t>19,617</w:t>
            </w: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14,013</w:t>
            </w:r>
          </w:p>
        </w:tc>
        <w:tc>
          <w:tcPr>
            <w:tcW w:w="1000" w:type="dxa"/>
            <w:vAlign w:val="bottom"/>
          </w:tcPr>
          <w:p>
            <w:pPr>
              <w:jc w:val="center"/>
              <w:spacing w:after="0"/>
              <w:rPr>
                <w:sz w:val="20"/>
                <w:szCs w:val="20"/>
                <w:color w:val="auto"/>
              </w:rPr>
            </w:pPr>
            <w:r>
              <w:rPr>
                <w:rFonts w:ascii="Arial" w:cs="Arial" w:eastAsia="Arial" w:hAnsi="Arial"/>
                <w:sz w:val="16"/>
                <w:szCs w:val="16"/>
                <w:color w:val="auto"/>
                <w:w w:val="98"/>
              </w:rPr>
              <w:t>19,334</w:t>
            </w:r>
          </w:p>
        </w:tc>
        <w:tc>
          <w:tcPr>
            <w:tcW w:w="960" w:type="dxa"/>
            <w:vAlign w:val="bottom"/>
          </w:tcPr>
          <w:p>
            <w:pPr>
              <w:jc w:val="center"/>
              <w:spacing w:after="0"/>
              <w:rPr>
                <w:sz w:val="20"/>
                <w:szCs w:val="20"/>
                <w:color w:val="auto"/>
              </w:rPr>
            </w:pPr>
            <w:r>
              <w:rPr>
                <w:rFonts w:ascii="Arial" w:cs="Arial" w:eastAsia="Arial" w:hAnsi="Arial"/>
                <w:sz w:val="16"/>
                <w:szCs w:val="16"/>
                <w:color w:val="auto"/>
                <w:w w:val="99"/>
              </w:rPr>
              <w:t>6,571</w:t>
            </w:r>
          </w:p>
        </w:tc>
      </w:tr>
      <w:tr>
        <w:trPr>
          <w:trHeight w:val="256"/>
        </w:trPr>
        <w:tc>
          <w:tcPr>
            <w:tcW w:w="5900" w:type="dxa"/>
            <w:vAlign w:val="bottom"/>
            <w:shd w:val="clear" w:color="auto" w:fill="EDEDED"/>
          </w:tcPr>
          <w:p>
            <w:pPr>
              <w:ind w:left="60"/>
              <w:spacing w:after="0" w:line="257" w:lineRule="exact"/>
              <w:rPr>
                <w:sz w:val="20"/>
                <w:szCs w:val="20"/>
                <w:color w:val="auto"/>
              </w:rPr>
            </w:pPr>
            <w:r>
              <w:rPr>
                <w:rFonts w:ascii="Arial" w:cs="Arial" w:eastAsia="Arial" w:hAnsi="Arial"/>
                <w:sz w:val="16"/>
                <w:szCs w:val="16"/>
                <w:color w:val="auto"/>
              </w:rPr>
              <w:t>Outplacement Services</w:t>
            </w:r>
            <w:r>
              <w:rPr>
                <w:rFonts w:ascii="Arial" w:cs="Arial" w:eastAsia="Arial" w:hAnsi="Arial"/>
                <w:sz w:val="24"/>
                <w:szCs w:val="24"/>
                <w:color w:val="auto"/>
                <w:vertAlign w:val="superscript"/>
              </w:rPr>
              <w:t>(6)</w:t>
            </w:r>
          </w:p>
        </w:tc>
        <w:tc>
          <w:tcPr>
            <w:tcW w:w="1180" w:type="dxa"/>
            <w:vAlign w:val="bottom"/>
            <w:shd w:val="clear" w:color="auto" w:fill="EDEDED"/>
          </w:tcPr>
          <w:p>
            <w:pPr>
              <w:jc w:val="center"/>
              <w:ind w:left="120"/>
              <w:spacing w:after="0"/>
              <w:rPr>
                <w:sz w:val="20"/>
                <w:szCs w:val="20"/>
                <w:color w:val="auto"/>
              </w:rPr>
            </w:pPr>
            <w:r>
              <w:rPr>
                <w:rFonts w:ascii="Arial" w:cs="Arial" w:eastAsia="Arial" w:hAnsi="Arial"/>
                <w:sz w:val="16"/>
                <w:szCs w:val="16"/>
                <w:color w:val="auto"/>
              </w:rPr>
              <w:t>10,000</w:t>
            </w:r>
          </w:p>
        </w:tc>
        <w:tc>
          <w:tcPr>
            <w:tcW w:w="98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10,000</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w w:val="98"/>
              </w:rPr>
              <w:t>10,000</w:t>
            </w:r>
          </w:p>
        </w:tc>
        <w:tc>
          <w:tcPr>
            <w:tcW w:w="1000" w:type="dxa"/>
            <w:vAlign w:val="bottom"/>
            <w:shd w:val="clear" w:color="auto" w:fill="EDEDED"/>
          </w:tcPr>
          <w:p>
            <w:pPr>
              <w:jc w:val="center"/>
              <w:spacing w:after="0"/>
              <w:rPr>
                <w:sz w:val="20"/>
                <w:szCs w:val="20"/>
                <w:color w:val="auto"/>
              </w:rPr>
            </w:pPr>
            <w:r>
              <w:rPr>
                <w:rFonts w:ascii="Arial" w:cs="Arial" w:eastAsia="Arial" w:hAnsi="Arial"/>
                <w:sz w:val="16"/>
                <w:szCs w:val="16"/>
                <w:color w:val="auto"/>
                <w:w w:val="98"/>
              </w:rPr>
              <w:t>10,000</w:t>
            </w:r>
          </w:p>
        </w:tc>
        <w:tc>
          <w:tcPr>
            <w:tcW w:w="960" w:type="dxa"/>
            <w:vAlign w:val="bottom"/>
            <w:shd w:val="clear" w:color="auto" w:fill="EDEDED"/>
          </w:tcPr>
          <w:p>
            <w:pPr>
              <w:jc w:val="center"/>
              <w:spacing w:after="0"/>
              <w:rPr>
                <w:sz w:val="20"/>
                <w:szCs w:val="20"/>
                <w:color w:val="auto"/>
              </w:rPr>
            </w:pPr>
            <w:r>
              <w:rPr>
                <w:rFonts w:ascii="Arial" w:cs="Arial" w:eastAsia="Arial" w:hAnsi="Arial"/>
                <w:sz w:val="16"/>
                <w:szCs w:val="16"/>
                <w:color w:val="auto"/>
              </w:rPr>
              <w:t>10,000</w:t>
            </w:r>
          </w:p>
        </w:tc>
      </w:tr>
      <w:tr>
        <w:trPr>
          <w:trHeight w:val="235"/>
        </w:trPr>
        <w:tc>
          <w:tcPr>
            <w:tcW w:w="590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1180" w:type="dxa"/>
            <w:vAlign w:val="bottom"/>
          </w:tcPr>
          <w:p>
            <w:pPr>
              <w:jc w:val="center"/>
              <w:ind w:left="140"/>
              <w:spacing w:after="0"/>
              <w:rPr>
                <w:sz w:val="20"/>
                <w:szCs w:val="20"/>
                <w:color w:val="auto"/>
              </w:rPr>
            </w:pPr>
            <w:r>
              <w:rPr>
                <w:rFonts w:ascii="Arial" w:cs="Arial" w:eastAsia="Arial" w:hAnsi="Arial"/>
                <w:sz w:val="16"/>
                <w:szCs w:val="16"/>
                <w:b w:val="1"/>
                <w:bCs w:val="1"/>
                <w:color w:val="auto"/>
              </w:rPr>
              <w:t>8,878,740</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rPr>
              <w:t>4,661,506</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1,908,433</w:t>
            </w: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2,160,847</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1,650,602</w:t>
            </w:r>
          </w:p>
        </w:tc>
      </w:tr>
      <w:tr>
        <w:trPr>
          <w:trHeight w:val="21"/>
        </w:trPr>
        <w:tc>
          <w:tcPr>
            <w:tcW w:w="59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1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-143510</wp:posOffset>
            </wp:positionV>
            <wp:extent cx="411480" cy="1974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11480" cy="1974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2022 Executive Compensation Tables</w:t>
      </w:r>
    </w:p>
    <w:p>
      <w:pPr>
        <w:spacing w:after="0" w:line="139" w:lineRule="exact"/>
        <w:rPr>
          <w:sz w:val="20"/>
          <w:szCs w:val="20"/>
          <w:color w:val="auto"/>
        </w:rPr>
      </w:pPr>
    </w:p>
    <w:p>
      <w:pPr>
        <w:ind w:left="440" w:right="100" w:hanging="324"/>
        <w:spacing w:after="0" w:line="211" w:lineRule="auto"/>
        <w:tabs>
          <w:tab w:leader="none" w:pos="440" w:val="left"/>
        </w:tabs>
        <w:numPr>
          <w:ilvl w:val="0"/>
          <w:numId w:val="59"/>
        </w:numPr>
        <w:rPr>
          <w:rFonts w:ascii="Arial" w:cs="Arial" w:eastAsia="Arial" w:hAnsi="Arial"/>
          <w:sz w:val="19"/>
          <w:szCs w:val="19"/>
          <w:color w:val="auto"/>
          <w:vertAlign w:val="superscript"/>
        </w:rPr>
      </w:pPr>
      <w:r>
        <w:rPr>
          <w:rFonts w:ascii="Arial" w:cs="Arial" w:eastAsia="Arial" w:hAnsi="Arial"/>
          <w:sz w:val="13"/>
          <w:szCs w:val="13"/>
          <w:color w:val="auto"/>
        </w:rPr>
        <w:t>In the event of a named executive officer’s termination of employment due to disability, death, normal retirement (defined as age 62 with five years of service or any combination of age + service = 70 with a minimum age of 60), or termination by the Company without Cause, at the end of the performance period and following approval by the Compensation and Talent Management Committee, the named executive officer (or the named executive officer’s beneficiary) would receive a pro rata portion of the equity-based Performance Award that would have otherwise vested if employment had continued until the end of the performance period, based on the portion of the performance period that the officer was employed and based on the performance level achieved. Amounts shown for termination due to death or disability, reflect actual shares earned for the 2021 Year 1 and Year 2, and 2022 Year 1 PSU grants. No performance shares were granted in 2020. For termination by the Company without Cause, the named executive officer must have been employed for at least one year following the date of each grant in order to be eligible to receive prorated performance shares. Upon a Change in Control, if awards are not assumed, converted, or replaced by the resulting entity, all vesting restrictions on outstanding Performance Awards shall lapse, with any applicable performance goals deemed to be satisfied as if “target” performance had been achieved and all such Awards become fully vested and exercisable, effective as of the date of such Change in Control. The value under the pro rata settlement or Change in Control settlement (assuming the December 30, 2022 stock value of $16.90) is shown in the table.</w:t>
      </w:r>
    </w:p>
    <w:p>
      <w:pPr>
        <w:spacing w:after="0" w:line="42" w:lineRule="exact"/>
        <w:rPr>
          <w:rFonts w:ascii="Arial" w:cs="Arial" w:eastAsia="Arial" w:hAnsi="Arial"/>
          <w:sz w:val="19"/>
          <w:szCs w:val="19"/>
          <w:color w:val="auto"/>
          <w:vertAlign w:val="superscript"/>
        </w:rPr>
      </w:pPr>
    </w:p>
    <w:p>
      <w:pPr>
        <w:ind w:left="440" w:right="140" w:hanging="324"/>
        <w:spacing w:after="0" w:line="208" w:lineRule="auto"/>
        <w:tabs>
          <w:tab w:leader="none" w:pos="440" w:val="left"/>
        </w:tabs>
        <w:numPr>
          <w:ilvl w:val="0"/>
          <w:numId w:val="59"/>
        </w:numPr>
        <w:rPr>
          <w:rFonts w:ascii="Arial" w:cs="Arial" w:eastAsia="Arial" w:hAnsi="Arial"/>
          <w:sz w:val="19"/>
          <w:szCs w:val="19"/>
          <w:color w:val="auto"/>
          <w:vertAlign w:val="superscript"/>
        </w:rPr>
      </w:pPr>
      <w:r>
        <w:rPr>
          <w:rFonts w:ascii="Arial" w:cs="Arial" w:eastAsia="Arial" w:hAnsi="Arial"/>
          <w:sz w:val="13"/>
          <w:szCs w:val="13"/>
          <w:color w:val="auto"/>
        </w:rPr>
        <w:t>In the event of a named executive officer’s termination of employment due to disability or death, the named executive officer (or the named executive officer’s beneficiary) would receive a pro rata settlement of unvested restricted shares outstanding at the time of termination. For each grant of restricted stock awards/units, the number of shares settled would equal the total number of restricted shares originally granted times the ratio of days employed since the grant date divided by total number of days in the vesting period less the number of restricted shares already settled on the anniversary dates of the grant. Upon a Change in Control, if awards are not assumed, converted, or replaced by the resulting entity, all vesting restrictions on outstanding Restricted Share awards/units shall lapse, and all such Awards become fully vested and exercisable, effective as of the date of such Change in Control. The value under the prorated settlement or Change in Control settlement (assuming the December 30, 2022 stock value of $16.90) is shown in the table.</w:t>
      </w:r>
    </w:p>
    <w:p>
      <w:pPr>
        <w:spacing w:after="0" w:line="40" w:lineRule="exact"/>
        <w:rPr>
          <w:rFonts w:ascii="Arial" w:cs="Arial" w:eastAsia="Arial" w:hAnsi="Arial"/>
          <w:sz w:val="19"/>
          <w:szCs w:val="19"/>
          <w:color w:val="auto"/>
          <w:vertAlign w:val="superscript"/>
        </w:rPr>
      </w:pPr>
    </w:p>
    <w:p>
      <w:pPr>
        <w:ind w:left="440" w:right="140" w:hanging="324"/>
        <w:spacing w:after="0" w:line="217" w:lineRule="auto"/>
        <w:tabs>
          <w:tab w:leader="none" w:pos="440" w:val="left"/>
        </w:tabs>
        <w:numPr>
          <w:ilvl w:val="0"/>
          <w:numId w:val="59"/>
        </w:numPr>
        <w:rPr>
          <w:rFonts w:ascii="Arial" w:cs="Arial" w:eastAsia="Arial" w:hAnsi="Arial"/>
          <w:sz w:val="18"/>
          <w:szCs w:val="18"/>
          <w:color w:val="auto"/>
          <w:vertAlign w:val="superscript"/>
        </w:rPr>
      </w:pPr>
      <w:r>
        <w:rPr>
          <w:rFonts w:ascii="Arial" w:cs="Arial" w:eastAsia="Arial" w:hAnsi="Arial"/>
          <w:sz w:val="12"/>
          <w:szCs w:val="12"/>
          <w:color w:val="auto"/>
        </w:rPr>
        <w:t>Per the Severance Plan, for involuntary termination by the Company without cause, the value of cash severance includes base salary continuation for Mr. Quigley for 24 months, Ms. Williams for 18 months, and Mr. Simons for 12 months. For payments under Change in Control, with qualifying termination, Mr. Quigley would receive a lump sum payment equal to 2 times the sum of his annual base salary and target annual incentive; Ms. Williams would receive a lump sum payment equal to 1.5 times the sum of base salary and target annual incentive; and Mr. Simons would receive a lumpsum payment equal to one time the sum of base salary and target annual incentive. Per Mr. Thirot’s Swiss employment agreement, for involuntary termination by the Company without cause, the value of cash severance includes base salary continuation for Mr. Thirot for 18 months. For payments under Change in Control, with qualifying termination,</w:t>
      </w:r>
    </w:p>
    <w:p>
      <w:pPr>
        <w:ind w:left="440" w:right="460"/>
        <w:spacing w:after="0" w:line="226" w:lineRule="auto"/>
        <w:rPr>
          <w:rFonts w:ascii="Arial" w:cs="Arial" w:eastAsia="Arial" w:hAnsi="Arial"/>
          <w:sz w:val="18"/>
          <w:szCs w:val="18"/>
          <w:color w:val="auto"/>
          <w:vertAlign w:val="superscript"/>
        </w:rPr>
      </w:pPr>
      <w:r>
        <w:rPr>
          <w:rFonts w:ascii="Arial" w:cs="Arial" w:eastAsia="Arial" w:hAnsi="Arial"/>
          <w:sz w:val="13"/>
          <w:szCs w:val="13"/>
          <w:color w:val="auto"/>
        </w:rPr>
        <w:t>Mr. Thirot would receive a lump sum payment equal to 1.5 times the sum of base salary and target annual incentive. Per Ms. Koolhaas’ Swiss employment agreement, for involuntary termination by the Company without cause, the value of cash severance includes base salary continuation for Ms. Koolhaas for 12 months. For payments under Change in Control, with qualifying termination, Ms. Koolhaas would receive a lump sum payment equal to one time the sum of base salary and target annual incentive.</w:t>
      </w:r>
    </w:p>
    <w:p>
      <w:pPr>
        <w:spacing w:after="0" w:line="38" w:lineRule="exact"/>
        <w:rPr>
          <w:rFonts w:ascii="Arial" w:cs="Arial" w:eastAsia="Arial" w:hAnsi="Arial"/>
          <w:sz w:val="18"/>
          <w:szCs w:val="18"/>
          <w:color w:val="auto"/>
          <w:vertAlign w:val="superscript"/>
        </w:rPr>
      </w:pPr>
    </w:p>
    <w:p>
      <w:pPr>
        <w:ind w:left="440" w:right="60" w:hanging="324"/>
        <w:spacing w:after="0" w:line="207" w:lineRule="auto"/>
        <w:tabs>
          <w:tab w:leader="none" w:pos="440" w:val="left"/>
        </w:tabs>
        <w:numPr>
          <w:ilvl w:val="0"/>
          <w:numId w:val="59"/>
        </w:numPr>
        <w:rPr>
          <w:rFonts w:ascii="Arial" w:cs="Arial" w:eastAsia="Arial" w:hAnsi="Arial"/>
          <w:sz w:val="19"/>
          <w:szCs w:val="19"/>
          <w:color w:val="auto"/>
          <w:vertAlign w:val="superscript"/>
        </w:rPr>
      </w:pPr>
      <w:r>
        <w:rPr>
          <w:rFonts w:ascii="Arial" w:cs="Arial" w:eastAsia="Arial" w:hAnsi="Arial"/>
          <w:sz w:val="13"/>
          <w:szCs w:val="13"/>
          <w:color w:val="auto"/>
        </w:rPr>
        <w:t>In the event of an involuntary termination by the Company without cause and not in connection with a change in control, Messrs. Quigley and Simons, and Ms. Williams were eligible to receive a pro rata portion of their annual Incentive Compensation for such fiscal year, based on the actual performance results for such year. In the event of an involuntary termination by the Company without cause or termination by the named executive officer for good reason, either occurring in connection with a change in control, Messrs. Quigley, Thirot, and Simons and Mses. Koolhaas and Williams were eligible to receive a pro rata portion of their annual Incentive Compensation for such fiscal year, paid at the target level. The value of pro rata target incentive with respect to year of termination represents the calculated target incentive for the named executive officers if they had terminated on January 1, 2023.</w:t>
      </w:r>
    </w:p>
    <w:p>
      <w:pPr>
        <w:spacing w:after="0" w:line="38" w:lineRule="exact"/>
        <w:rPr>
          <w:rFonts w:ascii="Arial" w:cs="Arial" w:eastAsia="Arial" w:hAnsi="Arial"/>
          <w:sz w:val="19"/>
          <w:szCs w:val="19"/>
          <w:color w:val="auto"/>
          <w:vertAlign w:val="superscript"/>
        </w:rPr>
      </w:pPr>
    </w:p>
    <w:p>
      <w:pPr>
        <w:ind w:left="440" w:right="40" w:hanging="324"/>
        <w:spacing w:after="0" w:line="220" w:lineRule="auto"/>
        <w:tabs>
          <w:tab w:leader="none" w:pos="440" w:val="left"/>
        </w:tabs>
        <w:numPr>
          <w:ilvl w:val="0"/>
          <w:numId w:val="59"/>
        </w:numPr>
        <w:rPr>
          <w:rFonts w:ascii="Arial" w:cs="Arial" w:eastAsia="Arial" w:hAnsi="Arial"/>
          <w:sz w:val="18"/>
          <w:szCs w:val="18"/>
          <w:color w:val="auto"/>
          <w:vertAlign w:val="superscript"/>
        </w:rPr>
      </w:pPr>
      <w:r>
        <w:rPr>
          <w:rFonts w:ascii="Arial" w:cs="Arial" w:eastAsia="Arial" w:hAnsi="Arial"/>
          <w:sz w:val="12"/>
          <w:szCs w:val="12"/>
          <w:color w:val="auto"/>
        </w:rPr>
        <w:t>The value of the health care benefit provided is calculated as the Company-paid portion of the medical plan cost, times the number of months eligible according to the applicable severance plan. Coverage can include medical, dental, and vision (assumes no change in Health Plan or coverage type) and assumes a 10% health care coverage cost increase in second year (as applicable). Named executive officers participating in the Senior Executive Severance Plan continue to pay the employee rate for COBRA coverage during the severance period. For Mr. Thirot, amounts in this column include continuation of pension contributions. For Ms. Koolhaas, amounts in this column include continuation of supplemental health care and pension contributions.</w:t>
      </w:r>
    </w:p>
    <w:p>
      <w:pPr>
        <w:spacing w:after="0" w:line="38" w:lineRule="exact"/>
        <w:rPr>
          <w:rFonts w:ascii="Arial" w:cs="Arial" w:eastAsia="Arial" w:hAnsi="Arial"/>
          <w:sz w:val="18"/>
          <w:szCs w:val="18"/>
          <w:color w:val="auto"/>
          <w:vertAlign w:val="superscript"/>
        </w:rPr>
      </w:pPr>
    </w:p>
    <w:p>
      <w:pPr>
        <w:ind w:left="440" w:right="700" w:hanging="324"/>
        <w:spacing w:after="0" w:line="196" w:lineRule="auto"/>
        <w:tabs>
          <w:tab w:leader="none" w:pos="440" w:val="left"/>
        </w:tabs>
        <w:numPr>
          <w:ilvl w:val="0"/>
          <w:numId w:val="59"/>
        </w:numPr>
        <w:rPr>
          <w:rFonts w:ascii="Arial" w:cs="Arial" w:eastAsia="Arial" w:hAnsi="Arial"/>
          <w:sz w:val="19"/>
          <w:szCs w:val="19"/>
          <w:color w:val="auto"/>
          <w:vertAlign w:val="superscript"/>
        </w:rPr>
      </w:pPr>
      <w:r>
        <w:rPr>
          <w:rFonts w:ascii="Arial" w:cs="Arial" w:eastAsia="Arial" w:hAnsi="Arial"/>
          <w:sz w:val="13"/>
          <w:szCs w:val="13"/>
          <w:color w:val="auto"/>
        </w:rPr>
        <w:t>Represents the maximum allowed benefit for reimbursement of outplacement services for participants in the applicable Severance Plan. Mr. Thirot and Ms. Koolhaas are eligible for outplacement services under the terms of their employment agreements and the amount shown represents the maximum allowed benefit.</w:t>
      </w:r>
    </w:p>
    <w:p>
      <w:pPr>
        <w:spacing w:after="0" w:line="189"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The named executive officers would also be entitled to the vested benefits included in the Outstanding Equity Awards at Fiscal Year-End table and the Nonqualified Deferred Compensation table. In addition, the amounts shown in the table above do not include payments and benefits to the extent they are provided on a non-discriminatory basis to salaried employees generally upon termination of employment or certain types of termination of employment. These include accrued salary and vacation pay, and life insurance benefits.</w:t>
      </w:r>
    </w:p>
    <w:p>
      <w:pPr>
        <w:spacing w:after="0" w:line="98" w:lineRule="exact"/>
        <w:rPr>
          <w:sz w:val="20"/>
          <w:szCs w:val="20"/>
          <w:color w:val="auto"/>
        </w:rPr>
      </w:pPr>
    </w:p>
    <w:p>
      <w:pPr>
        <w:ind w:left="10820"/>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77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-143510</wp:posOffset>
            </wp:positionV>
            <wp:extent cx="411480" cy="1968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auto"/>
        </w:rPr>
        <w:t>CEO Pay Ratio</w:t>
      </w:r>
    </w:p>
    <w:p>
      <w:pPr>
        <w:spacing w:after="0" w:line="134" w:lineRule="exact"/>
        <w:rPr>
          <w:sz w:val="20"/>
          <w:szCs w:val="20"/>
          <w:color w:val="auto"/>
        </w:rPr>
      </w:pPr>
    </w:p>
    <w:p>
      <w:pPr>
        <w:ind w:left="120" w:right="220"/>
        <w:spacing w:after="0" w:line="286" w:lineRule="auto"/>
        <w:rPr>
          <w:sz w:val="20"/>
          <w:szCs w:val="20"/>
          <w:color w:val="auto"/>
        </w:rPr>
      </w:pPr>
      <w:r>
        <w:rPr>
          <w:rFonts w:ascii="Arial" w:cs="Arial" w:eastAsia="Arial" w:hAnsi="Arial"/>
          <w:sz w:val="16"/>
          <w:szCs w:val="16"/>
          <w:color w:val="auto"/>
        </w:rPr>
        <w:t>As required by Section 953(b) of Dodd-Frank and Item 402(u) of Regulation S-K, we are providing the required information about the relationship of the annual total compensation of our employees and the annual total compensation of Mr. Quigley, our President and Chief Executive Officer as follows: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fiscal 2022, our last completed fiscal year:</w:t>
      </w:r>
    </w:p>
    <w:p>
      <w:pPr>
        <w:spacing w:after="0" w:line="127"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median of the annual total compensation of all employees of our company (other than our CEO), was $8,700;</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annualized total compensation of our CEO, was $3,535,281; and</w:t>
      </w:r>
    </w:p>
    <w:p>
      <w:pPr>
        <w:spacing w:after="0" w:line="86" w:lineRule="exact"/>
        <w:rPr>
          <w:rFonts w:ascii="Arial" w:cs="Arial" w:eastAsia="Arial" w:hAnsi="Arial"/>
          <w:sz w:val="16"/>
          <w:szCs w:val="16"/>
          <w:color w:val="auto"/>
        </w:rPr>
      </w:pPr>
    </w:p>
    <w:p>
      <w:pPr>
        <w:ind w:left="660" w:right="80" w:hanging="328"/>
        <w:spacing w:after="0" w:line="286"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this information, the ratio of the annual total compensation for our CEO to the median of the annual total compensation of all employees is 406 to 1.</w:t>
      </w:r>
    </w:p>
    <w:p>
      <w:pPr>
        <w:spacing w:after="0" w:line="156"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color w:val="auto"/>
        </w:rPr>
        <w:t>The pay ratio is a reasonable estimate calculated in a manner consistent with SEC rules based on our payroll and employment records and the methodology described below. The SEC rules for determining the employee population and identifying the median employee provide companies with flexibility surrounding the elements of compensation to be included and various methodologies for gathering the employee population for inclusion in the analysis. The pay ratio reported by other companies may not be comparable to the pay ratio reported above, as other companies may have different employment and compensation practices, and may utilize different methodologies, exclusions, estimates, samplings, and assumptions in calculating their own pay ratios.</w:t>
      </w:r>
    </w:p>
    <w:p>
      <w:pPr>
        <w:spacing w:after="0" w:line="182"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color w:val="auto"/>
        </w:rPr>
        <w:t>To identify the median of the annual total compensation of all our employees, as well as to determine the annual total compensation of our median employee, the methodology that we used and the material assumptions and adjustments that we used to identify the median and determine annual total compensation are outlined below:</w:t>
      </w:r>
    </w:p>
    <w:p>
      <w:pPr>
        <w:spacing w:after="0" w:line="77" w:lineRule="exact"/>
        <w:rPr>
          <w:sz w:val="20"/>
          <w:szCs w:val="20"/>
          <w:color w:val="auto"/>
        </w:rPr>
      </w:pPr>
    </w:p>
    <w:p>
      <w:pPr>
        <w:ind w:left="660" w:right="280" w:hanging="328"/>
        <w:spacing w:after="0" w:line="259"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workforce consists of regular employees (employees who provide services to the Company) and those employees for whom we find employment as temporary workers. While services may be provided inside the facilities of our customers, we remain the employer of record for our temporary employees. We retain responsibility for employee assignments, the employer’s share of all applicable payroll taxes and the administration of the employee’s share of these taxes. In most cases, we determine the compensation for our temporary employees.</w:t>
      </w:r>
    </w:p>
    <w:p>
      <w:pPr>
        <w:spacing w:after="0" w:line="42" w:lineRule="exact"/>
        <w:rPr>
          <w:rFonts w:ascii="Arial" w:cs="Arial" w:eastAsia="Arial" w:hAnsi="Arial"/>
          <w:sz w:val="16"/>
          <w:szCs w:val="16"/>
          <w:color w:val="auto"/>
        </w:rPr>
      </w:pPr>
    </w:p>
    <w:p>
      <w:pPr>
        <w:ind w:left="660" w:right="80" w:hanging="328"/>
        <w:spacing w:after="0" w:line="259"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median employee in 2021 was a temporary employee, and as such we determined to not use that same employee in determining our 2022 CEO pay ratio. Due to the variance in assignment lengths, the number of assignments worked in a year, and potentially the compensation rate for each assignment, it is unlikely that the median employee in 2021 would be the median employee again in 2022. As a result, we conducted a similar compensation data gathering exercise for 2022 as we had for 2021 to determine the median employee.</w:t>
      </w:r>
    </w:p>
    <w:p>
      <w:pPr>
        <w:spacing w:after="0" w:line="42" w:lineRule="exact"/>
        <w:rPr>
          <w:rFonts w:ascii="Arial" w:cs="Arial" w:eastAsia="Arial" w:hAnsi="Arial"/>
          <w:sz w:val="16"/>
          <w:szCs w:val="16"/>
          <w:color w:val="auto"/>
        </w:rPr>
      </w:pPr>
    </w:p>
    <w:p>
      <w:pPr>
        <w:ind w:left="660" w:right="40" w:hanging="328"/>
        <w:spacing w:after="0" w:line="266"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We selected December 31, 2022, which is a date within the last three months of fiscal 2022, as the date we would use to both gather compensation for the year and identify our median employee. We did this to ensure we had a full year of earnings for our temporary employees as we are not able to estimate what earnings for that group would be under a partial year scenario.</w:t>
      </w:r>
    </w:p>
    <w:p>
      <w:pPr>
        <w:spacing w:after="0" w:line="36" w:lineRule="exact"/>
        <w:rPr>
          <w:rFonts w:ascii="Arial" w:cs="Arial" w:eastAsia="Arial" w:hAnsi="Arial"/>
          <w:sz w:val="16"/>
          <w:szCs w:val="16"/>
          <w:color w:val="auto"/>
        </w:rPr>
      </w:pPr>
    </w:p>
    <w:p>
      <w:pPr>
        <w:ind w:left="660" w:right="220" w:hanging="328"/>
        <w:spacing w:after="0" w:line="286"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As of December 31, 2022, our employee population totaled 119,011 and consisted of all regular and temporary employees that were actively on assignment and being paid as of that date.</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4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00AF41"/>
              </w:rPr>
              <w:t>Category</w:t>
            </w:r>
          </w:p>
        </w:tc>
        <w:tc>
          <w:tcPr>
            <w:tcW w:w="4600" w:type="dxa"/>
            <w:vAlign w:val="bottom"/>
            <w:tcBorders>
              <w:bottom w:val="single" w:sz="8" w:color="auto"/>
            </w:tcBorders>
          </w:tcPr>
          <w:p>
            <w:pPr>
              <w:ind w:left="4100"/>
              <w:spacing w:after="0"/>
              <w:rPr>
                <w:sz w:val="20"/>
                <w:szCs w:val="20"/>
                <w:color w:val="auto"/>
              </w:rPr>
            </w:pPr>
            <w:r>
              <w:rPr>
                <w:rFonts w:ascii="Arial" w:cs="Arial" w:eastAsia="Arial" w:hAnsi="Arial"/>
                <w:sz w:val="14"/>
                <w:szCs w:val="14"/>
                <w:b w:val="1"/>
                <w:bCs w:val="1"/>
                <w:color w:val="00AF41"/>
              </w:rPr>
              <w:t>U.S.</w:t>
            </w: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00AF41"/>
              </w:rPr>
              <w:t>Non-U.S.</w:t>
            </w:r>
          </w:p>
        </w:tc>
        <w:tc>
          <w:tcPr>
            <w:tcW w:w="7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00AF41"/>
              </w:rPr>
              <w:t>Total</w:t>
            </w:r>
          </w:p>
        </w:tc>
      </w:tr>
      <w:tr>
        <w:trPr>
          <w:trHeight w:val="231"/>
        </w:trPr>
        <w:tc>
          <w:tcPr>
            <w:tcW w:w="484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Regular</w:t>
            </w:r>
          </w:p>
        </w:tc>
        <w:tc>
          <w:tcPr>
            <w:tcW w:w="4600" w:type="dxa"/>
            <w:vAlign w:val="bottom"/>
            <w:tcBorders>
              <w:bottom w:val="single" w:sz="8" w:color="EDEDED"/>
            </w:tcBorders>
            <w:shd w:val="clear" w:color="auto" w:fill="EDEDED"/>
          </w:tcPr>
          <w:p>
            <w:pPr>
              <w:jc w:val="center"/>
              <w:ind w:left="3821"/>
              <w:spacing w:after="0"/>
              <w:rPr>
                <w:sz w:val="20"/>
                <w:szCs w:val="20"/>
                <w:color w:val="auto"/>
              </w:rPr>
            </w:pPr>
            <w:r>
              <w:rPr>
                <w:rFonts w:ascii="Arial" w:cs="Arial" w:eastAsia="Arial" w:hAnsi="Arial"/>
                <w:sz w:val="16"/>
                <w:szCs w:val="16"/>
                <w:color w:val="auto"/>
              </w:rPr>
              <w:t>4,595</w:t>
            </w:r>
          </w:p>
        </w:tc>
        <w:tc>
          <w:tcPr>
            <w:tcW w:w="8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w w:val="99"/>
              </w:rPr>
              <w:t>2,807</w:t>
            </w:r>
          </w:p>
        </w:tc>
        <w:tc>
          <w:tcPr>
            <w:tcW w:w="76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w w:val="99"/>
              </w:rPr>
              <w:t>7,402</w:t>
            </w:r>
          </w:p>
        </w:tc>
      </w:tr>
      <w:tr>
        <w:trPr>
          <w:trHeight w:val="228"/>
        </w:trPr>
        <w:tc>
          <w:tcPr>
            <w:tcW w:w="4840" w:type="dxa"/>
            <w:vAlign w:val="bottom"/>
          </w:tcPr>
          <w:p>
            <w:pPr>
              <w:ind w:left="60"/>
              <w:spacing w:after="0"/>
              <w:rPr>
                <w:sz w:val="20"/>
                <w:szCs w:val="20"/>
                <w:color w:val="auto"/>
              </w:rPr>
            </w:pPr>
            <w:r>
              <w:rPr>
                <w:rFonts w:ascii="Arial" w:cs="Arial" w:eastAsia="Arial" w:hAnsi="Arial"/>
                <w:sz w:val="16"/>
                <w:szCs w:val="16"/>
                <w:color w:val="auto"/>
              </w:rPr>
              <w:t>Temporary</w:t>
            </w:r>
          </w:p>
        </w:tc>
        <w:tc>
          <w:tcPr>
            <w:tcW w:w="4600" w:type="dxa"/>
            <w:vAlign w:val="bottom"/>
          </w:tcPr>
          <w:p>
            <w:pPr>
              <w:jc w:val="center"/>
              <w:ind w:left="3821"/>
              <w:spacing w:after="0"/>
              <w:rPr>
                <w:sz w:val="20"/>
                <w:szCs w:val="20"/>
                <w:color w:val="auto"/>
              </w:rPr>
            </w:pPr>
            <w:r>
              <w:rPr>
                <w:rFonts w:ascii="Arial" w:cs="Arial" w:eastAsia="Arial" w:hAnsi="Arial"/>
                <w:sz w:val="16"/>
                <w:szCs w:val="16"/>
                <w:color w:val="auto"/>
              </w:rPr>
              <w:t>77,074</w:t>
            </w:r>
          </w:p>
        </w:tc>
        <w:tc>
          <w:tcPr>
            <w:tcW w:w="820" w:type="dxa"/>
            <w:vAlign w:val="bottom"/>
          </w:tcPr>
          <w:p>
            <w:pPr>
              <w:jc w:val="center"/>
              <w:spacing w:after="0"/>
              <w:rPr>
                <w:sz w:val="20"/>
                <w:szCs w:val="20"/>
                <w:color w:val="auto"/>
              </w:rPr>
            </w:pPr>
            <w:r>
              <w:rPr>
                <w:rFonts w:ascii="Arial" w:cs="Arial" w:eastAsia="Arial" w:hAnsi="Arial"/>
                <w:sz w:val="16"/>
                <w:szCs w:val="16"/>
                <w:color w:val="auto"/>
              </w:rPr>
              <w:t>34,535</w:t>
            </w:r>
          </w:p>
        </w:tc>
        <w:tc>
          <w:tcPr>
            <w:tcW w:w="760" w:type="dxa"/>
            <w:vAlign w:val="bottom"/>
          </w:tcPr>
          <w:p>
            <w:pPr>
              <w:jc w:val="center"/>
              <w:spacing w:after="0"/>
              <w:rPr>
                <w:sz w:val="20"/>
                <w:szCs w:val="20"/>
                <w:color w:val="auto"/>
              </w:rPr>
            </w:pPr>
            <w:r>
              <w:rPr>
                <w:rFonts w:ascii="Arial" w:cs="Arial" w:eastAsia="Arial" w:hAnsi="Arial"/>
                <w:sz w:val="16"/>
                <w:szCs w:val="16"/>
                <w:color w:val="auto"/>
                <w:w w:val="96"/>
              </w:rPr>
              <w:t>111,609</w:t>
            </w:r>
          </w:p>
        </w:tc>
      </w:tr>
      <w:tr>
        <w:trPr>
          <w:trHeight w:val="29"/>
        </w:trPr>
        <w:tc>
          <w:tcPr>
            <w:tcW w:w="48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484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b w:val="1"/>
                <w:bCs w:val="1"/>
                <w:color w:val="auto"/>
              </w:rPr>
              <w:t>TOTAL</w:t>
            </w:r>
          </w:p>
        </w:tc>
        <w:tc>
          <w:tcPr>
            <w:tcW w:w="4600" w:type="dxa"/>
            <w:vAlign w:val="bottom"/>
            <w:tcBorders>
              <w:bottom w:val="single" w:sz="8" w:color="EDEDED"/>
            </w:tcBorders>
            <w:shd w:val="clear" w:color="auto" w:fill="EDEDED"/>
          </w:tcPr>
          <w:p>
            <w:pPr>
              <w:jc w:val="center"/>
              <w:ind w:left="3821"/>
              <w:spacing w:after="0"/>
              <w:rPr>
                <w:sz w:val="20"/>
                <w:szCs w:val="20"/>
                <w:color w:val="auto"/>
              </w:rPr>
            </w:pPr>
            <w:r>
              <w:rPr>
                <w:rFonts w:ascii="Arial" w:cs="Arial" w:eastAsia="Arial" w:hAnsi="Arial"/>
                <w:sz w:val="16"/>
                <w:szCs w:val="16"/>
                <w:b w:val="1"/>
                <w:bCs w:val="1"/>
                <w:color w:val="auto"/>
              </w:rPr>
              <w:t>81,669</w:t>
            </w:r>
          </w:p>
        </w:tc>
        <w:tc>
          <w:tcPr>
            <w:tcW w:w="8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b w:val="1"/>
                <w:bCs w:val="1"/>
                <w:color w:val="auto"/>
              </w:rPr>
              <w:t>37,342</w:t>
            </w:r>
          </w:p>
        </w:tc>
        <w:tc>
          <w:tcPr>
            <w:tcW w:w="76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b w:val="1"/>
                <w:bCs w:val="1"/>
                <w:color w:val="auto"/>
                <w:w w:val="96"/>
              </w:rPr>
              <w:t>119,011</w:t>
            </w:r>
          </w:p>
        </w:tc>
      </w:tr>
      <w:tr>
        <w:trPr>
          <w:trHeight w:val="20"/>
        </w:trPr>
        <w:tc>
          <w:tcPr>
            <w:tcW w:w="4840" w:type="dxa"/>
            <w:vAlign w:val="bottom"/>
            <w:shd w:val="clear" w:color="auto" w:fill="000000"/>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107" w:lineRule="exact"/>
        <w:rPr>
          <w:sz w:val="20"/>
          <w:szCs w:val="20"/>
          <w:color w:val="auto"/>
        </w:rPr>
      </w:pPr>
    </w:p>
    <w:p>
      <w:pPr>
        <w:ind w:left="980" w:right="660" w:hanging="324"/>
        <w:spacing w:after="0" w:line="286" w:lineRule="auto"/>
        <w:tabs>
          <w:tab w:leader="none" w:pos="9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vast majority of our employees, about 94%, are temporary employees who work anywhere from one week to fifty-two weeks in a calendar year.</w:t>
      </w:r>
    </w:p>
    <w:p>
      <w:pPr>
        <w:spacing w:after="0" w:line="20" w:lineRule="exact"/>
        <w:rPr>
          <w:rFonts w:ascii="Arial" w:cs="Arial" w:eastAsia="Arial" w:hAnsi="Arial"/>
          <w:sz w:val="16"/>
          <w:szCs w:val="16"/>
          <w:color w:val="auto"/>
        </w:rPr>
      </w:pPr>
    </w:p>
    <w:p>
      <w:pPr>
        <w:ind w:left="980" w:hanging="324"/>
        <w:spacing w:after="0"/>
        <w:tabs>
          <w:tab w:leader="none" w:pos="9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Approximately 31% of our employee population is located outside of the U.S.</w:t>
      </w:r>
    </w:p>
    <w:p>
      <w:pPr>
        <w:spacing w:after="0" w:line="86" w:lineRule="exact"/>
        <w:rPr>
          <w:rFonts w:ascii="Arial" w:cs="Arial" w:eastAsia="Arial" w:hAnsi="Arial"/>
          <w:sz w:val="16"/>
          <w:szCs w:val="16"/>
          <w:color w:val="auto"/>
        </w:rPr>
      </w:pPr>
    </w:p>
    <w:p>
      <w:pPr>
        <w:ind w:left="660" w:right="240" w:hanging="328"/>
        <w:spacing w:after="0" w:line="259"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 identify the “median employee” we collected actual base salary earnings and overtime paid for the 12-month period ending December 31, 2022. We used actual base salary earnings and overtime paid as our consistently applied compensation measure. Based on our demographics and the likelihood that our median employee would come from our temporary workforce, we believe this to be the appropriate compensation measure most effectively applied to our employee population.</w:t>
      </w:r>
    </w:p>
    <w:p>
      <w:pPr>
        <w:spacing w:after="0" w:line="42" w:lineRule="exact"/>
        <w:rPr>
          <w:rFonts w:ascii="Arial" w:cs="Arial" w:eastAsia="Arial" w:hAnsi="Arial"/>
          <w:sz w:val="16"/>
          <w:szCs w:val="16"/>
          <w:color w:val="auto"/>
        </w:rPr>
      </w:pPr>
    </w:p>
    <w:p>
      <w:pPr>
        <w:ind w:left="980" w:hanging="324"/>
        <w:spacing w:after="0"/>
        <w:tabs>
          <w:tab w:leader="none" w:pos="9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In making this determination, the compensation for all regular employees hired after January 1, 2022 was annualized.</w:t>
      </w:r>
    </w:p>
    <w:p>
      <w:pPr>
        <w:spacing w:after="0" w:line="14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1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-143510</wp:posOffset>
            </wp:positionV>
            <wp:extent cx="411480" cy="1974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411480" cy="1974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CEO Pay Ratio</w:t>
      </w:r>
    </w:p>
    <w:p>
      <w:pPr>
        <w:spacing w:after="0" w:line="143" w:lineRule="exact"/>
        <w:rPr>
          <w:sz w:val="20"/>
          <w:szCs w:val="20"/>
          <w:color w:val="auto"/>
        </w:rPr>
      </w:pPr>
    </w:p>
    <w:p>
      <w:pPr>
        <w:ind w:left="980" w:right="40" w:hanging="324"/>
        <w:spacing w:after="0" w:line="286" w:lineRule="auto"/>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Compensation for temporary workers, pursuant to SEC rules, was not annualized, but all earnings for the 12-month period were collected and included all assignments that a temporary employee would have been paid for throughout the year.</w:t>
      </w:r>
    </w:p>
    <w:p>
      <w:pPr>
        <w:spacing w:after="0" w:line="20" w:lineRule="exact"/>
        <w:rPr>
          <w:rFonts w:ascii="Arial" w:cs="Arial" w:eastAsia="Arial" w:hAnsi="Arial"/>
          <w:sz w:val="16"/>
          <w:szCs w:val="16"/>
          <w:color w:val="auto"/>
        </w:rPr>
      </w:pPr>
    </w:p>
    <w:p>
      <w:pPr>
        <w:ind w:left="980" w:hanging="324"/>
        <w:spacing w:after="0"/>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We did not utilize either the Data Privacy Exemption or the De Minimis Exemption.</w:t>
      </w:r>
    </w:p>
    <w:p>
      <w:pPr>
        <w:spacing w:after="0" w:line="126" w:lineRule="exact"/>
        <w:rPr>
          <w:rFonts w:ascii="Arial" w:cs="Arial" w:eastAsia="Arial" w:hAnsi="Arial"/>
          <w:sz w:val="16"/>
          <w:szCs w:val="16"/>
          <w:color w:val="auto"/>
        </w:rPr>
      </w:pPr>
    </w:p>
    <w:p>
      <w:pPr>
        <w:ind w:left="980" w:hanging="324"/>
        <w:spacing w:after="0"/>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We did not make any cost-of-living adjustments in identifying the median employee.</w:t>
      </w:r>
    </w:p>
    <w:p>
      <w:pPr>
        <w:spacing w:after="0" w:line="86" w:lineRule="exact"/>
        <w:rPr>
          <w:rFonts w:ascii="Arial" w:cs="Arial" w:eastAsia="Arial" w:hAnsi="Arial"/>
          <w:sz w:val="16"/>
          <w:szCs w:val="16"/>
          <w:color w:val="auto"/>
        </w:rPr>
      </w:pPr>
    </w:p>
    <w:p>
      <w:pPr>
        <w:ind w:left="980" w:right="220" w:hanging="324"/>
        <w:spacing w:after="0" w:line="286" w:lineRule="auto"/>
        <w:tabs>
          <w:tab w:leader="none" w:pos="9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For purposes of making the determination, employee compensation from locations outside the U.S. was converted to U.S. dollars using the Company’s exchange rates in effect on January 1, 2022, consistent with our current financial reporting.</w:t>
      </w:r>
    </w:p>
    <w:p>
      <w:pPr>
        <w:spacing w:after="0" w:line="156"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auto"/>
        </w:rPr>
        <w:t>Using this methodology, we determined that our median employee was a temporary employee located in the U.S. with base salary and overtime earnings in the amount of $8,700. This temporary employee worked approximately twenty weeks during 2022. Our median employee did not receive any other compensation or benefits required under Item 402(u) to be included in the employee’s annual total compensation.</w:t>
      </w:r>
    </w:p>
    <w:p>
      <w:pPr>
        <w:spacing w:after="0" w:line="91" w:lineRule="exact"/>
        <w:rPr>
          <w:sz w:val="20"/>
          <w:szCs w:val="20"/>
          <w:color w:val="auto"/>
        </w:rPr>
      </w:pPr>
    </w:p>
    <w:p>
      <w:pPr>
        <w:ind w:left="10820"/>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1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-143510</wp:posOffset>
            </wp:positionV>
            <wp:extent cx="411480" cy="19748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11480" cy="1974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Pay vs. Performance</w:t>
      </w:r>
    </w:p>
    <w:p>
      <w:pPr>
        <w:spacing w:after="0" w:line="220" w:lineRule="exact"/>
        <w:rPr>
          <w:sz w:val="20"/>
          <w:szCs w:val="20"/>
          <w:color w:val="auto"/>
        </w:rPr>
      </w:pPr>
    </w:p>
    <w:p>
      <w:pPr>
        <w:ind w:left="120" w:right="220"/>
        <w:spacing w:after="0" w:line="256" w:lineRule="auto"/>
        <w:rPr>
          <w:sz w:val="20"/>
          <w:szCs w:val="20"/>
          <w:color w:val="auto"/>
        </w:rPr>
      </w:pPr>
      <w:r>
        <w:rPr>
          <w:rFonts w:ascii="Arial" w:cs="Arial" w:eastAsia="Arial" w:hAnsi="Arial"/>
          <w:sz w:val="16"/>
          <w:szCs w:val="16"/>
          <w:color w:val="auto"/>
        </w:rPr>
        <w:t>The following table sets forth the compensation for our Chief Executive Officer (“CEO”) and the average compensation for our other non-CEO named executive officers (“NEOs”), both as reported in the Summary Compensation Table (“SCT”) and with certain adjustments to reflect the compensation actually paid (“CAP”) to such individuals, as defined under SEC rules, for the years 2022, 2021, and 2020. The table also provides information on our cumulative total shareholder return (“TSR”) for both our Class A and Class B Common Stock; the cumulative TSR of our peer group; Net Earnings; and the Company-Selected Measure (“CSM”), Non-GAAP Adjusted Earnings from Operations (“EFO”), over such years in accordance with SEC rules.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Pay vs. Performance Table</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0" w:type="dxa"/>
            <w:vAlign w:val="bottom"/>
            <w:gridSpan w:val="3"/>
          </w:tcPr>
          <w:p>
            <w:pPr>
              <w:jc w:val="center"/>
              <w:ind w:left="28"/>
              <w:spacing w:after="0"/>
              <w:rPr>
                <w:sz w:val="20"/>
                <w:szCs w:val="20"/>
                <w:color w:val="auto"/>
              </w:rPr>
            </w:pPr>
            <w:r>
              <w:rPr>
                <w:rFonts w:ascii="Arial" w:cs="Arial" w:eastAsia="Arial" w:hAnsi="Arial"/>
                <w:sz w:val="14"/>
                <w:szCs w:val="14"/>
                <w:b w:val="1"/>
                <w:bCs w:val="1"/>
                <w:color w:val="00AF41"/>
              </w:rPr>
              <w:t>Value of Initial Fixed $100 Investment</w:t>
            </w: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tcPr>
          <w:p>
            <w:pPr>
              <w:jc w:val="center"/>
              <w:ind w:left="8"/>
              <w:spacing w:after="0"/>
              <w:rPr>
                <w:sz w:val="20"/>
                <w:szCs w:val="20"/>
                <w:color w:val="auto"/>
              </w:rPr>
            </w:pPr>
            <w:r>
              <w:rPr>
                <w:rFonts w:ascii="Arial" w:cs="Arial" w:eastAsia="Arial" w:hAnsi="Arial"/>
                <w:sz w:val="14"/>
                <w:szCs w:val="14"/>
                <w:b w:val="1"/>
                <w:bCs w:val="1"/>
                <w:color w:val="00AF41"/>
              </w:rPr>
              <w:t>Based On:</w:t>
            </w: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
        </w:trPr>
        <w:tc>
          <w:tcPr>
            <w:tcW w:w="18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00AF41"/>
              </w:rPr>
              <w:t>Average</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00AF41"/>
              </w:rPr>
              <w:t>Average</w:t>
            </w:r>
          </w:p>
        </w:tc>
        <w:tc>
          <w:tcPr>
            <w:tcW w:w="9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18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0AF41"/>
              </w:rPr>
              <w:t>Summary</w:t>
            </w:r>
          </w:p>
        </w:tc>
        <w:tc>
          <w:tcPr>
            <w:tcW w:w="1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0AF41"/>
              </w:rPr>
              <w:t>Summary</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AF41"/>
              </w:rPr>
              <w:t>Compensation</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00AF41"/>
                <w:w w:val="97"/>
              </w:rPr>
              <w:t>Net</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0AF41"/>
              </w:rPr>
              <w:t>Compensation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0AF41"/>
              </w:rPr>
              <w:t>Compensation</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0AF41"/>
              </w:rPr>
              <w:t>Compensation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AF41"/>
              </w:rPr>
              <w:t>Actually Paid to</w:t>
            </w:r>
          </w:p>
        </w:tc>
        <w:tc>
          <w:tcPr>
            <w:tcW w:w="920" w:type="dxa"/>
            <w:vAlign w:val="bottom"/>
          </w:tcPr>
          <w:p>
            <w:pPr>
              <w:spacing w:after="0"/>
              <w:rPr>
                <w:sz w:val="14"/>
                <w:szCs w:val="14"/>
                <w:color w:val="auto"/>
              </w:rPr>
            </w:pPr>
          </w:p>
        </w:tc>
        <w:tc>
          <w:tcPr>
            <w:tcW w:w="9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00AF41"/>
              </w:rPr>
              <w:t>TSR</w:t>
            </w:r>
          </w:p>
        </w:tc>
        <w:tc>
          <w:tcPr>
            <w:tcW w:w="9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00AF41"/>
              </w:rPr>
              <w:t>Earnings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00AF41"/>
              </w:rPr>
              <w:t>Table Total to</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00AF41"/>
              </w:rPr>
              <w:t>Actually Paid</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00AF41"/>
              </w:rPr>
              <w:t>Table Total for</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00AF41"/>
              </w:rPr>
              <w:t>Non-CEO</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00AF41"/>
                <w:w w:val="99"/>
              </w:rPr>
              <w:t>TSR</w:t>
            </w:r>
          </w:p>
        </w:tc>
        <w:tc>
          <w:tcPr>
            <w:tcW w:w="96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00AF41"/>
              </w:rPr>
              <w:t>(Loss) in</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00AF41"/>
              </w:rPr>
              <w:t>CSM: EFO in</w:t>
            </w:r>
          </w:p>
        </w:tc>
        <w:tc>
          <w:tcPr>
            <w:tcW w:w="0" w:type="dxa"/>
            <w:vAlign w:val="bottom"/>
          </w:tcPr>
          <w:p>
            <w:pPr>
              <w:spacing w:after="0"/>
              <w:rPr>
                <w:sz w:val="1"/>
                <w:szCs w:val="1"/>
                <w:color w:val="auto"/>
              </w:rPr>
            </w:pPr>
          </w:p>
        </w:tc>
      </w:tr>
      <w:tr>
        <w:trPr>
          <w:trHeight w:val="162"/>
        </w:trPr>
        <w:tc>
          <w:tcPr>
            <w:tcW w:w="1860" w:type="dxa"/>
            <w:vAlign w:val="bottom"/>
          </w:tcPr>
          <w:p>
            <w:pPr>
              <w:jc w:val="right"/>
              <w:ind w:right="708"/>
              <w:spacing w:after="0"/>
              <w:rPr>
                <w:sz w:val="20"/>
                <w:szCs w:val="20"/>
                <w:color w:val="auto"/>
              </w:rPr>
            </w:pPr>
            <w:r>
              <w:rPr>
                <w:rFonts w:ascii="Arial" w:cs="Arial" w:eastAsia="Arial" w:hAnsi="Arial"/>
                <w:sz w:val="14"/>
                <w:szCs w:val="14"/>
                <w:b w:val="1"/>
                <w:bCs w:val="1"/>
                <w:color w:val="00AF41"/>
              </w:rPr>
              <w:t>Year</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0AF41"/>
                <w:w w:val="98"/>
              </w:rPr>
              <w:t>CEO</w:t>
            </w:r>
          </w:p>
        </w:tc>
        <w:tc>
          <w:tcPr>
            <w:tcW w:w="1120" w:type="dxa"/>
            <w:vAlign w:val="bottom"/>
          </w:tcPr>
          <w:p>
            <w:pPr>
              <w:jc w:val="center"/>
              <w:spacing w:after="0" w:line="162" w:lineRule="exact"/>
              <w:rPr>
                <w:sz w:val="20"/>
                <w:szCs w:val="20"/>
                <w:color w:val="auto"/>
              </w:rPr>
            </w:pPr>
            <w:r>
              <w:rPr>
                <w:rFonts w:ascii="Arial" w:cs="Arial" w:eastAsia="Arial" w:hAnsi="Arial"/>
                <w:sz w:val="18"/>
                <w:szCs w:val="18"/>
                <w:b w:val="1"/>
                <w:bCs w:val="1"/>
                <w:color w:val="00AF41"/>
                <w:vertAlign w:val="subscript"/>
              </w:rPr>
              <w:t>CEO</w:t>
            </w:r>
            <w:r>
              <w:rPr>
                <w:rFonts w:ascii="Arial" w:cs="Arial" w:eastAsia="Arial" w:hAnsi="Arial"/>
                <w:sz w:val="7"/>
                <w:szCs w:val="7"/>
                <w:b w:val="1"/>
                <w:bCs w:val="1"/>
                <w:color w:val="00AF41"/>
              </w:rPr>
              <w:t>(1)(2)</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0AF41"/>
              </w:rPr>
              <w:t>Non-CEO NEOs</w:t>
            </w:r>
          </w:p>
        </w:tc>
        <w:tc>
          <w:tcPr>
            <w:tcW w:w="1140" w:type="dxa"/>
            <w:vAlign w:val="bottom"/>
          </w:tcPr>
          <w:p>
            <w:pPr>
              <w:jc w:val="center"/>
              <w:spacing w:after="0" w:line="162" w:lineRule="exact"/>
              <w:rPr>
                <w:sz w:val="20"/>
                <w:szCs w:val="20"/>
                <w:color w:val="auto"/>
              </w:rPr>
            </w:pPr>
            <w:r>
              <w:rPr>
                <w:rFonts w:ascii="Arial" w:cs="Arial" w:eastAsia="Arial" w:hAnsi="Arial"/>
                <w:sz w:val="18"/>
                <w:szCs w:val="18"/>
                <w:b w:val="1"/>
                <w:bCs w:val="1"/>
                <w:color w:val="00AF41"/>
                <w:vertAlign w:val="subscript"/>
              </w:rPr>
              <w:t>NEOs</w:t>
            </w:r>
            <w:r>
              <w:rPr>
                <w:rFonts w:ascii="Arial" w:cs="Arial" w:eastAsia="Arial" w:hAnsi="Arial"/>
                <w:sz w:val="7"/>
                <w:szCs w:val="7"/>
                <w:b w:val="1"/>
                <w:bCs w:val="1"/>
                <w:color w:val="00AF41"/>
              </w:rPr>
              <w:t>(1)(2)</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00AF41"/>
              </w:rPr>
              <w:t>(Class A)</w:t>
            </w:r>
          </w:p>
        </w:tc>
        <w:tc>
          <w:tcPr>
            <w:tcW w:w="960" w:type="dxa"/>
            <w:vAlign w:val="bottom"/>
          </w:tcPr>
          <w:p>
            <w:pPr>
              <w:jc w:val="center"/>
              <w:ind w:right="28"/>
              <w:spacing w:after="0"/>
              <w:rPr>
                <w:sz w:val="20"/>
                <w:szCs w:val="20"/>
                <w:color w:val="auto"/>
              </w:rPr>
            </w:pPr>
            <w:r>
              <w:rPr>
                <w:rFonts w:ascii="Arial" w:cs="Arial" w:eastAsia="Arial" w:hAnsi="Arial"/>
                <w:sz w:val="14"/>
                <w:szCs w:val="14"/>
                <w:b w:val="1"/>
                <w:bCs w:val="1"/>
                <w:color w:val="00AF41"/>
              </w:rPr>
              <w:t>(Class B)</w:t>
            </w:r>
          </w:p>
        </w:tc>
        <w:tc>
          <w:tcPr>
            <w:tcW w:w="920" w:type="dxa"/>
            <w:vAlign w:val="bottom"/>
          </w:tcPr>
          <w:p>
            <w:pPr>
              <w:jc w:val="center"/>
              <w:spacing w:after="0" w:line="162" w:lineRule="exact"/>
              <w:rPr>
                <w:sz w:val="20"/>
                <w:szCs w:val="20"/>
                <w:color w:val="auto"/>
              </w:rPr>
            </w:pPr>
            <w:r>
              <w:rPr>
                <w:rFonts w:ascii="Arial" w:cs="Arial" w:eastAsia="Arial" w:hAnsi="Arial"/>
                <w:sz w:val="14"/>
                <w:szCs w:val="14"/>
                <w:b w:val="1"/>
                <w:bCs w:val="1"/>
                <w:color w:val="00AF41"/>
                <w:w w:val="99"/>
              </w:rPr>
              <w:t>Peer TSR</w:t>
            </w:r>
            <w:r>
              <w:rPr>
                <w:rFonts w:ascii="Arial" w:cs="Arial" w:eastAsia="Arial" w:hAnsi="Arial"/>
                <w:sz w:val="17"/>
                <w:szCs w:val="17"/>
                <w:b w:val="1"/>
                <w:bCs w:val="1"/>
                <w:color w:val="00AF41"/>
                <w:w w:val="99"/>
                <w:vertAlign w:val="superscript"/>
              </w:rPr>
              <w:t>(3)</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00AF41"/>
              </w:rPr>
              <w:t>millions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AF41"/>
              </w:rPr>
              <w:t>millions(4)</w:t>
            </w:r>
          </w:p>
        </w:tc>
        <w:tc>
          <w:tcPr>
            <w:tcW w:w="0" w:type="dxa"/>
            <w:vAlign w:val="bottom"/>
          </w:tcPr>
          <w:p>
            <w:pPr>
              <w:spacing w:after="0"/>
              <w:rPr>
                <w:sz w:val="1"/>
                <w:szCs w:val="1"/>
                <w:color w:val="auto"/>
              </w:rPr>
            </w:pPr>
          </w:p>
        </w:tc>
      </w:tr>
      <w:tr>
        <w:trPr>
          <w:trHeight w:val="210"/>
        </w:trPr>
        <w:tc>
          <w:tcPr>
            <w:tcW w:w="1860" w:type="dxa"/>
            <w:vAlign w:val="bottom"/>
          </w:tcPr>
          <w:p>
            <w:pPr>
              <w:jc w:val="right"/>
              <w:ind w:right="768"/>
              <w:spacing w:after="0"/>
              <w:rPr>
                <w:sz w:val="20"/>
                <w:szCs w:val="20"/>
                <w:color w:val="auto"/>
              </w:rPr>
            </w:pPr>
            <w:r>
              <w:rPr>
                <w:rFonts w:ascii="Arial" w:cs="Arial" w:eastAsia="Arial" w:hAnsi="Arial"/>
                <w:sz w:val="14"/>
                <w:szCs w:val="14"/>
                <w:b w:val="1"/>
                <w:bCs w:val="1"/>
                <w:color w:val="00AF41"/>
              </w:rPr>
              <w:t>(a)</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0AF41"/>
              </w:rPr>
              <w:t>(b)</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0AF41"/>
              </w:rPr>
              <w:t>(c)</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0AF41"/>
              </w:rPr>
              <w:t>(d)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AF41"/>
              </w:rPr>
              <w:t>(e)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00AF41"/>
                <w:w w:val="99"/>
              </w:rPr>
              <w:t>(f)</w:t>
            </w:r>
          </w:p>
        </w:tc>
        <w:tc>
          <w:tcPr>
            <w:tcW w:w="960" w:type="dxa"/>
            <w:vAlign w:val="bottom"/>
          </w:tcPr>
          <w:p>
            <w:pPr>
              <w:jc w:val="center"/>
              <w:ind w:right="28"/>
              <w:spacing w:after="0"/>
              <w:rPr>
                <w:sz w:val="20"/>
                <w:szCs w:val="20"/>
                <w:color w:val="auto"/>
              </w:rPr>
            </w:pPr>
            <w:r>
              <w:rPr>
                <w:rFonts w:ascii="Arial" w:cs="Arial" w:eastAsia="Arial" w:hAnsi="Arial"/>
                <w:sz w:val="14"/>
                <w:szCs w:val="14"/>
                <w:b w:val="1"/>
                <w:bCs w:val="1"/>
                <w:color w:val="00AF41"/>
              </w:rPr>
              <w:t>(g)</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00AF41"/>
              </w:rPr>
              <w:t>(h)</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00AF41"/>
              </w:rPr>
              <w:t>(i)</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00AF41"/>
                <w:w w:val="90"/>
              </w:rPr>
              <w:t>(j)</w:t>
            </w:r>
          </w:p>
        </w:tc>
        <w:tc>
          <w:tcPr>
            <w:tcW w:w="0" w:type="dxa"/>
            <w:vAlign w:val="bottom"/>
          </w:tcPr>
          <w:p>
            <w:pPr>
              <w:spacing w:after="0"/>
              <w:rPr>
                <w:sz w:val="1"/>
                <w:szCs w:val="1"/>
                <w:color w:val="auto"/>
              </w:rPr>
            </w:pPr>
          </w:p>
        </w:tc>
      </w:tr>
      <w:tr>
        <w:trPr>
          <w:trHeight w:val="43"/>
        </w:trPr>
        <w:tc>
          <w:tcPr>
            <w:tcW w:w="18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1860" w:type="dxa"/>
            <w:vAlign w:val="bottom"/>
            <w:tcBorders>
              <w:bottom w:val="single" w:sz="8" w:color="EDEDED"/>
            </w:tcBorders>
            <w:shd w:val="clear" w:color="auto" w:fill="EDEDED"/>
          </w:tcPr>
          <w:p>
            <w:pPr>
              <w:jc w:val="right"/>
              <w:ind w:right="668"/>
              <w:spacing w:after="0"/>
              <w:rPr>
                <w:sz w:val="20"/>
                <w:szCs w:val="20"/>
                <w:color w:val="auto"/>
              </w:rPr>
            </w:pPr>
            <w:r>
              <w:rPr>
                <w:rFonts w:ascii="Arial" w:cs="Arial" w:eastAsia="Arial" w:hAnsi="Arial"/>
                <w:sz w:val="14"/>
                <w:szCs w:val="14"/>
                <w:color w:val="auto"/>
              </w:rPr>
              <w:t>2022</w:t>
            </w:r>
          </w:p>
        </w:tc>
        <w:tc>
          <w:tcPr>
            <w:tcW w:w="118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$3,535,281</w:t>
            </w:r>
          </w:p>
        </w:tc>
        <w:tc>
          <w:tcPr>
            <w:tcW w:w="11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$2,762,629</w:t>
            </w:r>
          </w:p>
        </w:tc>
        <w:tc>
          <w:tcPr>
            <w:tcW w:w="118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$1,331,744</w:t>
            </w:r>
          </w:p>
        </w:tc>
        <w:tc>
          <w:tcPr>
            <w:tcW w:w="114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$1,150,597</w:t>
            </w:r>
          </w:p>
        </w:tc>
        <w:tc>
          <w:tcPr>
            <w:tcW w:w="9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$76.65</w:t>
            </w:r>
          </w:p>
        </w:tc>
        <w:tc>
          <w:tcPr>
            <w:tcW w:w="960" w:type="dxa"/>
            <w:vAlign w:val="bottom"/>
            <w:tcBorders>
              <w:bottom w:val="single" w:sz="8" w:color="EDEDED"/>
            </w:tcBorders>
            <w:shd w:val="clear" w:color="auto" w:fill="EDEDED"/>
          </w:tcPr>
          <w:p>
            <w:pPr>
              <w:jc w:val="center"/>
              <w:ind w:right="8"/>
              <w:spacing w:after="0"/>
              <w:rPr>
                <w:sz w:val="20"/>
                <w:szCs w:val="20"/>
                <w:color w:val="auto"/>
              </w:rPr>
            </w:pPr>
            <w:r>
              <w:rPr>
                <w:rFonts w:ascii="Arial" w:cs="Arial" w:eastAsia="Arial" w:hAnsi="Arial"/>
                <w:sz w:val="14"/>
                <w:szCs w:val="14"/>
                <w:color w:val="auto"/>
              </w:rPr>
              <w:t>$81.19</w:t>
            </w:r>
          </w:p>
        </w:tc>
        <w:tc>
          <w:tcPr>
            <w:tcW w:w="9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$113.87</w:t>
            </w:r>
          </w:p>
        </w:tc>
        <w:tc>
          <w:tcPr>
            <w:tcW w:w="78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($62.5)</w:t>
            </w:r>
          </w:p>
        </w:tc>
        <w:tc>
          <w:tcPr>
            <w:tcW w:w="96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$68.3</w:t>
            </w:r>
          </w:p>
        </w:tc>
        <w:tc>
          <w:tcPr>
            <w:tcW w:w="0" w:type="dxa"/>
            <w:vAlign w:val="bottom"/>
          </w:tcPr>
          <w:p>
            <w:pPr>
              <w:spacing w:after="0"/>
              <w:rPr>
                <w:sz w:val="1"/>
                <w:szCs w:val="1"/>
                <w:color w:val="auto"/>
              </w:rPr>
            </w:pPr>
          </w:p>
        </w:tc>
      </w:tr>
      <w:tr>
        <w:trPr>
          <w:trHeight w:val="248"/>
        </w:trPr>
        <w:tc>
          <w:tcPr>
            <w:tcW w:w="1860" w:type="dxa"/>
            <w:vAlign w:val="bottom"/>
          </w:tcPr>
          <w:p>
            <w:pPr>
              <w:jc w:val="right"/>
              <w:ind w:right="668"/>
              <w:spacing w:after="0"/>
              <w:rPr>
                <w:sz w:val="20"/>
                <w:szCs w:val="20"/>
                <w:color w:val="auto"/>
              </w:rPr>
            </w:pPr>
            <w:r>
              <w:rPr>
                <w:rFonts w:ascii="Arial" w:cs="Arial" w:eastAsia="Arial" w:hAnsi="Arial"/>
                <w:sz w:val="14"/>
                <w:szCs w:val="14"/>
                <w:color w:val="auto"/>
              </w:rPr>
              <w:t>2021</w:t>
            </w:r>
          </w:p>
        </w:tc>
        <w:tc>
          <w:tcPr>
            <w:tcW w:w="1180" w:type="dxa"/>
            <w:vAlign w:val="bottom"/>
          </w:tcPr>
          <w:p>
            <w:pPr>
              <w:jc w:val="center"/>
              <w:spacing w:after="0"/>
              <w:rPr>
                <w:sz w:val="20"/>
                <w:szCs w:val="20"/>
                <w:color w:val="auto"/>
              </w:rPr>
            </w:pPr>
            <w:r>
              <w:rPr>
                <w:rFonts w:ascii="Arial" w:cs="Arial" w:eastAsia="Arial" w:hAnsi="Arial"/>
                <w:sz w:val="14"/>
                <w:szCs w:val="14"/>
                <w:color w:val="auto"/>
              </w:rPr>
              <w:t>$3,938,608</w:t>
            </w:r>
          </w:p>
        </w:tc>
        <w:tc>
          <w:tcPr>
            <w:tcW w:w="1120" w:type="dxa"/>
            <w:vAlign w:val="bottom"/>
          </w:tcPr>
          <w:p>
            <w:pPr>
              <w:jc w:val="center"/>
              <w:spacing w:after="0"/>
              <w:rPr>
                <w:sz w:val="20"/>
                <w:szCs w:val="20"/>
                <w:color w:val="auto"/>
              </w:rPr>
            </w:pPr>
            <w:r>
              <w:rPr>
                <w:rFonts w:ascii="Arial" w:cs="Arial" w:eastAsia="Arial" w:hAnsi="Arial"/>
                <w:sz w:val="14"/>
                <w:szCs w:val="14"/>
                <w:color w:val="auto"/>
              </w:rPr>
              <w:t>$2,864,364</w:t>
            </w:r>
          </w:p>
        </w:tc>
        <w:tc>
          <w:tcPr>
            <w:tcW w:w="1180" w:type="dxa"/>
            <w:vAlign w:val="bottom"/>
          </w:tcPr>
          <w:p>
            <w:pPr>
              <w:jc w:val="center"/>
              <w:spacing w:after="0"/>
              <w:rPr>
                <w:sz w:val="20"/>
                <w:szCs w:val="20"/>
                <w:color w:val="auto"/>
              </w:rPr>
            </w:pPr>
            <w:r>
              <w:rPr>
                <w:rFonts w:ascii="Arial" w:cs="Arial" w:eastAsia="Arial" w:hAnsi="Arial"/>
                <w:sz w:val="14"/>
                <w:szCs w:val="14"/>
                <w:color w:val="auto"/>
              </w:rPr>
              <w:t>$1,640,264</w:t>
            </w:r>
          </w:p>
        </w:tc>
        <w:tc>
          <w:tcPr>
            <w:tcW w:w="1140" w:type="dxa"/>
            <w:vAlign w:val="bottom"/>
          </w:tcPr>
          <w:p>
            <w:pPr>
              <w:jc w:val="center"/>
              <w:spacing w:after="0"/>
              <w:rPr>
                <w:sz w:val="20"/>
                <w:szCs w:val="20"/>
                <w:color w:val="auto"/>
              </w:rPr>
            </w:pPr>
            <w:r>
              <w:rPr>
                <w:rFonts w:ascii="Arial" w:cs="Arial" w:eastAsia="Arial" w:hAnsi="Arial"/>
                <w:sz w:val="14"/>
                <w:szCs w:val="14"/>
                <w:color w:val="auto"/>
              </w:rPr>
              <w:t>$1,362,908</w:t>
            </w:r>
          </w:p>
        </w:tc>
        <w:tc>
          <w:tcPr>
            <w:tcW w:w="920" w:type="dxa"/>
            <w:vAlign w:val="bottom"/>
          </w:tcPr>
          <w:p>
            <w:pPr>
              <w:jc w:val="center"/>
              <w:spacing w:after="0"/>
              <w:rPr>
                <w:sz w:val="20"/>
                <w:szCs w:val="20"/>
                <w:color w:val="auto"/>
              </w:rPr>
            </w:pPr>
            <w:r>
              <w:rPr>
                <w:rFonts w:ascii="Arial" w:cs="Arial" w:eastAsia="Arial" w:hAnsi="Arial"/>
                <w:sz w:val="14"/>
                <w:szCs w:val="14"/>
                <w:color w:val="auto"/>
              </w:rPr>
              <w:t>$74.94</w:t>
            </w:r>
          </w:p>
        </w:tc>
        <w:tc>
          <w:tcPr>
            <w:tcW w:w="960" w:type="dxa"/>
            <w:vAlign w:val="bottom"/>
          </w:tcPr>
          <w:p>
            <w:pPr>
              <w:jc w:val="center"/>
              <w:ind w:right="8"/>
              <w:spacing w:after="0"/>
              <w:rPr>
                <w:sz w:val="20"/>
                <w:szCs w:val="20"/>
                <w:color w:val="auto"/>
              </w:rPr>
            </w:pPr>
            <w:r>
              <w:rPr>
                <w:rFonts w:ascii="Arial" w:cs="Arial" w:eastAsia="Arial" w:hAnsi="Arial"/>
                <w:sz w:val="14"/>
                <w:szCs w:val="14"/>
                <w:color w:val="auto"/>
              </w:rPr>
              <w:t>$78.78</w:t>
            </w:r>
          </w:p>
        </w:tc>
        <w:tc>
          <w:tcPr>
            <w:tcW w:w="920" w:type="dxa"/>
            <w:vAlign w:val="bottom"/>
          </w:tcPr>
          <w:p>
            <w:pPr>
              <w:jc w:val="center"/>
              <w:spacing w:after="0"/>
              <w:rPr>
                <w:sz w:val="20"/>
                <w:szCs w:val="20"/>
                <w:color w:val="auto"/>
              </w:rPr>
            </w:pPr>
            <w:r>
              <w:rPr>
                <w:rFonts w:ascii="Arial" w:cs="Arial" w:eastAsia="Arial" w:hAnsi="Arial"/>
                <w:sz w:val="14"/>
                <w:szCs w:val="14"/>
                <w:color w:val="auto"/>
              </w:rPr>
              <w:t>$152.43</w:t>
            </w:r>
          </w:p>
        </w:tc>
        <w:tc>
          <w:tcPr>
            <w:tcW w:w="780" w:type="dxa"/>
            <w:vAlign w:val="bottom"/>
          </w:tcPr>
          <w:p>
            <w:pPr>
              <w:jc w:val="center"/>
              <w:spacing w:after="0"/>
              <w:rPr>
                <w:sz w:val="20"/>
                <w:szCs w:val="20"/>
                <w:color w:val="auto"/>
              </w:rPr>
            </w:pPr>
            <w:r>
              <w:rPr>
                <w:rFonts w:ascii="Arial" w:cs="Arial" w:eastAsia="Arial" w:hAnsi="Arial"/>
                <w:sz w:val="14"/>
                <w:szCs w:val="14"/>
                <w:color w:val="auto"/>
              </w:rPr>
              <w:t>$156.1</w:t>
            </w:r>
          </w:p>
        </w:tc>
        <w:tc>
          <w:tcPr>
            <w:tcW w:w="960" w:type="dxa"/>
            <w:vAlign w:val="bottom"/>
          </w:tcPr>
          <w:p>
            <w:pPr>
              <w:jc w:val="center"/>
              <w:spacing w:after="0"/>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48"/>
        </w:trPr>
        <w:tc>
          <w:tcPr>
            <w:tcW w:w="18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9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860" w:type="dxa"/>
            <w:vAlign w:val="bottom"/>
            <w:tcBorders>
              <w:bottom w:val="single" w:sz="8" w:color="EDEDED"/>
            </w:tcBorders>
            <w:shd w:val="clear" w:color="auto" w:fill="EDEDED"/>
          </w:tcPr>
          <w:p>
            <w:pPr>
              <w:jc w:val="right"/>
              <w:ind w:right="668"/>
              <w:spacing w:after="0"/>
              <w:rPr>
                <w:sz w:val="20"/>
                <w:szCs w:val="20"/>
                <w:color w:val="auto"/>
              </w:rPr>
            </w:pPr>
            <w:r>
              <w:rPr>
                <w:rFonts w:ascii="Arial" w:cs="Arial" w:eastAsia="Arial" w:hAnsi="Arial"/>
                <w:sz w:val="14"/>
                <w:szCs w:val="14"/>
                <w:color w:val="auto"/>
              </w:rPr>
              <w:t>2020</w:t>
            </w:r>
          </w:p>
        </w:tc>
        <w:tc>
          <w:tcPr>
            <w:tcW w:w="118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$1,550,693</w:t>
            </w:r>
          </w:p>
        </w:tc>
        <w:tc>
          <w:tcPr>
            <w:tcW w:w="11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$1,334,735</w:t>
            </w:r>
          </w:p>
        </w:tc>
        <w:tc>
          <w:tcPr>
            <w:tcW w:w="118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$786,788</w:t>
            </w:r>
          </w:p>
        </w:tc>
        <w:tc>
          <w:tcPr>
            <w:tcW w:w="114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$827,855</w:t>
            </w:r>
          </w:p>
        </w:tc>
        <w:tc>
          <w:tcPr>
            <w:tcW w:w="9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$91.45</w:t>
            </w:r>
          </w:p>
        </w:tc>
        <w:tc>
          <w:tcPr>
            <w:tcW w:w="960" w:type="dxa"/>
            <w:vAlign w:val="bottom"/>
            <w:tcBorders>
              <w:bottom w:val="single" w:sz="8" w:color="EDEDED"/>
            </w:tcBorders>
            <w:shd w:val="clear" w:color="auto" w:fill="EDEDED"/>
          </w:tcPr>
          <w:p>
            <w:pPr>
              <w:jc w:val="center"/>
              <w:ind w:right="8"/>
              <w:spacing w:after="0"/>
              <w:rPr>
                <w:sz w:val="20"/>
                <w:szCs w:val="20"/>
                <w:color w:val="auto"/>
              </w:rPr>
            </w:pPr>
            <w:r>
              <w:rPr>
                <w:rFonts w:ascii="Arial" w:cs="Arial" w:eastAsia="Arial" w:hAnsi="Arial"/>
                <w:sz w:val="14"/>
                <w:szCs w:val="14"/>
                <w:color w:val="auto"/>
              </w:rPr>
              <w:t>$94.29</w:t>
            </w:r>
          </w:p>
        </w:tc>
        <w:tc>
          <w:tcPr>
            <w:tcW w:w="9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$100.85</w:t>
            </w:r>
          </w:p>
        </w:tc>
        <w:tc>
          <w:tcPr>
            <w:tcW w:w="78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($72.0)</w:t>
            </w:r>
          </w:p>
        </w:tc>
        <w:tc>
          <w:tcPr>
            <w:tcW w:w="96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20"/>
        </w:trPr>
        <w:tc>
          <w:tcPr>
            <w:tcW w:w="18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40" w:right="160" w:hanging="324"/>
        <w:spacing w:after="0" w:line="216" w:lineRule="auto"/>
        <w:tabs>
          <w:tab w:leader="none" w:pos="440" w:val="left"/>
        </w:tabs>
        <w:numPr>
          <w:ilvl w:val="0"/>
          <w:numId w:val="64"/>
        </w:numPr>
        <w:rPr>
          <w:rFonts w:ascii="Arial" w:cs="Arial" w:eastAsia="Arial" w:hAnsi="Arial"/>
          <w:sz w:val="16"/>
          <w:szCs w:val="16"/>
          <w:color w:val="auto"/>
          <w:vertAlign w:val="superscript"/>
        </w:rPr>
      </w:pPr>
      <w:r>
        <w:rPr>
          <w:rFonts w:ascii="Arial" w:cs="Arial" w:eastAsia="Arial" w:hAnsi="Arial"/>
          <w:sz w:val="13"/>
          <w:szCs w:val="13"/>
          <w:color w:val="auto"/>
        </w:rPr>
        <w:t>SEC rules require certain adjustments be made to the Summary Compensation Table totals to determine compensation actually paid as reported in the Pay versus Performance Table. Compensation actually paid, generally, is calculated as Summary Compensation Table total compensation adjusted to include the fair market value of equity awards as of the end of the fiscal year for the applicable year or, if earlier, the vesting date (rather than the grant date). We do not offer pension plan benefits therefore, there was not a change in pension value for any of the years reflective in this table. To calculate CAP, the following amounts were deducted from and added to SCT total compensation: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CEO and Non-CEO NEOs SCT Total for CAP Reconciliation:</w:t>
      </w:r>
    </w:p>
    <w:p>
      <w:pPr>
        <w:spacing w:after="0" w:line="252" w:lineRule="exact"/>
        <w:rPr>
          <w:sz w:val="20"/>
          <w:szCs w:val="20"/>
          <w:color w:val="auto"/>
        </w:rPr>
      </w:pPr>
    </w:p>
    <w:tbl>
      <w:tblPr>
        <w:tblLayout w:type="fixed"/>
        <w:tblInd w:w="4300" w:type="dxa"/>
        <w:tblCellMar>
          <w:top w:w="0" w:type="dxa"/>
          <w:left w:w="0" w:type="dxa"/>
          <w:bottom w:w="0" w:type="dxa"/>
          <w:right w:w="0" w:type="dxa"/>
        </w:tblCellMar>
      </w:tblPr>
      <w:tr>
        <w:trPr>
          <w:trHeight w:val="196"/>
        </w:trPr>
        <w:tc>
          <w:tcPr>
            <w:tcW w:w="840" w:type="dxa"/>
            <w:vAlign w:val="bottom"/>
          </w:tcPr>
          <w:p>
            <w:pPr>
              <w:spacing w:after="0"/>
              <w:rPr>
                <w:sz w:val="17"/>
                <w:szCs w:val="17"/>
                <w:color w:val="auto"/>
              </w:rPr>
            </w:pPr>
          </w:p>
        </w:tc>
        <w:tc>
          <w:tcPr>
            <w:tcW w:w="1340" w:type="dxa"/>
            <w:vAlign w:val="bottom"/>
          </w:tcPr>
          <w:p>
            <w:pPr>
              <w:jc w:val="right"/>
              <w:ind w:right="808"/>
              <w:spacing w:after="0"/>
              <w:rPr>
                <w:sz w:val="20"/>
                <w:szCs w:val="20"/>
                <w:color w:val="auto"/>
              </w:rPr>
            </w:pPr>
            <w:r>
              <w:rPr>
                <w:rFonts w:ascii="Arial" w:cs="Arial" w:eastAsia="Arial" w:hAnsi="Arial"/>
                <w:sz w:val="14"/>
                <w:szCs w:val="14"/>
                <w:b w:val="1"/>
                <w:bCs w:val="1"/>
                <w:color w:val="00AF41"/>
              </w:rPr>
              <w:t>2022</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tcPr>
          <w:p>
            <w:pPr>
              <w:jc w:val="right"/>
              <w:ind w:right="828"/>
              <w:spacing w:after="0"/>
              <w:rPr>
                <w:sz w:val="20"/>
                <w:szCs w:val="20"/>
                <w:color w:val="auto"/>
              </w:rPr>
            </w:pPr>
            <w:r>
              <w:rPr>
                <w:rFonts w:ascii="Arial" w:cs="Arial" w:eastAsia="Arial" w:hAnsi="Arial"/>
                <w:sz w:val="14"/>
                <w:szCs w:val="14"/>
                <w:b w:val="1"/>
                <w:bCs w:val="1"/>
                <w:color w:val="00AF41"/>
              </w:rPr>
              <w:t>2021</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tcPr>
          <w:p>
            <w:pPr>
              <w:jc w:val="right"/>
              <w:ind w:right="788"/>
              <w:spacing w:after="0"/>
              <w:rPr>
                <w:sz w:val="20"/>
                <w:szCs w:val="20"/>
                <w:color w:val="auto"/>
              </w:rPr>
            </w:pPr>
            <w:r>
              <w:rPr>
                <w:rFonts w:ascii="Arial" w:cs="Arial" w:eastAsia="Arial" w:hAnsi="Arial"/>
                <w:sz w:val="14"/>
                <w:szCs w:val="14"/>
                <w:b w:val="1"/>
                <w:bCs w:val="1"/>
                <w:color w:val="00AF41"/>
              </w:rPr>
              <w:t>2020</w:t>
            </w:r>
          </w:p>
        </w:tc>
      </w:tr>
      <w:tr>
        <w:trPr>
          <w:trHeight w:val="43"/>
        </w:trPr>
        <w:tc>
          <w:tcPr>
            <w:tcW w:w="8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90"/>
        </w:trPr>
        <w:tc>
          <w:tcPr>
            <w:tcW w:w="840" w:type="dxa"/>
            <w:vAlign w:val="bottom"/>
          </w:tcPr>
          <w:p>
            <w:pPr>
              <w:ind w:left="380"/>
              <w:spacing w:after="0"/>
              <w:rPr>
                <w:sz w:val="20"/>
                <w:szCs w:val="20"/>
                <w:color w:val="auto"/>
              </w:rPr>
            </w:pPr>
            <w:r>
              <w:rPr>
                <w:rFonts w:ascii="Arial" w:cs="Arial" w:eastAsia="Arial" w:hAnsi="Arial"/>
                <w:sz w:val="14"/>
                <w:szCs w:val="14"/>
                <w:b w:val="1"/>
                <w:bCs w:val="1"/>
                <w:color w:val="00AF41"/>
              </w:rPr>
              <w:t>CEO</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00AF41"/>
              </w:rPr>
              <w:t>Non-CEO NEOs</w:t>
            </w:r>
          </w:p>
        </w:tc>
        <w:tc>
          <w:tcPr>
            <w:tcW w:w="160" w:type="dxa"/>
            <w:vAlign w:val="bottom"/>
          </w:tcPr>
          <w:p>
            <w:pPr>
              <w:spacing w:after="0"/>
              <w:rPr>
                <w:sz w:val="16"/>
                <w:szCs w:val="16"/>
                <w:color w:val="auto"/>
              </w:rPr>
            </w:pPr>
          </w:p>
        </w:tc>
        <w:tc>
          <w:tcPr>
            <w:tcW w:w="840" w:type="dxa"/>
            <w:vAlign w:val="bottom"/>
          </w:tcPr>
          <w:p>
            <w:pPr>
              <w:ind w:left="380"/>
              <w:spacing w:after="0"/>
              <w:rPr>
                <w:sz w:val="20"/>
                <w:szCs w:val="20"/>
                <w:color w:val="auto"/>
              </w:rPr>
            </w:pPr>
            <w:r>
              <w:rPr>
                <w:rFonts w:ascii="Arial" w:cs="Arial" w:eastAsia="Arial" w:hAnsi="Arial"/>
                <w:sz w:val="14"/>
                <w:szCs w:val="14"/>
                <w:b w:val="1"/>
                <w:bCs w:val="1"/>
                <w:color w:val="00AF41"/>
              </w:rPr>
              <w:t>CEO</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00AF41"/>
              </w:rPr>
              <w:t>Non-CEO NEOs</w:t>
            </w:r>
          </w:p>
        </w:tc>
        <w:tc>
          <w:tcPr>
            <w:tcW w:w="14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Arial" w:cs="Arial" w:eastAsia="Arial" w:hAnsi="Arial"/>
                <w:sz w:val="14"/>
                <w:szCs w:val="14"/>
                <w:b w:val="1"/>
                <w:bCs w:val="1"/>
                <w:color w:val="00AF41"/>
              </w:rPr>
              <w:t>CEO</w:t>
            </w:r>
          </w:p>
        </w:tc>
        <w:tc>
          <w:tcPr>
            <w:tcW w:w="1340" w:type="dxa"/>
            <w:vAlign w:val="bottom"/>
          </w:tcPr>
          <w:p>
            <w:pPr>
              <w:jc w:val="right"/>
              <w:spacing w:after="0"/>
              <w:rPr>
                <w:sz w:val="20"/>
                <w:szCs w:val="20"/>
                <w:color w:val="auto"/>
              </w:rPr>
            </w:pPr>
            <w:r>
              <w:rPr>
                <w:rFonts w:ascii="Arial" w:cs="Arial" w:eastAsia="Arial" w:hAnsi="Arial"/>
                <w:sz w:val="14"/>
                <w:szCs w:val="14"/>
                <w:b w:val="1"/>
                <w:bCs w:val="1"/>
                <w:color w:val="00AF41"/>
              </w:rPr>
              <w:t>Non-CEO NEOs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20955</wp:posOffset>
            </wp:positionV>
            <wp:extent cx="4046220" cy="26543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046220" cy="26543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5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Summary Compensation Table</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w:t>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Summary Compensation Table</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2657475" cy="29146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657475" cy="291465"/>
                    </a:xfrm>
                    <a:prstGeom prst="rect">
                      <a:avLst/>
                    </a:prstGeom>
                    <a:noFill/>
                  </pic:spPr>
                </pic:pic>
              </a:graphicData>
            </a:graphic>
          </wp:anchor>
        </w:drawing>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FYE value of unvested awards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granted during current year</w:t>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Change in value of unvested</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awards from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2657475" cy="39433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657475" cy="394335"/>
                    </a:xfrm>
                    <a:prstGeom prst="rect">
                      <a:avLst/>
                    </a:prstGeom>
                    <a:noFill/>
                  </pic:spPr>
                </pic:pic>
              </a:graphicData>
            </a:graphic>
          </wp:anchor>
        </w:drawing>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Change in value of awards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vesting during current year</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from the prior years</w:t>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Prior FYE value for awards not</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meeting performance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2657475" cy="29146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657475" cy="291465"/>
                    </a:xfrm>
                    <a:prstGeom prst="rect">
                      <a:avLst/>
                    </a:prstGeom>
                    <a:noFill/>
                  </pic:spPr>
                </pic:pic>
              </a:graphicData>
            </a:graphic>
          </wp:anchor>
        </w:drawing>
      </w:r>
    </w:p>
    <w:p>
      <w:pPr>
        <w:spacing w:after="0" w:line="10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Dividends accrued on unvested</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stock awards</w:t>
      </w:r>
    </w:p>
    <w:p>
      <w:pPr>
        <w:spacing w:after="0" w:line="12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Compensation Actually Paid</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98"/>
        </w:trPr>
        <w:tc>
          <w:tcPr>
            <w:tcW w:w="11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$3,535,281</w:t>
            </w:r>
          </w:p>
        </w:tc>
        <w:tc>
          <w:tcPr>
            <w:tcW w:w="1240" w:type="dxa"/>
            <w:vAlign w:val="bottom"/>
            <w:tcBorders>
              <w:bottom w:val="single" w:sz="8" w:color="EDEDED"/>
            </w:tcBorders>
            <w:shd w:val="clear" w:color="auto" w:fill="EDEDED"/>
          </w:tcPr>
          <w:p>
            <w:pPr>
              <w:jc w:val="center"/>
              <w:ind w:right="128"/>
              <w:spacing w:after="0"/>
              <w:rPr>
                <w:sz w:val="20"/>
                <w:szCs w:val="20"/>
                <w:color w:val="auto"/>
              </w:rPr>
            </w:pPr>
            <w:r>
              <w:rPr>
                <w:rFonts w:ascii="Arial" w:cs="Arial" w:eastAsia="Arial" w:hAnsi="Arial"/>
                <w:sz w:val="14"/>
                <w:szCs w:val="14"/>
                <w:color w:val="auto"/>
              </w:rPr>
              <w:t>$1,331,744</w:t>
            </w:r>
          </w:p>
        </w:tc>
        <w:tc>
          <w:tcPr>
            <w:tcW w:w="11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$3,938,608</w:t>
            </w:r>
          </w:p>
        </w:tc>
        <w:tc>
          <w:tcPr>
            <w:tcW w:w="1170" w:type="dxa"/>
            <w:vAlign w:val="bottom"/>
            <w:tcBorders>
              <w:bottom w:val="single" w:sz="8" w:color="EDEDED"/>
            </w:tcBorders>
            <w:shd w:val="clear" w:color="auto" w:fill="EDEDED"/>
          </w:tcPr>
          <w:p>
            <w:pPr>
              <w:jc w:val="center"/>
              <w:ind w:right="58"/>
              <w:spacing w:after="0"/>
              <w:rPr>
                <w:sz w:val="20"/>
                <w:szCs w:val="20"/>
                <w:color w:val="auto"/>
              </w:rPr>
            </w:pPr>
            <w:r>
              <w:rPr>
                <w:rFonts w:ascii="Arial" w:cs="Arial" w:eastAsia="Arial" w:hAnsi="Arial"/>
                <w:sz w:val="14"/>
                <w:szCs w:val="14"/>
                <w:color w:val="auto"/>
              </w:rPr>
              <w:t>$1,640,264</w:t>
            </w:r>
          </w:p>
        </w:tc>
        <w:tc>
          <w:tcPr>
            <w:tcW w:w="111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$1,550,693</w:t>
            </w:r>
          </w:p>
        </w:tc>
        <w:tc>
          <w:tcPr>
            <w:tcW w:w="11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$786,788</w:t>
            </w:r>
          </w:p>
        </w:tc>
      </w:tr>
      <w:tr>
        <w:trPr>
          <w:trHeight w:val="410"/>
        </w:trPr>
        <w:tc>
          <w:tcPr>
            <w:tcW w:w="1100" w:type="dxa"/>
            <w:vAlign w:val="bottom"/>
          </w:tcPr>
          <w:p>
            <w:pPr>
              <w:jc w:val="center"/>
              <w:spacing w:after="0"/>
              <w:rPr>
                <w:sz w:val="20"/>
                <w:szCs w:val="20"/>
                <w:color w:val="auto"/>
              </w:rPr>
            </w:pPr>
            <w:r>
              <w:rPr>
                <w:rFonts w:ascii="Arial" w:cs="Arial" w:eastAsia="Arial" w:hAnsi="Arial"/>
                <w:sz w:val="14"/>
                <w:szCs w:val="14"/>
                <w:color w:val="auto"/>
              </w:rPr>
              <w:t>($1,811,085)</w:t>
            </w:r>
          </w:p>
        </w:tc>
        <w:tc>
          <w:tcPr>
            <w:tcW w:w="1240" w:type="dxa"/>
            <w:vAlign w:val="bottom"/>
          </w:tcPr>
          <w:p>
            <w:pPr>
              <w:jc w:val="center"/>
              <w:ind w:right="128"/>
              <w:spacing w:after="0"/>
              <w:rPr>
                <w:sz w:val="20"/>
                <w:szCs w:val="20"/>
                <w:color w:val="auto"/>
              </w:rPr>
            </w:pPr>
            <w:r>
              <w:rPr>
                <w:rFonts w:ascii="Arial" w:cs="Arial" w:eastAsia="Arial" w:hAnsi="Arial"/>
                <w:sz w:val="14"/>
                <w:szCs w:val="14"/>
                <w:color w:val="auto"/>
              </w:rPr>
              <w:t>($524,293)</w:t>
            </w:r>
          </w:p>
        </w:tc>
        <w:tc>
          <w:tcPr>
            <w:tcW w:w="1120" w:type="dxa"/>
            <w:vAlign w:val="bottom"/>
          </w:tcPr>
          <w:p>
            <w:pPr>
              <w:jc w:val="center"/>
              <w:spacing w:after="0"/>
              <w:rPr>
                <w:sz w:val="20"/>
                <w:szCs w:val="20"/>
                <w:color w:val="auto"/>
              </w:rPr>
            </w:pPr>
            <w:r>
              <w:rPr>
                <w:rFonts w:ascii="Arial" w:cs="Arial" w:eastAsia="Arial" w:hAnsi="Arial"/>
                <w:sz w:val="14"/>
                <w:szCs w:val="14"/>
                <w:color w:val="auto"/>
              </w:rPr>
              <w:t>($2,734,149)</w:t>
            </w:r>
          </w:p>
        </w:tc>
        <w:tc>
          <w:tcPr>
            <w:tcW w:w="1170" w:type="dxa"/>
            <w:vAlign w:val="bottom"/>
          </w:tcPr>
          <w:p>
            <w:pPr>
              <w:jc w:val="center"/>
              <w:ind w:right="38"/>
              <w:spacing w:after="0"/>
              <w:rPr>
                <w:sz w:val="20"/>
                <w:szCs w:val="20"/>
                <w:color w:val="auto"/>
              </w:rPr>
            </w:pPr>
            <w:r>
              <w:rPr>
                <w:rFonts w:ascii="Arial" w:cs="Arial" w:eastAsia="Arial" w:hAnsi="Arial"/>
                <w:sz w:val="14"/>
                <w:szCs w:val="14"/>
                <w:color w:val="auto"/>
              </w:rPr>
              <w:t>($974,762)</w:t>
            </w:r>
          </w:p>
        </w:tc>
        <w:tc>
          <w:tcPr>
            <w:tcW w:w="1110" w:type="dxa"/>
            <w:vAlign w:val="bottom"/>
          </w:tcPr>
          <w:p>
            <w:pPr>
              <w:jc w:val="center"/>
              <w:spacing w:after="0"/>
              <w:rPr>
                <w:sz w:val="20"/>
                <w:szCs w:val="20"/>
                <w:color w:val="auto"/>
              </w:rPr>
            </w:pPr>
            <w:r>
              <w:rPr>
                <w:rFonts w:ascii="Arial" w:cs="Arial" w:eastAsia="Arial" w:hAnsi="Arial"/>
                <w:sz w:val="14"/>
                <w:szCs w:val="14"/>
                <w:color w:val="auto"/>
              </w:rPr>
              <w:t>($839,987)</w:t>
            </w:r>
          </w:p>
        </w:tc>
        <w:tc>
          <w:tcPr>
            <w:tcW w:w="1100" w:type="dxa"/>
            <w:vAlign w:val="bottom"/>
          </w:tcPr>
          <w:p>
            <w:pPr>
              <w:jc w:val="center"/>
              <w:spacing w:after="0"/>
              <w:rPr>
                <w:sz w:val="20"/>
                <w:szCs w:val="20"/>
                <w:color w:val="auto"/>
              </w:rPr>
            </w:pPr>
            <w:r>
              <w:rPr>
                <w:rFonts w:ascii="Arial" w:cs="Arial" w:eastAsia="Arial" w:hAnsi="Arial"/>
                <w:sz w:val="14"/>
                <w:szCs w:val="14"/>
                <w:color w:val="auto"/>
              </w:rPr>
              <w:t>($326,162)</w:t>
            </w:r>
          </w:p>
        </w:tc>
      </w:tr>
      <w:tr>
        <w:trPr>
          <w:trHeight w:val="49"/>
        </w:trPr>
        <w:tc>
          <w:tcPr>
            <w:tcW w:w="1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70" w:type="dxa"/>
            <w:vAlign w:val="bottom"/>
          </w:tcPr>
          <w:p>
            <w:pPr>
              <w:spacing w:after="0"/>
              <w:rPr>
                <w:sz w:val="4"/>
                <w:szCs w:val="4"/>
                <w:color w:val="auto"/>
              </w:rPr>
            </w:pPr>
          </w:p>
        </w:tc>
        <w:tc>
          <w:tcPr>
            <w:tcW w:w="111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439"/>
        </w:trPr>
        <w:tc>
          <w:tcPr>
            <w:tcW w:w="11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$1,052,644</w:t>
            </w:r>
          </w:p>
        </w:tc>
        <w:tc>
          <w:tcPr>
            <w:tcW w:w="1240" w:type="dxa"/>
            <w:vAlign w:val="bottom"/>
            <w:tcBorders>
              <w:bottom w:val="single" w:sz="8" w:color="EDEDED"/>
            </w:tcBorders>
            <w:shd w:val="clear" w:color="auto" w:fill="EDEDED"/>
          </w:tcPr>
          <w:p>
            <w:pPr>
              <w:jc w:val="center"/>
              <w:ind w:right="128"/>
              <w:spacing w:after="0"/>
              <w:rPr>
                <w:sz w:val="20"/>
                <w:szCs w:val="20"/>
                <w:color w:val="auto"/>
              </w:rPr>
            </w:pPr>
            <w:r>
              <w:rPr>
                <w:rFonts w:ascii="Arial" w:cs="Arial" w:eastAsia="Arial" w:hAnsi="Arial"/>
                <w:sz w:val="14"/>
                <w:szCs w:val="14"/>
                <w:color w:val="auto"/>
              </w:rPr>
              <w:t>$334,843</w:t>
            </w:r>
          </w:p>
        </w:tc>
        <w:tc>
          <w:tcPr>
            <w:tcW w:w="11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$2,045,752</w:t>
            </w:r>
          </w:p>
        </w:tc>
        <w:tc>
          <w:tcPr>
            <w:tcW w:w="1170" w:type="dxa"/>
            <w:vAlign w:val="bottom"/>
            <w:tcBorders>
              <w:bottom w:val="single" w:sz="8" w:color="EDEDED"/>
            </w:tcBorders>
            <w:shd w:val="clear" w:color="auto" w:fill="EDEDED"/>
          </w:tcPr>
          <w:p>
            <w:pPr>
              <w:jc w:val="center"/>
              <w:ind w:right="58"/>
              <w:spacing w:after="0"/>
              <w:rPr>
                <w:sz w:val="20"/>
                <w:szCs w:val="20"/>
                <w:color w:val="auto"/>
              </w:rPr>
            </w:pPr>
            <w:r>
              <w:rPr>
                <w:rFonts w:ascii="Arial" w:cs="Arial" w:eastAsia="Arial" w:hAnsi="Arial"/>
                <w:sz w:val="14"/>
                <w:szCs w:val="14"/>
                <w:color w:val="auto"/>
              </w:rPr>
              <w:t>$789,365</w:t>
            </w:r>
          </w:p>
        </w:tc>
        <w:tc>
          <w:tcPr>
            <w:tcW w:w="111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$764,875</w:t>
            </w:r>
          </w:p>
        </w:tc>
        <w:tc>
          <w:tcPr>
            <w:tcW w:w="11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$405,599</w:t>
            </w:r>
          </w:p>
        </w:tc>
      </w:tr>
      <w:tr>
        <w:trPr>
          <w:trHeight w:val="410"/>
        </w:trPr>
        <w:tc>
          <w:tcPr>
            <w:tcW w:w="1100" w:type="dxa"/>
            <w:vAlign w:val="bottom"/>
          </w:tcPr>
          <w:p>
            <w:pPr>
              <w:jc w:val="center"/>
              <w:spacing w:after="0"/>
              <w:rPr>
                <w:sz w:val="20"/>
                <w:szCs w:val="20"/>
                <w:color w:val="auto"/>
              </w:rPr>
            </w:pPr>
            <w:r>
              <w:rPr>
                <w:rFonts w:ascii="Arial" w:cs="Arial" w:eastAsia="Arial" w:hAnsi="Arial"/>
                <w:sz w:val="14"/>
                <w:szCs w:val="14"/>
                <w:color w:val="auto"/>
              </w:rPr>
              <w:t>$68,855</w:t>
            </w:r>
          </w:p>
        </w:tc>
        <w:tc>
          <w:tcPr>
            <w:tcW w:w="1240" w:type="dxa"/>
            <w:vAlign w:val="bottom"/>
          </w:tcPr>
          <w:p>
            <w:pPr>
              <w:jc w:val="center"/>
              <w:ind w:right="128"/>
              <w:spacing w:after="0"/>
              <w:rPr>
                <w:sz w:val="20"/>
                <w:szCs w:val="20"/>
                <w:color w:val="auto"/>
              </w:rPr>
            </w:pPr>
            <w:r>
              <w:rPr>
                <w:rFonts w:ascii="Arial" w:cs="Arial" w:eastAsia="Arial" w:hAnsi="Arial"/>
                <w:sz w:val="14"/>
                <w:szCs w:val="14"/>
                <w:color w:val="auto"/>
              </w:rPr>
              <w:t>$24,517</w:t>
            </w:r>
          </w:p>
        </w:tc>
        <w:tc>
          <w:tcPr>
            <w:tcW w:w="1120" w:type="dxa"/>
            <w:vAlign w:val="bottom"/>
          </w:tcPr>
          <w:p>
            <w:pPr>
              <w:jc w:val="center"/>
              <w:spacing w:after="0"/>
              <w:rPr>
                <w:sz w:val="20"/>
                <w:szCs w:val="20"/>
                <w:color w:val="auto"/>
              </w:rPr>
            </w:pPr>
            <w:r>
              <w:rPr>
                <w:rFonts w:ascii="Arial" w:cs="Arial" w:eastAsia="Arial" w:hAnsi="Arial"/>
                <w:sz w:val="14"/>
                <w:szCs w:val="14"/>
                <w:color w:val="auto"/>
              </w:rPr>
              <w:t>($167,781)</w:t>
            </w:r>
          </w:p>
        </w:tc>
        <w:tc>
          <w:tcPr>
            <w:tcW w:w="1170" w:type="dxa"/>
            <w:vAlign w:val="bottom"/>
          </w:tcPr>
          <w:p>
            <w:pPr>
              <w:jc w:val="center"/>
              <w:ind w:right="38"/>
              <w:spacing w:after="0"/>
              <w:rPr>
                <w:sz w:val="20"/>
                <w:szCs w:val="20"/>
                <w:color w:val="auto"/>
              </w:rPr>
            </w:pPr>
            <w:r>
              <w:rPr>
                <w:rFonts w:ascii="Arial" w:cs="Arial" w:eastAsia="Arial" w:hAnsi="Arial"/>
                <w:sz w:val="14"/>
                <w:szCs w:val="14"/>
                <w:color w:val="auto"/>
              </w:rPr>
              <w:t>($41,322)</w:t>
            </w:r>
          </w:p>
        </w:tc>
        <w:tc>
          <w:tcPr>
            <w:tcW w:w="1110" w:type="dxa"/>
            <w:vAlign w:val="bottom"/>
          </w:tcPr>
          <w:p>
            <w:pPr>
              <w:jc w:val="center"/>
              <w:spacing w:after="0"/>
              <w:rPr>
                <w:sz w:val="20"/>
                <w:szCs w:val="20"/>
                <w:color w:val="auto"/>
              </w:rPr>
            </w:pPr>
            <w:r>
              <w:rPr>
                <w:rFonts w:ascii="Arial" w:cs="Arial" w:eastAsia="Arial" w:hAnsi="Arial"/>
                <w:sz w:val="14"/>
                <w:szCs w:val="14"/>
                <w:color w:val="auto"/>
              </w:rPr>
              <w:t>($68,333)</w:t>
            </w:r>
          </w:p>
        </w:tc>
        <w:tc>
          <w:tcPr>
            <w:tcW w:w="1100" w:type="dxa"/>
            <w:vAlign w:val="bottom"/>
          </w:tcPr>
          <w:p>
            <w:pPr>
              <w:jc w:val="center"/>
              <w:spacing w:after="0"/>
              <w:rPr>
                <w:sz w:val="20"/>
                <w:szCs w:val="20"/>
                <w:color w:val="auto"/>
              </w:rPr>
            </w:pPr>
            <w:r>
              <w:rPr>
                <w:rFonts w:ascii="Arial" w:cs="Arial" w:eastAsia="Arial" w:hAnsi="Arial"/>
                <w:sz w:val="14"/>
                <w:szCs w:val="14"/>
                <w:color w:val="auto"/>
              </w:rPr>
              <w:t>($20,316)</w:t>
            </w:r>
          </w:p>
        </w:tc>
      </w:tr>
      <w:tr>
        <w:trPr>
          <w:trHeight w:val="49"/>
        </w:trPr>
        <w:tc>
          <w:tcPr>
            <w:tcW w:w="1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70" w:type="dxa"/>
            <w:vAlign w:val="bottom"/>
          </w:tcPr>
          <w:p>
            <w:pPr>
              <w:spacing w:after="0"/>
              <w:rPr>
                <w:sz w:val="4"/>
                <w:szCs w:val="4"/>
                <w:color w:val="auto"/>
              </w:rPr>
            </w:pPr>
          </w:p>
        </w:tc>
        <w:tc>
          <w:tcPr>
            <w:tcW w:w="111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601"/>
        </w:trPr>
        <w:tc>
          <w:tcPr>
            <w:tcW w:w="11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$98,065</w:t>
            </w:r>
          </w:p>
        </w:tc>
        <w:tc>
          <w:tcPr>
            <w:tcW w:w="1240" w:type="dxa"/>
            <w:vAlign w:val="bottom"/>
            <w:tcBorders>
              <w:bottom w:val="single" w:sz="8" w:color="EDEDED"/>
            </w:tcBorders>
            <w:shd w:val="clear" w:color="auto" w:fill="EDEDED"/>
          </w:tcPr>
          <w:p>
            <w:pPr>
              <w:jc w:val="center"/>
              <w:ind w:right="128"/>
              <w:spacing w:after="0"/>
              <w:rPr>
                <w:sz w:val="20"/>
                <w:szCs w:val="20"/>
                <w:color w:val="auto"/>
              </w:rPr>
            </w:pPr>
            <w:r>
              <w:rPr>
                <w:rFonts w:ascii="Arial" w:cs="Arial" w:eastAsia="Arial" w:hAnsi="Arial"/>
                <w:sz w:val="14"/>
                <w:szCs w:val="14"/>
                <w:color w:val="auto"/>
              </w:rPr>
              <w:t>$22,069</w:t>
            </w:r>
          </w:p>
        </w:tc>
        <w:tc>
          <w:tcPr>
            <w:tcW w:w="11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$7,513</w:t>
            </w:r>
          </w:p>
        </w:tc>
        <w:tc>
          <w:tcPr>
            <w:tcW w:w="1170" w:type="dxa"/>
            <w:vAlign w:val="bottom"/>
            <w:tcBorders>
              <w:bottom w:val="single" w:sz="8" w:color="EDEDED"/>
            </w:tcBorders>
            <w:shd w:val="clear" w:color="auto" w:fill="EDEDED"/>
          </w:tcPr>
          <w:p>
            <w:pPr>
              <w:jc w:val="center"/>
              <w:ind w:right="58"/>
              <w:spacing w:after="0"/>
              <w:rPr>
                <w:sz w:val="20"/>
                <w:szCs w:val="20"/>
                <w:color w:val="auto"/>
              </w:rPr>
            </w:pPr>
            <w:r>
              <w:rPr>
                <w:rFonts w:ascii="Arial" w:cs="Arial" w:eastAsia="Arial" w:hAnsi="Arial"/>
                <w:sz w:val="14"/>
                <w:szCs w:val="14"/>
                <w:color w:val="auto"/>
              </w:rPr>
              <w:t>$2,122</w:t>
            </w:r>
          </w:p>
        </w:tc>
        <w:tc>
          <w:tcPr>
            <w:tcW w:w="111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($73,595)</w:t>
            </w:r>
          </w:p>
        </w:tc>
        <w:tc>
          <w:tcPr>
            <w:tcW w:w="11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($18,452)</w:t>
            </w:r>
          </w:p>
        </w:tc>
      </w:tr>
      <w:tr>
        <w:trPr>
          <w:trHeight w:val="572"/>
        </w:trPr>
        <w:tc>
          <w:tcPr>
            <w:tcW w:w="1100" w:type="dxa"/>
            <w:vAlign w:val="bottom"/>
          </w:tcPr>
          <w:p>
            <w:pPr>
              <w:jc w:val="center"/>
              <w:spacing w:after="0"/>
              <w:rPr>
                <w:sz w:val="20"/>
                <w:szCs w:val="20"/>
                <w:color w:val="auto"/>
              </w:rPr>
            </w:pPr>
            <w:r>
              <w:rPr>
                <w:rFonts w:ascii="Arial" w:cs="Arial" w:eastAsia="Arial" w:hAnsi="Arial"/>
                <w:sz w:val="14"/>
                <w:szCs w:val="14"/>
                <w:color w:val="auto"/>
              </w:rPr>
              <w:t>($191,086)</w:t>
            </w:r>
          </w:p>
        </w:tc>
        <w:tc>
          <w:tcPr>
            <w:tcW w:w="1240" w:type="dxa"/>
            <w:vAlign w:val="bottom"/>
          </w:tcPr>
          <w:p>
            <w:pPr>
              <w:jc w:val="center"/>
              <w:ind w:right="128"/>
              <w:spacing w:after="0"/>
              <w:rPr>
                <w:sz w:val="20"/>
                <w:szCs w:val="20"/>
                <w:color w:val="auto"/>
              </w:rPr>
            </w:pPr>
            <w:r>
              <w:rPr>
                <w:rFonts w:ascii="Arial" w:cs="Arial" w:eastAsia="Arial" w:hAnsi="Arial"/>
                <w:sz w:val="14"/>
                <w:szCs w:val="14"/>
                <w:color w:val="auto"/>
              </w:rPr>
              <w:t>($41,686)</w:t>
            </w:r>
          </w:p>
        </w:tc>
        <w:tc>
          <w:tcPr>
            <w:tcW w:w="1120" w:type="dxa"/>
            <w:vAlign w:val="bottom"/>
          </w:tcPr>
          <w:p>
            <w:pPr>
              <w:jc w:val="center"/>
              <w:spacing w:after="0"/>
              <w:rPr>
                <w:sz w:val="20"/>
                <w:szCs w:val="20"/>
                <w:color w:val="auto"/>
              </w:rPr>
            </w:pPr>
            <w:r>
              <w:rPr>
                <w:rFonts w:ascii="Arial" w:cs="Arial" w:eastAsia="Arial" w:hAnsi="Arial"/>
                <w:sz w:val="14"/>
                <w:szCs w:val="14"/>
                <w:color w:val="auto"/>
              </w:rPr>
              <w:t>($227,577)</w:t>
            </w:r>
          </w:p>
        </w:tc>
        <w:tc>
          <w:tcPr>
            <w:tcW w:w="1170" w:type="dxa"/>
            <w:vAlign w:val="bottom"/>
          </w:tcPr>
          <w:p>
            <w:pPr>
              <w:jc w:val="center"/>
              <w:ind w:right="38"/>
              <w:spacing w:after="0"/>
              <w:rPr>
                <w:sz w:val="20"/>
                <w:szCs w:val="20"/>
                <w:color w:val="auto"/>
              </w:rPr>
            </w:pPr>
            <w:r>
              <w:rPr>
                <w:rFonts w:ascii="Arial" w:cs="Arial" w:eastAsia="Arial" w:hAnsi="Arial"/>
                <w:sz w:val="14"/>
                <w:szCs w:val="14"/>
                <w:color w:val="auto"/>
              </w:rPr>
              <w:t>($53,637)</w:t>
            </w:r>
          </w:p>
        </w:tc>
        <w:tc>
          <w:tcPr>
            <w:tcW w:w="1110" w:type="dxa"/>
            <w:vAlign w:val="bottom"/>
          </w:tcPr>
          <w:p>
            <w:pPr>
              <w:ind w:left="450"/>
              <w:spacing w:after="0"/>
              <w:rPr>
                <w:sz w:val="20"/>
                <w:szCs w:val="20"/>
                <w:color w:val="auto"/>
              </w:rPr>
            </w:pPr>
            <w:r>
              <w:rPr>
                <w:rFonts w:ascii="Arial" w:cs="Arial" w:eastAsia="Arial" w:hAnsi="Arial"/>
                <w:sz w:val="14"/>
                <w:szCs w:val="14"/>
                <w:color w:val="auto"/>
              </w:rPr>
              <w:t>—</w:t>
            </w:r>
          </w:p>
        </w:tc>
        <w:tc>
          <w:tcPr>
            <w:tcW w:w="1100" w:type="dxa"/>
            <w:vAlign w:val="bottom"/>
          </w:tcPr>
          <w:p>
            <w:pPr>
              <w:ind w:left="400"/>
              <w:spacing w:after="0"/>
              <w:rPr>
                <w:sz w:val="20"/>
                <w:szCs w:val="20"/>
                <w:color w:val="auto"/>
              </w:rPr>
            </w:pPr>
            <w:r>
              <w:rPr>
                <w:rFonts w:ascii="Arial" w:cs="Arial" w:eastAsia="Arial" w:hAnsi="Arial"/>
                <w:sz w:val="14"/>
                <w:szCs w:val="14"/>
                <w:color w:val="auto"/>
              </w:rPr>
              <w:t>—</w:t>
            </w:r>
          </w:p>
        </w:tc>
      </w:tr>
      <w:tr>
        <w:trPr>
          <w:trHeight w:val="49"/>
        </w:trPr>
        <w:tc>
          <w:tcPr>
            <w:tcW w:w="1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70" w:type="dxa"/>
            <w:vAlign w:val="bottom"/>
          </w:tcPr>
          <w:p>
            <w:pPr>
              <w:spacing w:after="0"/>
              <w:rPr>
                <w:sz w:val="4"/>
                <w:szCs w:val="4"/>
                <w:color w:val="auto"/>
              </w:rPr>
            </w:pPr>
          </w:p>
        </w:tc>
        <w:tc>
          <w:tcPr>
            <w:tcW w:w="111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439"/>
        </w:trPr>
        <w:tc>
          <w:tcPr>
            <w:tcW w:w="11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$9,957</w:t>
            </w:r>
          </w:p>
        </w:tc>
        <w:tc>
          <w:tcPr>
            <w:tcW w:w="1240" w:type="dxa"/>
            <w:vAlign w:val="bottom"/>
            <w:tcBorders>
              <w:bottom w:val="single" w:sz="8" w:color="EDEDED"/>
            </w:tcBorders>
            <w:shd w:val="clear" w:color="auto" w:fill="EDEDED"/>
          </w:tcPr>
          <w:p>
            <w:pPr>
              <w:jc w:val="center"/>
              <w:ind w:right="128"/>
              <w:spacing w:after="0"/>
              <w:rPr>
                <w:sz w:val="20"/>
                <w:szCs w:val="20"/>
                <w:color w:val="auto"/>
              </w:rPr>
            </w:pPr>
            <w:r>
              <w:rPr>
                <w:rFonts w:ascii="Arial" w:cs="Arial" w:eastAsia="Arial" w:hAnsi="Arial"/>
                <w:sz w:val="14"/>
                <w:szCs w:val="14"/>
                <w:color w:val="auto"/>
              </w:rPr>
              <w:t>$3,404</w:t>
            </w:r>
          </w:p>
        </w:tc>
        <w:tc>
          <w:tcPr>
            <w:tcW w:w="112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$1,998</w:t>
            </w:r>
          </w:p>
        </w:tc>
        <w:tc>
          <w:tcPr>
            <w:tcW w:w="1170" w:type="dxa"/>
            <w:vAlign w:val="bottom"/>
            <w:tcBorders>
              <w:bottom w:val="single" w:sz="8" w:color="EDEDED"/>
            </w:tcBorders>
            <w:shd w:val="clear" w:color="auto" w:fill="EDEDED"/>
          </w:tcPr>
          <w:p>
            <w:pPr>
              <w:jc w:val="center"/>
              <w:ind w:right="58"/>
              <w:spacing w:after="0"/>
              <w:rPr>
                <w:sz w:val="20"/>
                <w:szCs w:val="20"/>
                <w:color w:val="auto"/>
              </w:rPr>
            </w:pPr>
            <w:r>
              <w:rPr>
                <w:rFonts w:ascii="Arial" w:cs="Arial" w:eastAsia="Arial" w:hAnsi="Arial"/>
                <w:sz w:val="14"/>
                <w:szCs w:val="14"/>
                <w:color w:val="auto"/>
              </w:rPr>
              <w:t>$877</w:t>
            </w:r>
          </w:p>
        </w:tc>
        <w:tc>
          <w:tcPr>
            <w:tcW w:w="111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$1,082</w:t>
            </w:r>
          </w:p>
        </w:tc>
        <w:tc>
          <w:tcPr>
            <w:tcW w:w="110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4"/>
                <w:szCs w:val="14"/>
                <w:color w:val="auto"/>
              </w:rPr>
              <w:t>$399</w:t>
            </w:r>
          </w:p>
        </w:tc>
      </w:tr>
      <w:tr>
        <w:trPr>
          <w:trHeight w:val="248"/>
        </w:trPr>
        <w:tc>
          <w:tcPr>
            <w:tcW w:w="1100" w:type="dxa"/>
            <w:vAlign w:val="bottom"/>
          </w:tcPr>
          <w:p>
            <w:pPr>
              <w:jc w:val="center"/>
              <w:spacing w:after="0"/>
              <w:rPr>
                <w:sz w:val="20"/>
                <w:szCs w:val="20"/>
                <w:color w:val="auto"/>
              </w:rPr>
            </w:pPr>
            <w:r>
              <w:rPr>
                <w:rFonts w:ascii="Arial" w:cs="Arial" w:eastAsia="Arial" w:hAnsi="Arial"/>
                <w:sz w:val="14"/>
                <w:szCs w:val="14"/>
                <w:color w:val="auto"/>
              </w:rPr>
              <w:t>$2,762,629</w:t>
            </w:r>
          </w:p>
        </w:tc>
        <w:tc>
          <w:tcPr>
            <w:tcW w:w="1240" w:type="dxa"/>
            <w:vAlign w:val="bottom"/>
          </w:tcPr>
          <w:p>
            <w:pPr>
              <w:jc w:val="center"/>
              <w:ind w:right="128"/>
              <w:spacing w:after="0"/>
              <w:rPr>
                <w:sz w:val="20"/>
                <w:szCs w:val="20"/>
                <w:color w:val="auto"/>
              </w:rPr>
            </w:pPr>
            <w:r>
              <w:rPr>
                <w:rFonts w:ascii="Arial" w:cs="Arial" w:eastAsia="Arial" w:hAnsi="Arial"/>
                <w:sz w:val="14"/>
                <w:szCs w:val="14"/>
                <w:color w:val="auto"/>
              </w:rPr>
              <w:t>$1,150,597</w:t>
            </w:r>
          </w:p>
        </w:tc>
        <w:tc>
          <w:tcPr>
            <w:tcW w:w="1120" w:type="dxa"/>
            <w:vAlign w:val="bottom"/>
          </w:tcPr>
          <w:p>
            <w:pPr>
              <w:jc w:val="center"/>
              <w:spacing w:after="0"/>
              <w:rPr>
                <w:sz w:val="20"/>
                <w:szCs w:val="20"/>
                <w:color w:val="auto"/>
              </w:rPr>
            </w:pPr>
            <w:r>
              <w:rPr>
                <w:rFonts w:ascii="Arial" w:cs="Arial" w:eastAsia="Arial" w:hAnsi="Arial"/>
                <w:sz w:val="14"/>
                <w:szCs w:val="14"/>
                <w:color w:val="auto"/>
              </w:rPr>
              <w:t>$2,864,364</w:t>
            </w:r>
          </w:p>
        </w:tc>
        <w:tc>
          <w:tcPr>
            <w:tcW w:w="1170" w:type="dxa"/>
            <w:vAlign w:val="bottom"/>
          </w:tcPr>
          <w:p>
            <w:pPr>
              <w:jc w:val="center"/>
              <w:ind w:right="58"/>
              <w:spacing w:after="0"/>
              <w:rPr>
                <w:sz w:val="20"/>
                <w:szCs w:val="20"/>
                <w:color w:val="auto"/>
              </w:rPr>
            </w:pPr>
            <w:r>
              <w:rPr>
                <w:rFonts w:ascii="Arial" w:cs="Arial" w:eastAsia="Arial" w:hAnsi="Arial"/>
                <w:sz w:val="14"/>
                <w:szCs w:val="14"/>
                <w:color w:val="auto"/>
              </w:rPr>
              <w:t>$1,362,908</w:t>
            </w:r>
          </w:p>
        </w:tc>
        <w:tc>
          <w:tcPr>
            <w:tcW w:w="1110" w:type="dxa"/>
            <w:vAlign w:val="bottom"/>
          </w:tcPr>
          <w:p>
            <w:pPr>
              <w:jc w:val="center"/>
              <w:spacing w:after="0"/>
              <w:rPr>
                <w:sz w:val="20"/>
                <w:szCs w:val="20"/>
                <w:color w:val="auto"/>
              </w:rPr>
            </w:pPr>
            <w:r>
              <w:rPr>
                <w:rFonts w:ascii="Arial" w:cs="Arial" w:eastAsia="Arial" w:hAnsi="Arial"/>
                <w:sz w:val="14"/>
                <w:szCs w:val="14"/>
                <w:color w:val="auto"/>
              </w:rPr>
              <w:t>$1,334,735</w:t>
            </w:r>
          </w:p>
        </w:tc>
        <w:tc>
          <w:tcPr>
            <w:tcW w:w="1100" w:type="dxa"/>
            <w:vAlign w:val="bottom"/>
          </w:tcPr>
          <w:p>
            <w:pPr>
              <w:jc w:val="center"/>
              <w:spacing w:after="0"/>
              <w:rPr>
                <w:sz w:val="20"/>
                <w:szCs w:val="20"/>
                <w:color w:val="auto"/>
              </w:rPr>
            </w:pPr>
            <w:r>
              <w:rPr>
                <w:rFonts w:ascii="Arial" w:cs="Arial" w:eastAsia="Arial" w:hAnsi="Arial"/>
                <w:sz w:val="14"/>
                <w:szCs w:val="14"/>
                <w:color w:val="auto"/>
              </w:rPr>
              <w:t>$827,855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-2656205</wp:posOffset>
            </wp:positionH>
            <wp:positionV relativeFrom="paragraph">
              <wp:posOffset>30480</wp:posOffset>
            </wp:positionV>
            <wp:extent cx="699516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3580" w:space="720"/>
            <w:col w:w="6840"/>
          </w:cols>
          <w:pgMar w:left="320" w:top="482" w:right="439" w:bottom="1440" w:gutter="0" w:footer="0" w:header="0"/>
          <w:type w:val="continuous"/>
        </w:sectPr>
      </w:pPr>
    </w:p>
    <w:p>
      <w:pPr>
        <w:ind w:left="440" w:right="140" w:hanging="324"/>
        <w:spacing w:after="0" w:line="216" w:lineRule="auto"/>
        <w:tabs>
          <w:tab w:leader="none" w:pos="440" w:val="left"/>
        </w:tabs>
        <w:numPr>
          <w:ilvl w:val="0"/>
          <w:numId w:val="65"/>
        </w:numPr>
        <w:rPr>
          <w:rFonts w:ascii="Arial" w:cs="Arial" w:eastAsia="Arial" w:hAnsi="Arial"/>
          <w:sz w:val="16"/>
          <w:szCs w:val="16"/>
          <w:color w:val="auto"/>
          <w:vertAlign w:val="superscript"/>
        </w:rPr>
      </w:pPr>
      <w:r>
        <w:rPr>
          <w:rFonts w:ascii="Arial" w:cs="Arial" w:eastAsia="Arial" w:hAnsi="Arial"/>
          <w:sz w:val="13"/>
          <w:szCs w:val="13"/>
          <w:color w:val="auto"/>
        </w:rPr>
        <w:t>Compensation for the non-principal executive officer (“CEO”) and average compensation for non-CEO named executive officers (“NEOs”) reflected in columns (c) and (e) represent the following individuals for the years shown: 2022 – Peter W. Quigley, Olivier G. Thirot, Dinette Koolhaas, Vanessa P. Williams, and Darren L. Simons, 2021 – Peter W. Quigley, Olivier G. Thirot, Dinette Koolhaas, Tammy L. Browning, and Timothy L. Dupree, 2020 – Peter W.. Quigley, Olivier G. Thirot, Dinette Koolhaas, Tammy L. Browning, and Daniel H. Malan.</w:t>
      </w:r>
    </w:p>
    <w:p>
      <w:pPr>
        <w:spacing w:after="0" w:line="37" w:lineRule="exact"/>
        <w:rPr>
          <w:rFonts w:ascii="Arial" w:cs="Arial" w:eastAsia="Arial" w:hAnsi="Arial"/>
          <w:sz w:val="16"/>
          <w:szCs w:val="16"/>
          <w:color w:val="auto"/>
          <w:vertAlign w:val="superscript"/>
        </w:rPr>
      </w:pPr>
    </w:p>
    <w:p>
      <w:pPr>
        <w:ind w:left="440" w:right="80" w:hanging="324"/>
        <w:spacing w:after="0" w:line="216" w:lineRule="auto"/>
        <w:tabs>
          <w:tab w:leader="none" w:pos="440" w:val="left"/>
        </w:tabs>
        <w:numPr>
          <w:ilvl w:val="0"/>
          <w:numId w:val="65"/>
        </w:numPr>
        <w:rPr>
          <w:rFonts w:ascii="Arial" w:cs="Arial" w:eastAsia="Arial" w:hAnsi="Arial"/>
          <w:sz w:val="16"/>
          <w:szCs w:val="16"/>
          <w:color w:val="auto"/>
          <w:vertAlign w:val="superscript"/>
        </w:rPr>
      </w:pPr>
      <w:r>
        <w:rPr>
          <w:rFonts w:ascii="Arial" w:cs="Arial" w:eastAsia="Arial" w:hAnsi="Arial"/>
          <w:sz w:val="13"/>
          <w:szCs w:val="13"/>
          <w:color w:val="auto"/>
        </w:rPr>
        <w:t>As permitted by SEC rules, the peer group referenced for purpose of the TSR comparison is the group of companies included in the S&amp;P 1500 Human Resources and Employment Services Index, which is the industry peer group used for purposed of item 201(e) of Regulation S-K as well as used in the Company’s Annual Report on Form 10-K for the year ended January 1, 2023. TSR is cumulative (assuming $100 was invested on December 31, 2019) for the measurement period ending December 31, 2019 and ending on December 31 of 2022, 2021, 2020, respectively.</w:t>
      </w:r>
    </w:p>
    <w:p>
      <w:pPr>
        <w:spacing w:after="0" w:line="20" w:lineRule="exact"/>
        <w:rPr>
          <w:rFonts w:ascii="Arial" w:cs="Arial" w:eastAsia="Arial" w:hAnsi="Arial"/>
          <w:sz w:val="16"/>
          <w:szCs w:val="16"/>
          <w:color w:val="auto"/>
          <w:vertAlign w:val="superscript"/>
        </w:rPr>
      </w:pPr>
    </w:p>
    <w:p>
      <w:pPr>
        <w:ind w:left="440" w:hanging="324"/>
        <w:spacing w:after="0"/>
        <w:tabs>
          <w:tab w:leader="none" w:pos="440" w:val="left"/>
        </w:tabs>
        <w:numPr>
          <w:ilvl w:val="0"/>
          <w:numId w:val="65"/>
        </w:numPr>
        <w:rPr>
          <w:rFonts w:ascii="Arial" w:cs="Arial" w:eastAsia="Arial" w:hAnsi="Arial"/>
          <w:sz w:val="16"/>
          <w:szCs w:val="16"/>
          <w:color w:val="auto"/>
          <w:vertAlign w:val="superscript"/>
        </w:rPr>
      </w:pPr>
      <w:r>
        <w:rPr>
          <w:rFonts w:ascii="Arial" w:cs="Arial" w:eastAsia="Arial" w:hAnsi="Arial"/>
          <w:sz w:val="13"/>
          <w:szCs w:val="13"/>
          <w:color w:val="auto"/>
        </w:rPr>
        <w:t>The following amounts are the reconciliation of the CSM, EFO(in millions):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77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-143510</wp:posOffset>
            </wp:positionV>
            <wp:extent cx="411480" cy="1968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4"/>
        <w:spacing w:after="0"/>
        <w:rPr>
          <w:sz w:val="20"/>
          <w:szCs w:val="20"/>
          <w:color w:val="auto"/>
        </w:rPr>
      </w:pPr>
      <w:r>
        <w:rPr>
          <w:rFonts w:ascii="Arial" w:cs="Arial" w:eastAsia="Arial" w:hAnsi="Arial"/>
          <w:sz w:val="14"/>
          <w:szCs w:val="14"/>
          <w:color w:val="auto"/>
        </w:rPr>
        <w:t>As Reported</w:t>
      </w:r>
    </w:p>
    <w:p>
      <w:pPr>
        <w:spacing w:after="0" w:line="136" w:lineRule="exact"/>
        <w:rPr>
          <w:sz w:val="20"/>
          <w:szCs w:val="20"/>
          <w:color w:val="auto"/>
        </w:rPr>
      </w:pPr>
    </w:p>
    <w:p>
      <w:pPr>
        <w:ind w:left="144"/>
        <w:spacing w:after="0"/>
        <w:rPr>
          <w:sz w:val="20"/>
          <w:szCs w:val="20"/>
          <w:color w:val="auto"/>
        </w:rPr>
      </w:pPr>
      <w:r>
        <w:rPr>
          <w:rFonts w:ascii="Arial" w:cs="Arial" w:eastAsia="Arial" w:hAnsi="Arial"/>
          <w:sz w:val="14"/>
          <w:szCs w:val="14"/>
          <w:color w:val="auto"/>
        </w:rPr>
        <w:t>Gain on sale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5589270" cy="1454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589270" cy="145415"/>
                    </a:xfrm>
                    <a:prstGeom prst="rect">
                      <a:avLst/>
                    </a:prstGeom>
                    <a:noFill/>
                  </pic:spPr>
                </pic:pic>
              </a:graphicData>
            </a:graphic>
          </wp:anchor>
        </w:drawing>
      </w:r>
    </w:p>
    <w:p>
      <w:pPr>
        <w:spacing w:after="0" w:line="49" w:lineRule="exact"/>
        <w:rPr>
          <w:sz w:val="20"/>
          <w:szCs w:val="20"/>
          <w:color w:val="auto"/>
        </w:rPr>
      </w:pPr>
    </w:p>
    <w:p>
      <w:pPr>
        <w:ind w:left="144"/>
        <w:spacing w:after="0"/>
        <w:rPr>
          <w:sz w:val="20"/>
          <w:szCs w:val="20"/>
          <w:color w:val="auto"/>
        </w:rPr>
      </w:pPr>
      <w:r>
        <w:rPr>
          <w:rFonts w:ascii="Arial" w:cs="Arial" w:eastAsia="Arial" w:hAnsi="Arial"/>
          <w:sz w:val="14"/>
          <w:szCs w:val="14"/>
          <w:color w:val="auto"/>
        </w:rPr>
        <w:t>Loss on Disposal</w:t>
      </w:r>
    </w:p>
    <w:p>
      <w:pPr>
        <w:spacing w:after="0" w:line="69" w:lineRule="exact"/>
        <w:rPr>
          <w:sz w:val="20"/>
          <w:szCs w:val="20"/>
          <w:color w:val="auto"/>
        </w:rPr>
      </w:pPr>
    </w:p>
    <w:p>
      <w:pPr>
        <w:ind w:left="144"/>
        <w:spacing w:after="0"/>
        <w:rPr>
          <w:sz w:val="20"/>
          <w:szCs w:val="20"/>
          <w:color w:val="auto"/>
        </w:rPr>
      </w:pPr>
      <w:r>
        <w:rPr>
          <w:rFonts w:ascii="Arial" w:cs="Arial" w:eastAsia="Arial" w:hAnsi="Arial"/>
          <w:sz w:val="14"/>
          <w:szCs w:val="14"/>
          <w:color w:val="auto"/>
        </w:rPr>
        <w:t>Goodwill impairment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5589270" cy="1454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589270" cy="145415"/>
                    </a:xfrm>
                    <a:prstGeom prst="rect">
                      <a:avLst/>
                    </a:prstGeom>
                    <a:noFill/>
                  </pic:spPr>
                </pic:pic>
              </a:graphicData>
            </a:graphic>
          </wp:anchor>
        </w:drawing>
      </w:r>
    </w:p>
    <w:p>
      <w:pPr>
        <w:spacing w:after="0" w:line="49" w:lineRule="exact"/>
        <w:rPr>
          <w:sz w:val="20"/>
          <w:szCs w:val="20"/>
          <w:color w:val="auto"/>
        </w:rPr>
      </w:pPr>
    </w:p>
    <w:p>
      <w:pPr>
        <w:ind w:left="144"/>
        <w:spacing w:after="0"/>
        <w:rPr>
          <w:sz w:val="20"/>
          <w:szCs w:val="20"/>
          <w:color w:val="auto"/>
        </w:rPr>
      </w:pPr>
      <w:r>
        <w:rPr>
          <w:rFonts w:ascii="Arial" w:cs="Arial" w:eastAsia="Arial" w:hAnsi="Arial"/>
          <w:sz w:val="14"/>
          <w:szCs w:val="14"/>
          <w:color w:val="auto"/>
        </w:rPr>
        <w:t>Restructuring</w:t>
      </w:r>
    </w:p>
    <w:p>
      <w:pPr>
        <w:spacing w:after="0" w:line="69" w:lineRule="exact"/>
        <w:rPr>
          <w:sz w:val="20"/>
          <w:szCs w:val="20"/>
          <w:color w:val="auto"/>
        </w:rPr>
      </w:pPr>
    </w:p>
    <w:p>
      <w:pPr>
        <w:ind w:left="144"/>
        <w:spacing w:after="0"/>
        <w:rPr>
          <w:sz w:val="20"/>
          <w:szCs w:val="20"/>
          <w:color w:val="auto"/>
        </w:rPr>
      </w:pPr>
      <w:r>
        <w:rPr>
          <w:rFonts w:ascii="Arial" w:cs="Arial" w:eastAsia="Arial" w:hAnsi="Arial"/>
          <w:sz w:val="14"/>
          <w:szCs w:val="14"/>
          <w:color w:val="auto"/>
        </w:rPr>
        <w:t>Customer Dispute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5589270" cy="18859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589270" cy="188595"/>
                    </a:xfrm>
                    <a:prstGeom prst="rect">
                      <a:avLst/>
                    </a:prstGeom>
                    <a:noFill/>
                  </pic:spPr>
                </pic:pic>
              </a:graphicData>
            </a:graphic>
          </wp:anchor>
        </w:drawing>
      </w:r>
    </w:p>
    <w:p>
      <w:pPr>
        <w:spacing w:after="0" w:line="49" w:lineRule="exact"/>
        <w:rPr>
          <w:sz w:val="20"/>
          <w:szCs w:val="20"/>
          <w:color w:val="auto"/>
        </w:rPr>
      </w:pPr>
    </w:p>
    <w:p>
      <w:pPr>
        <w:ind w:left="64"/>
        <w:spacing w:after="0"/>
        <w:rPr>
          <w:sz w:val="20"/>
          <w:szCs w:val="20"/>
          <w:color w:val="auto"/>
        </w:rPr>
      </w:pPr>
      <w:r>
        <w:rPr>
          <w:rFonts w:ascii="Arial" w:cs="Arial" w:eastAsia="Arial" w:hAnsi="Arial"/>
          <w:sz w:val="14"/>
          <w:szCs w:val="14"/>
          <w:color w:val="auto"/>
        </w:rPr>
        <w:t>Adjusted</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Arial" w:cs="Arial" w:eastAsia="Arial" w:hAnsi="Arial"/>
          <w:sz w:val="15"/>
          <w:szCs w:val="15"/>
          <w:b w:val="1"/>
          <w:bCs w:val="1"/>
          <w:color w:val="auto"/>
        </w:rPr>
        <w:t>Pay vs.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-5798185</wp:posOffset>
            </wp:positionH>
            <wp:positionV relativeFrom="paragraph">
              <wp:posOffset>-208280</wp:posOffset>
            </wp:positionV>
            <wp:extent cx="7174865" cy="5588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28" w:lineRule="exact"/>
        <w:rPr>
          <w:sz w:val="20"/>
          <w:szCs w:val="20"/>
          <w:color w:val="auto"/>
        </w:rPr>
      </w:pPr>
    </w:p>
    <w:p>
      <w:pPr>
        <w:ind w:left="40"/>
        <w:spacing w:after="0"/>
        <w:tabs>
          <w:tab w:leader="none" w:pos="720" w:val="left"/>
          <w:tab w:leader="none" w:pos="1460" w:val="left"/>
        </w:tabs>
        <w:rPr>
          <w:sz w:val="20"/>
          <w:szCs w:val="20"/>
          <w:color w:val="auto"/>
        </w:rPr>
      </w:pPr>
      <w:r>
        <w:rPr>
          <w:rFonts w:ascii="Arial" w:cs="Arial" w:eastAsia="Arial" w:hAnsi="Arial"/>
          <w:sz w:val="14"/>
          <w:szCs w:val="14"/>
          <w:b w:val="1"/>
          <w:bCs w:val="1"/>
          <w:color w:val="00AF41"/>
        </w:rPr>
        <w:t>2022</w:t>
      </w:r>
      <w:r>
        <w:rPr>
          <w:sz w:val="20"/>
          <w:szCs w:val="20"/>
          <w:color w:val="auto"/>
        </w:rPr>
        <w:tab/>
      </w:r>
      <w:r>
        <w:rPr>
          <w:rFonts w:ascii="Arial" w:cs="Arial" w:eastAsia="Arial" w:hAnsi="Arial"/>
          <w:sz w:val="14"/>
          <w:szCs w:val="14"/>
          <w:b w:val="1"/>
          <w:bCs w:val="1"/>
          <w:color w:val="00AF41"/>
        </w:rPr>
        <w:t>2021</w:t>
      </w:r>
      <w:r>
        <w:rPr>
          <w:sz w:val="20"/>
          <w:szCs w:val="20"/>
          <w:color w:val="auto"/>
        </w:rPr>
        <w:tab/>
      </w:r>
      <w:r>
        <w:rPr>
          <w:rFonts w:ascii="Arial" w:cs="Arial" w:eastAsia="Arial" w:hAnsi="Arial"/>
          <w:sz w:val="14"/>
          <w:szCs w:val="14"/>
          <w:b w:val="1"/>
          <w:bCs w:val="1"/>
          <w:color w:val="00AF41"/>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-5716905</wp:posOffset>
            </wp:positionH>
            <wp:positionV relativeFrom="paragraph">
              <wp:posOffset>49530</wp:posOffset>
            </wp:positionV>
            <wp:extent cx="6995160" cy="23177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995160" cy="231775"/>
                    </a:xfrm>
                    <a:prstGeom prst="rect">
                      <a:avLst/>
                    </a:prstGeom>
                    <a:noFill/>
                  </pic:spPr>
                </pic:pic>
              </a:graphicData>
            </a:graphic>
          </wp:anchor>
        </w:drawing>
      </w:r>
    </w:p>
    <w:p>
      <w:pPr>
        <w:spacing w:after="0" w:line="184" w:lineRule="exact"/>
        <w:rPr>
          <w:sz w:val="20"/>
          <w:szCs w:val="20"/>
          <w:color w:val="auto"/>
        </w:rPr>
      </w:pPr>
    </w:p>
    <w:p>
      <w:pPr>
        <w:ind w:left="20"/>
        <w:spacing w:after="0"/>
        <w:tabs>
          <w:tab w:leader="none" w:pos="700" w:val="left"/>
          <w:tab w:leader="none" w:pos="1400" w:val="left"/>
        </w:tabs>
        <w:rPr>
          <w:sz w:val="20"/>
          <w:szCs w:val="20"/>
          <w:color w:val="auto"/>
        </w:rPr>
      </w:pPr>
      <w:r>
        <w:rPr>
          <w:rFonts w:ascii="Arial" w:cs="Arial" w:eastAsia="Arial" w:hAnsi="Arial"/>
          <w:sz w:val="14"/>
          <w:szCs w:val="14"/>
          <w:color w:val="auto"/>
        </w:rPr>
        <w:t>$14.8</w:t>
      </w:r>
      <w:r>
        <w:rPr>
          <w:sz w:val="20"/>
          <w:szCs w:val="20"/>
          <w:color w:val="auto"/>
        </w:rPr>
        <w:tab/>
      </w:r>
      <w:r>
        <w:rPr>
          <w:rFonts w:ascii="Arial" w:cs="Arial" w:eastAsia="Arial" w:hAnsi="Arial"/>
          <w:sz w:val="14"/>
          <w:szCs w:val="14"/>
          <w:color w:val="auto"/>
        </w:rPr>
        <w:t>$48.6</w:t>
      </w:r>
      <w:r>
        <w:rPr>
          <w:sz w:val="20"/>
          <w:szCs w:val="20"/>
          <w:color w:val="auto"/>
        </w:rPr>
        <w:tab/>
      </w:r>
      <w:r>
        <w:rPr>
          <w:rFonts w:ascii="Arial" w:cs="Arial" w:eastAsia="Arial" w:hAnsi="Arial"/>
          <w:sz w:val="13"/>
          <w:szCs w:val="13"/>
          <w:color w:val="auto"/>
        </w:rPr>
        <w:t>($96.6)</w:t>
      </w:r>
    </w:p>
    <w:p>
      <w:pPr>
        <w:spacing w:after="0" w:line="136" w:lineRule="exact"/>
        <w:rPr>
          <w:sz w:val="20"/>
          <w:szCs w:val="20"/>
          <w:color w:val="auto"/>
        </w:rPr>
      </w:pPr>
    </w:p>
    <w:p>
      <w:pPr>
        <w:spacing w:after="0"/>
        <w:tabs>
          <w:tab w:leader="none" w:pos="1380" w:val="left"/>
        </w:tabs>
        <w:rPr>
          <w:sz w:val="20"/>
          <w:szCs w:val="20"/>
          <w:color w:val="auto"/>
        </w:rPr>
      </w:pPr>
      <w:r>
        <w:rPr>
          <w:rFonts w:ascii="Arial" w:cs="Arial" w:eastAsia="Arial" w:hAnsi="Arial"/>
          <w:sz w:val="14"/>
          <w:szCs w:val="14"/>
          <w:color w:val="auto"/>
        </w:rPr>
        <w:t>(6.2)</w:t>
      </w:r>
      <w:r>
        <w:rPr>
          <w:rFonts w:ascii="Arial" w:cs="Arial" w:eastAsia="Arial" w:hAnsi="Arial"/>
          <w:sz w:val="17"/>
          <w:szCs w:val="17"/>
          <w:color w:val="auto"/>
          <w:vertAlign w:val="superscript"/>
        </w:rPr>
        <w:t>(1)</w:t>
      </w:r>
      <w:r>
        <w:rPr>
          <w:sz w:val="20"/>
          <w:szCs w:val="20"/>
          <w:color w:val="auto"/>
        </w:rPr>
        <w:tab/>
      </w:r>
      <w:r>
        <w:rPr>
          <w:rFonts w:ascii="Arial" w:cs="Arial" w:eastAsia="Arial" w:hAnsi="Arial"/>
          <w:sz w:val="13"/>
          <w:szCs w:val="13"/>
          <w:color w:val="auto"/>
        </w:rPr>
        <w:t>(32.1)</w:t>
      </w:r>
      <w:r>
        <w:rPr>
          <w:rFonts w:ascii="Arial" w:cs="Arial" w:eastAsia="Arial" w:hAnsi="Arial"/>
          <w:sz w:val="15"/>
          <w:szCs w:val="15"/>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-14605</wp:posOffset>
            </wp:positionV>
            <wp:extent cx="1405890" cy="1454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405890" cy="14541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Arial" w:cs="Arial" w:eastAsia="Arial" w:hAnsi="Arial"/>
          <w:sz w:val="14"/>
          <w:szCs w:val="14"/>
          <w:color w:val="auto"/>
        </w:rPr>
        <w:t>18.7</w:t>
      </w:r>
      <w:r>
        <w:rPr>
          <w:rFonts w:ascii="Arial" w:cs="Arial" w:eastAsia="Arial" w:hAnsi="Arial"/>
          <w:sz w:val="17"/>
          <w:szCs w:val="17"/>
          <w:color w:val="auto"/>
          <w:vertAlign w:val="superscript"/>
        </w:rPr>
        <w:t>(2)</w:t>
      </w:r>
    </w:p>
    <w:p>
      <w:pPr>
        <w:spacing w:after="0" w:line="34" w:lineRule="exact"/>
        <w:rPr>
          <w:sz w:val="20"/>
          <w:szCs w:val="20"/>
          <w:color w:val="auto"/>
        </w:rPr>
      </w:pPr>
    </w:p>
    <w:p>
      <w:pPr>
        <w:ind w:left="20"/>
        <w:spacing w:after="0"/>
        <w:tabs>
          <w:tab w:leader="none" w:pos="1380" w:val="left"/>
        </w:tabs>
        <w:rPr>
          <w:sz w:val="20"/>
          <w:szCs w:val="20"/>
          <w:color w:val="auto"/>
        </w:rPr>
      </w:pPr>
      <w:r>
        <w:rPr>
          <w:rFonts w:ascii="Arial" w:cs="Arial" w:eastAsia="Arial" w:hAnsi="Arial"/>
          <w:sz w:val="14"/>
          <w:szCs w:val="14"/>
          <w:color w:val="auto"/>
        </w:rPr>
        <w:t>41.0</w:t>
      </w:r>
      <w:r>
        <w:rPr>
          <w:rFonts w:ascii="Arial" w:cs="Arial" w:eastAsia="Arial" w:hAnsi="Arial"/>
          <w:sz w:val="17"/>
          <w:szCs w:val="17"/>
          <w:color w:val="auto"/>
          <w:vertAlign w:val="superscript"/>
        </w:rPr>
        <w:t>(3)</w:t>
      </w:r>
      <w:r>
        <w:rPr>
          <w:sz w:val="20"/>
          <w:szCs w:val="20"/>
          <w:color w:val="auto"/>
        </w:rPr>
        <w:tab/>
      </w:r>
      <w:r>
        <w:rPr>
          <w:rFonts w:ascii="Arial" w:cs="Arial" w:eastAsia="Arial" w:hAnsi="Arial"/>
          <w:sz w:val="13"/>
          <w:szCs w:val="13"/>
          <w:color w:val="auto"/>
        </w:rPr>
        <w:t>147.7</w:t>
      </w:r>
      <w:r>
        <w:rPr>
          <w:rFonts w:ascii="Arial" w:cs="Arial" w:eastAsia="Arial" w:hAnsi="Arial"/>
          <w:sz w:val="15"/>
          <w:szCs w:val="15"/>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-20955</wp:posOffset>
            </wp:positionV>
            <wp:extent cx="1405890" cy="1454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405890" cy="145415"/>
                    </a:xfrm>
                    <a:prstGeom prst="rect">
                      <a:avLst/>
                    </a:prstGeom>
                    <a:noFill/>
                  </pic:spPr>
                </pic:pic>
              </a:graphicData>
            </a:graphic>
          </wp:anchor>
        </w:drawing>
      </w:r>
    </w:p>
    <w:p>
      <w:pPr>
        <w:spacing w:after="0" w:line="14" w:lineRule="exact"/>
        <w:rPr>
          <w:sz w:val="20"/>
          <w:szCs w:val="20"/>
          <w:color w:val="auto"/>
        </w:rPr>
      </w:pPr>
    </w:p>
    <w:p>
      <w:pPr>
        <w:ind w:left="740"/>
        <w:spacing w:after="0"/>
        <w:tabs>
          <w:tab w:leader="none" w:pos="1420" w:val="left"/>
        </w:tabs>
        <w:rPr>
          <w:sz w:val="20"/>
          <w:szCs w:val="20"/>
          <w:color w:val="auto"/>
        </w:rPr>
      </w:pPr>
      <w:r>
        <w:rPr>
          <w:rFonts w:ascii="Arial" w:cs="Arial" w:eastAsia="Arial" w:hAnsi="Arial"/>
          <w:sz w:val="14"/>
          <w:szCs w:val="14"/>
          <w:color w:val="auto"/>
        </w:rPr>
        <w:t>4.0</w:t>
      </w:r>
      <w:r>
        <w:rPr>
          <w:rFonts w:ascii="Arial" w:cs="Arial" w:eastAsia="Arial" w:hAnsi="Arial"/>
          <w:sz w:val="17"/>
          <w:szCs w:val="17"/>
          <w:color w:val="auto"/>
          <w:vertAlign w:val="superscript"/>
        </w:rPr>
        <w:t>(4)</w:t>
      </w:r>
      <w:r>
        <w:rPr>
          <w:sz w:val="20"/>
          <w:szCs w:val="20"/>
          <w:color w:val="auto"/>
        </w:rPr>
        <w:tab/>
      </w:r>
      <w:r>
        <w:rPr>
          <w:rFonts w:ascii="Arial" w:cs="Arial" w:eastAsia="Arial" w:hAnsi="Arial"/>
          <w:sz w:val="13"/>
          <w:szCs w:val="13"/>
          <w:color w:val="auto"/>
        </w:rPr>
        <w:t>12.8</w:t>
      </w:r>
      <w:r>
        <w:rPr>
          <w:rFonts w:ascii="Arial" w:cs="Arial" w:eastAsia="Arial" w:hAnsi="Arial"/>
          <w:sz w:val="15"/>
          <w:szCs w:val="15"/>
          <w:color w:val="auto"/>
          <w:vertAlign w:val="superscript"/>
        </w:rPr>
        <w:t>(7)</w:t>
      </w:r>
    </w:p>
    <w:p>
      <w:pPr>
        <w:ind w:left="1480"/>
        <w:spacing w:after="0" w:line="186" w:lineRule="auto"/>
        <w:rPr>
          <w:sz w:val="20"/>
          <w:szCs w:val="20"/>
          <w:color w:val="auto"/>
        </w:rPr>
      </w:pPr>
      <w:r>
        <w:rPr>
          <w:rFonts w:ascii="Arial" w:cs="Arial" w:eastAsia="Arial" w:hAnsi="Arial"/>
          <w:sz w:val="24"/>
          <w:szCs w:val="24"/>
          <w:color w:val="auto"/>
          <w:vertAlign w:val="subscript"/>
        </w:rPr>
        <w:t>9.5</w:t>
      </w:r>
      <w:r>
        <w:rPr>
          <w:rFonts w:ascii="Arial" w:cs="Arial" w:eastAsia="Arial" w:hAnsi="Arial"/>
          <w:sz w:val="8"/>
          <w:szCs w:val="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-10795</wp:posOffset>
            </wp:positionV>
            <wp:extent cx="1405890" cy="4318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405890" cy="43180"/>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700" w:val="left"/>
          <w:tab w:leader="none" w:pos="1440" w:val="left"/>
        </w:tabs>
        <w:rPr>
          <w:sz w:val="20"/>
          <w:szCs w:val="20"/>
          <w:color w:val="auto"/>
        </w:rPr>
      </w:pPr>
      <w:r>
        <w:rPr>
          <w:rFonts w:ascii="Arial" w:cs="Arial" w:eastAsia="Arial" w:hAnsi="Arial"/>
          <w:sz w:val="14"/>
          <w:szCs w:val="14"/>
          <w:color w:val="auto"/>
        </w:rPr>
        <w:t>$68.3</w:t>
      </w:r>
      <w:r>
        <w:rPr>
          <w:sz w:val="20"/>
          <w:szCs w:val="20"/>
          <w:color w:val="auto"/>
        </w:rPr>
        <w:tab/>
      </w:r>
      <w:r>
        <w:rPr>
          <w:rFonts w:ascii="Arial" w:cs="Arial" w:eastAsia="Arial" w:hAnsi="Arial"/>
          <w:sz w:val="14"/>
          <w:szCs w:val="14"/>
          <w:color w:val="auto"/>
        </w:rPr>
        <w:t>$52.6</w:t>
      </w:r>
      <w:r>
        <w:rPr>
          <w:sz w:val="20"/>
          <w:szCs w:val="20"/>
          <w:color w:val="auto"/>
        </w:rPr>
        <w:tab/>
      </w:r>
      <w:r>
        <w:rPr>
          <w:rFonts w:ascii="Arial" w:cs="Arial" w:eastAsia="Arial" w:hAnsi="Arial"/>
          <w:sz w:val="14"/>
          <w:szCs w:val="14"/>
          <w:color w:val="auto"/>
        </w:rPr>
        <w:t>$44.3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-95885</wp:posOffset>
            </wp:positionV>
            <wp:extent cx="1405890" cy="14605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405890" cy="146050"/>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8284" w:space="720"/>
            <w:col w:w="2020"/>
          </w:cols>
          <w:pgMar w:left="436" w:top="296" w:right="439" w:bottom="1440" w:gutter="0" w:footer="0" w:header="0"/>
        </w:sectPr>
      </w:pPr>
    </w:p>
    <w:p>
      <w:pPr>
        <w:ind w:left="324" w:right="300" w:hanging="324"/>
        <w:spacing w:after="0" w:line="216" w:lineRule="auto"/>
        <w:tabs>
          <w:tab w:leader="none" w:pos="324" w:val="left"/>
        </w:tabs>
        <w:numPr>
          <w:ilvl w:val="0"/>
          <w:numId w:val="66"/>
        </w:numPr>
        <w:rPr>
          <w:rFonts w:ascii="Arial" w:cs="Arial" w:eastAsia="Arial" w:hAnsi="Arial"/>
          <w:sz w:val="16"/>
          <w:szCs w:val="16"/>
          <w:color w:val="auto"/>
          <w:vertAlign w:val="superscript"/>
        </w:rPr>
      </w:pPr>
      <w:r>
        <w:rPr>
          <w:rFonts w:ascii="Arial" w:cs="Arial" w:eastAsia="Arial" w:hAnsi="Arial"/>
          <w:sz w:val="13"/>
          <w:szCs w:val="13"/>
          <w:color w:val="auto"/>
        </w:rPr>
        <w:t>Gain on sale of assets in 2022 is related to the sale of real property in the fourth quarter, under-utilized real property in the second quarter, and other real property sold in the first quarter of 2022</w:t>
      </w:r>
    </w:p>
    <w:p>
      <w:pPr>
        <w:spacing w:after="0" w:line="19" w:lineRule="exact"/>
        <w:rPr>
          <w:rFonts w:ascii="Arial" w:cs="Arial" w:eastAsia="Arial" w:hAnsi="Arial"/>
          <w:sz w:val="16"/>
          <w:szCs w:val="16"/>
          <w:color w:val="auto"/>
          <w:vertAlign w:val="superscript"/>
        </w:rPr>
      </w:pPr>
    </w:p>
    <w:p>
      <w:pPr>
        <w:ind w:left="324" w:hanging="324"/>
        <w:spacing w:after="0"/>
        <w:tabs>
          <w:tab w:leader="none" w:pos="324" w:val="left"/>
        </w:tabs>
        <w:numPr>
          <w:ilvl w:val="0"/>
          <w:numId w:val="66"/>
        </w:numPr>
        <w:rPr>
          <w:rFonts w:ascii="Arial" w:cs="Arial" w:eastAsia="Arial" w:hAnsi="Arial"/>
          <w:sz w:val="16"/>
          <w:szCs w:val="16"/>
          <w:color w:val="auto"/>
          <w:vertAlign w:val="superscript"/>
        </w:rPr>
      </w:pPr>
      <w:r>
        <w:rPr>
          <w:rFonts w:ascii="Arial" w:cs="Arial" w:eastAsia="Arial" w:hAnsi="Arial"/>
          <w:sz w:val="13"/>
          <w:szCs w:val="13"/>
          <w:color w:val="auto"/>
        </w:rPr>
        <w:t>Loss on disposal in 2022 represents the write-off of the net assets of our Russian operations that were sold in the third quarter of 2022</w:t>
      </w:r>
    </w:p>
    <w:p>
      <w:pPr>
        <w:spacing w:after="0" w:line="48" w:lineRule="exact"/>
        <w:rPr>
          <w:rFonts w:ascii="Arial" w:cs="Arial" w:eastAsia="Arial" w:hAnsi="Arial"/>
          <w:sz w:val="16"/>
          <w:szCs w:val="16"/>
          <w:color w:val="auto"/>
          <w:vertAlign w:val="superscript"/>
        </w:rPr>
      </w:pPr>
    </w:p>
    <w:p>
      <w:pPr>
        <w:ind w:left="324" w:hanging="324"/>
        <w:spacing w:after="0" w:line="214" w:lineRule="auto"/>
        <w:tabs>
          <w:tab w:leader="none" w:pos="324" w:val="left"/>
        </w:tabs>
        <w:numPr>
          <w:ilvl w:val="0"/>
          <w:numId w:val="66"/>
        </w:numPr>
        <w:rPr>
          <w:rFonts w:ascii="Arial" w:cs="Arial" w:eastAsia="Arial" w:hAnsi="Arial"/>
          <w:sz w:val="15"/>
          <w:szCs w:val="15"/>
          <w:color w:val="auto"/>
          <w:vertAlign w:val="superscript"/>
        </w:rPr>
      </w:pPr>
      <w:r>
        <w:rPr>
          <w:rFonts w:ascii="Arial" w:cs="Arial" w:eastAsia="Arial" w:hAnsi="Arial"/>
          <w:sz w:val="12"/>
          <w:szCs w:val="12"/>
          <w:color w:val="auto"/>
        </w:rPr>
        <w:t>Goodwill impairment charge in 2022 is the result of interim impairment tests the Company performed related to RocketPower due to triggering events caused by changes in market conditions</w:t>
      </w:r>
    </w:p>
    <w:p>
      <w:pPr>
        <w:spacing w:after="0" w:line="48" w:lineRule="exact"/>
        <w:rPr>
          <w:rFonts w:ascii="Arial" w:cs="Arial" w:eastAsia="Arial" w:hAnsi="Arial"/>
          <w:sz w:val="15"/>
          <w:szCs w:val="15"/>
          <w:color w:val="auto"/>
          <w:vertAlign w:val="superscript"/>
        </w:rPr>
      </w:pPr>
    </w:p>
    <w:p>
      <w:pPr>
        <w:ind w:left="324" w:right="240" w:hanging="324"/>
        <w:spacing w:after="0" w:line="207" w:lineRule="auto"/>
        <w:tabs>
          <w:tab w:leader="none" w:pos="324" w:val="left"/>
        </w:tabs>
        <w:numPr>
          <w:ilvl w:val="0"/>
          <w:numId w:val="66"/>
        </w:numPr>
        <w:rPr>
          <w:rFonts w:ascii="Arial" w:cs="Arial" w:eastAsia="Arial" w:hAnsi="Arial"/>
          <w:sz w:val="16"/>
          <w:szCs w:val="16"/>
          <w:color w:val="auto"/>
          <w:vertAlign w:val="superscript"/>
        </w:rPr>
      </w:pPr>
      <w:r>
        <w:rPr>
          <w:rFonts w:ascii="Arial" w:cs="Arial" w:eastAsia="Arial" w:hAnsi="Arial"/>
          <w:sz w:val="13"/>
          <w:szCs w:val="13"/>
          <w:color w:val="auto"/>
        </w:rPr>
        <w:t>Restructuring charges in 2021 represents severance costs as part of cost management actions designed to increase operational efficiencies with enterprise functions that provide centralize support to operating units</w:t>
      </w:r>
    </w:p>
    <w:p>
      <w:pPr>
        <w:spacing w:after="0" w:line="19" w:lineRule="exact"/>
        <w:rPr>
          <w:rFonts w:ascii="Arial" w:cs="Arial" w:eastAsia="Arial" w:hAnsi="Arial"/>
          <w:sz w:val="16"/>
          <w:szCs w:val="16"/>
          <w:color w:val="auto"/>
          <w:vertAlign w:val="superscript"/>
        </w:rPr>
      </w:pPr>
    </w:p>
    <w:p>
      <w:pPr>
        <w:ind w:left="324" w:hanging="324"/>
        <w:spacing w:after="0"/>
        <w:tabs>
          <w:tab w:leader="none" w:pos="324" w:val="left"/>
        </w:tabs>
        <w:numPr>
          <w:ilvl w:val="0"/>
          <w:numId w:val="66"/>
        </w:numPr>
        <w:rPr>
          <w:rFonts w:ascii="Arial" w:cs="Arial" w:eastAsia="Arial" w:hAnsi="Arial"/>
          <w:sz w:val="16"/>
          <w:szCs w:val="16"/>
          <w:color w:val="auto"/>
          <w:vertAlign w:val="superscript"/>
        </w:rPr>
      </w:pPr>
      <w:r>
        <w:rPr>
          <w:rFonts w:ascii="Arial" w:cs="Arial" w:eastAsia="Arial" w:hAnsi="Arial"/>
          <w:sz w:val="13"/>
          <w:szCs w:val="13"/>
          <w:color w:val="auto"/>
        </w:rPr>
        <w:t>Gain on sale of assets primarily represents the excess of proceeds over the cost of the headquarters properties sold during the first quarter of 2020</w:t>
      </w:r>
    </w:p>
    <w:p>
      <w:pPr>
        <w:spacing w:after="0" w:line="48" w:lineRule="exact"/>
        <w:rPr>
          <w:rFonts w:ascii="Arial" w:cs="Arial" w:eastAsia="Arial" w:hAnsi="Arial"/>
          <w:sz w:val="16"/>
          <w:szCs w:val="16"/>
          <w:color w:val="auto"/>
          <w:vertAlign w:val="superscript"/>
        </w:rPr>
      </w:pPr>
    </w:p>
    <w:p>
      <w:pPr>
        <w:ind w:left="324" w:right="20" w:hanging="324"/>
        <w:spacing w:after="0" w:line="207" w:lineRule="auto"/>
        <w:tabs>
          <w:tab w:leader="none" w:pos="324" w:val="left"/>
        </w:tabs>
        <w:numPr>
          <w:ilvl w:val="0"/>
          <w:numId w:val="66"/>
        </w:numPr>
        <w:rPr>
          <w:rFonts w:ascii="Arial" w:cs="Arial" w:eastAsia="Arial" w:hAnsi="Arial"/>
          <w:sz w:val="16"/>
          <w:szCs w:val="16"/>
          <w:color w:val="auto"/>
          <w:vertAlign w:val="superscript"/>
        </w:rPr>
      </w:pPr>
      <w:r>
        <w:rPr>
          <w:rFonts w:ascii="Arial" w:cs="Arial" w:eastAsia="Arial" w:hAnsi="Arial"/>
          <w:sz w:val="13"/>
          <w:szCs w:val="13"/>
          <w:color w:val="auto"/>
        </w:rPr>
        <w:t>The goodwill impairment charge is a result of an interim impairment test the Company performed during the first quarter of 2020, due to a triggering event caused by a decline in the Company’s common stock price</w:t>
      </w:r>
    </w:p>
    <w:p>
      <w:pPr>
        <w:spacing w:after="0" w:line="19" w:lineRule="exact"/>
        <w:rPr>
          <w:rFonts w:ascii="Arial" w:cs="Arial" w:eastAsia="Arial" w:hAnsi="Arial"/>
          <w:sz w:val="16"/>
          <w:szCs w:val="16"/>
          <w:color w:val="auto"/>
          <w:vertAlign w:val="superscript"/>
        </w:rPr>
      </w:pPr>
    </w:p>
    <w:p>
      <w:pPr>
        <w:ind w:left="324" w:hanging="324"/>
        <w:spacing w:after="0"/>
        <w:tabs>
          <w:tab w:leader="none" w:pos="324" w:val="left"/>
        </w:tabs>
        <w:numPr>
          <w:ilvl w:val="0"/>
          <w:numId w:val="66"/>
        </w:numPr>
        <w:rPr>
          <w:rFonts w:ascii="Arial" w:cs="Arial" w:eastAsia="Arial" w:hAnsi="Arial"/>
          <w:sz w:val="16"/>
          <w:szCs w:val="16"/>
          <w:color w:val="auto"/>
          <w:vertAlign w:val="superscript"/>
        </w:rPr>
      </w:pPr>
      <w:r>
        <w:rPr>
          <w:rFonts w:ascii="Arial" w:cs="Arial" w:eastAsia="Arial" w:hAnsi="Arial"/>
          <w:sz w:val="13"/>
          <w:szCs w:val="13"/>
          <w:color w:val="auto"/>
        </w:rPr>
        <w:t>Restructuring charges in 2020 represents severance and lease terminations in preparation for a new operating model adopted in the third quarter of 2020</w:t>
      </w:r>
    </w:p>
    <w:p>
      <w:pPr>
        <w:spacing w:after="0" w:line="48" w:lineRule="exact"/>
        <w:rPr>
          <w:rFonts w:ascii="Arial" w:cs="Arial" w:eastAsia="Arial" w:hAnsi="Arial"/>
          <w:sz w:val="16"/>
          <w:szCs w:val="16"/>
          <w:color w:val="auto"/>
          <w:vertAlign w:val="superscript"/>
        </w:rPr>
      </w:pPr>
    </w:p>
    <w:p>
      <w:pPr>
        <w:ind w:left="324" w:right="380" w:hanging="324"/>
        <w:spacing w:after="0" w:line="207" w:lineRule="auto"/>
        <w:tabs>
          <w:tab w:leader="none" w:pos="324" w:val="left"/>
        </w:tabs>
        <w:numPr>
          <w:ilvl w:val="0"/>
          <w:numId w:val="66"/>
        </w:numPr>
        <w:rPr>
          <w:rFonts w:ascii="Arial" w:cs="Arial" w:eastAsia="Arial" w:hAnsi="Arial"/>
          <w:sz w:val="16"/>
          <w:szCs w:val="16"/>
          <w:color w:val="auto"/>
          <w:vertAlign w:val="superscript"/>
        </w:rPr>
      </w:pPr>
      <w:r>
        <w:rPr>
          <w:rFonts w:ascii="Arial" w:cs="Arial" w:eastAsia="Arial" w:hAnsi="Arial"/>
          <w:sz w:val="13"/>
          <w:szCs w:val="13"/>
          <w:color w:val="auto"/>
        </w:rPr>
        <w:t>Customer dispute in 2020 represents a non-cash charge in Mexico to increase the reserve against a long-term receivable from a former customer based on an updated probability of loss assessment</w:t>
      </w:r>
    </w:p>
    <w:p>
      <w:pPr>
        <w:spacing w:after="0" w:line="190" w:lineRule="exact"/>
        <w:rPr>
          <w:sz w:val="20"/>
          <w:szCs w:val="20"/>
          <w:color w:val="auto"/>
        </w:rPr>
      </w:pPr>
    </w:p>
    <w:p>
      <w:pPr>
        <w:ind w:left="4" w:right="580"/>
        <w:spacing w:after="0" w:line="286" w:lineRule="auto"/>
        <w:rPr>
          <w:sz w:val="20"/>
          <w:szCs w:val="20"/>
          <w:color w:val="auto"/>
        </w:rPr>
      </w:pPr>
      <w:r>
        <w:rPr>
          <w:rFonts w:ascii="Arial" w:cs="Arial" w:eastAsia="Arial" w:hAnsi="Arial"/>
          <w:sz w:val="16"/>
          <w:szCs w:val="16"/>
          <w:color w:val="auto"/>
        </w:rPr>
        <w:t>As discussed in the CD&amp;A section of this Proxy Statement, the five items listed below represent the most important financial measures we used to determine CAP for FY 2022.</w:t>
      </w:r>
    </w:p>
    <w:p>
      <w:pPr>
        <w:spacing w:after="0" w:line="187" w:lineRule="exact"/>
        <w:rPr>
          <w:sz w:val="20"/>
          <w:szCs w:val="20"/>
          <w:color w:val="auto"/>
        </w:rPr>
      </w:pPr>
    </w:p>
    <w:p>
      <w:pPr>
        <w:jc w:val="center"/>
        <w:ind w:right="6816"/>
        <w:spacing w:after="0"/>
        <w:rPr>
          <w:sz w:val="20"/>
          <w:szCs w:val="20"/>
          <w:color w:val="auto"/>
        </w:rPr>
      </w:pPr>
      <w:r>
        <w:rPr>
          <w:rFonts w:ascii="Arial" w:cs="Arial" w:eastAsia="Arial" w:hAnsi="Arial"/>
          <w:sz w:val="14"/>
          <w:szCs w:val="14"/>
          <w:b w:val="1"/>
          <w:bCs w:val="1"/>
          <w:color w:val="00AF41"/>
        </w:rPr>
        <w:t>Most Important Financial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2665730" cy="15430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665730" cy="154305"/>
                    </a:xfrm>
                    <a:prstGeom prst="rect">
                      <a:avLst/>
                    </a:prstGeom>
                    <a:noFill/>
                  </pic:spPr>
                </pic:pic>
              </a:graphicData>
            </a:graphic>
          </wp:anchor>
        </w:drawing>
      </w:r>
    </w:p>
    <w:p>
      <w:pPr>
        <w:spacing w:after="0" w:line="62" w:lineRule="exact"/>
        <w:rPr>
          <w:sz w:val="20"/>
          <w:szCs w:val="20"/>
          <w:color w:val="auto"/>
        </w:rPr>
      </w:pPr>
    </w:p>
    <w:p>
      <w:pPr>
        <w:jc w:val="center"/>
        <w:ind w:right="6816"/>
        <w:spacing w:after="0"/>
        <w:rPr>
          <w:sz w:val="20"/>
          <w:szCs w:val="20"/>
          <w:color w:val="auto"/>
        </w:rPr>
      </w:pPr>
      <w:r>
        <w:rPr>
          <w:rFonts w:ascii="Arial" w:cs="Arial" w:eastAsia="Arial" w:hAnsi="Arial"/>
          <w:sz w:val="14"/>
          <w:szCs w:val="14"/>
          <w:color w:val="auto"/>
        </w:rPr>
        <w:t>Adjusted EFO</w:t>
      </w:r>
    </w:p>
    <w:p>
      <w:pPr>
        <w:spacing w:after="0" w:line="69" w:lineRule="exact"/>
        <w:rPr>
          <w:sz w:val="20"/>
          <w:szCs w:val="20"/>
          <w:color w:val="auto"/>
        </w:rPr>
      </w:pPr>
    </w:p>
    <w:p>
      <w:pPr>
        <w:jc w:val="center"/>
        <w:ind w:right="6756"/>
        <w:spacing w:after="0"/>
        <w:rPr>
          <w:sz w:val="20"/>
          <w:szCs w:val="20"/>
          <w:color w:val="auto"/>
        </w:rPr>
      </w:pPr>
      <w:r>
        <w:rPr>
          <w:rFonts w:ascii="Arial" w:cs="Arial" w:eastAsia="Arial" w:hAnsi="Arial"/>
          <w:sz w:val="14"/>
          <w:szCs w:val="14"/>
          <w:color w:val="auto"/>
        </w:rPr>
        <w:t>Gross Profit</w:t>
      </w:r>
    </w:p>
    <w:p>
      <w:pPr>
        <w:spacing w:after="0" w:line="69" w:lineRule="exact"/>
        <w:rPr>
          <w:sz w:val="20"/>
          <w:szCs w:val="20"/>
          <w:color w:val="auto"/>
        </w:rPr>
      </w:pPr>
    </w:p>
    <w:p>
      <w:pPr>
        <w:jc w:val="center"/>
        <w:ind w:right="6756"/>
        <w:spacing w:after="0"/>
        <w:rPr>
          <w:sz w:val="20"/>
          <w:szCs w:val="20"/>
          <w:color w:val="auto"/>
        </w:rPr>
      </w:pPr>
      <w:r>
        <w:rPr>
          <w:rFonts w:ascii="Arial" w:cs="Arial" w:eastAsia="Arial" w:hAnsi="Arial"/>
          <w:sz w:val="14"/>
          <w:szCs w:val="14"/>
          <w:color w:val="auto"/>
        </w:rPr>
        <w:t>EBITDA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2665730" cy="14605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665730" cy="146050"/>
                    </a:xfrm>
                    <a:prstGeom prst="rect">
                      <a:avLst/>
                    </a:prstGeom>
                    <a:noFill/>
                  </pic:spPr>
                </pic:pic>
              </a:graphicData>
            </a:graphic>
          </wp:anchor>
        </w:drawing>
      </w:r>
    </w:p>
    <w:p>
      <w:pPr>
        <w:spacing w:after="0" w:line="49" w:lineRule="exact"/>
        <w:rPr>
          <w:sz w:val="20"/>
          <w:szCs w:val="20"/>
          <w:color w:val="auto"/>
        </w:rPr>
      </w:pPr>
    </w:p>
    <w:p>
      <w:pPr>
        <w:jc w:val="center"/>
        <w:ind w:right="6756"/>
        <w:spacing w:after="0"/>
        <w:rPr>
          <w:sz w:val="20"/>
          <w:szCs w:val="20"/>
          <w:color w:val="auto"/>
        </w:rPr>
      </w:pPr>
      <w:r>
        <w:rPr>
          <w:rFonts w:ascii="Arial" w:cs="Arial" w:eastAsia="Arial" w:hAnsi="Arial"/>
          <w:sz w:val="14"/>
          <w:szCs w:val="14"/>
          <w:color w:val="auto"/>
        </w:rPr>
        <w:t>Revenue Growth</w:t>
      </w:r>
    </w:p>
    <w:p>
      <w:pPr>
        <w:spacing w:after="0" w:line="69" w:lineRule="exact"/>
        <w:rPr>
          <w:sz w:val="20"/>
          <w:szCs w:val="20"/>
          <w:color w:val="auto"/>
        </w:rPr>
      </w:pPr>
    </w:p>
    <w:p>
      <w:pPr>
        <w:jc w:val="center"/>
        <w:ind w:right="6756"/>
        <w:spacing w:after="0"/>
        <w:rPr>
          <w:sz w:val="20"/>
          <w:szCs w:val="20"/>
          <w:color w:val="auto"/>
        </w:rPr>
      </w:pPr>
      <w:r>
        <w:rPr>
          <w:rFonts w:ascii="Arial" w:cs="Arial" w:eastAsia="Arial" w:hAnsi="Arial"/>
          <w:sz w:val="14"/>
          <w:szCs w:val="14"/>
          <w:color w:val="auto"/>
        </w:rPr>
        <w:t>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2665730" cy="15430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665730" cy="154305"/>
                    </a:xfrm>
                    <a:prstGeom prst="rect">
                      <a:avLst/>
                    </a:prstGeom>
                    <a:noFill/>
                  </pic:spPr>
                </pic:pic>
              </a:graphicData>
            </a:graphic>
          </wp:anchor>
        </w:drawing>
      </w:r>
    </w:p>
    <w:p>
      <w:pPr>
        <w:spacing w:after="0" w:line="273" w:lineRule="exact"/>
        <w:rPr>
          <w:sz w:val="20"/>
          <w:szCs w:val="20"/>
          <w:color w:val="auto"/>
        </w:rPr>
      </w:pPr>
    </w:p>
    <w:p>
      <w:pPr>
        <w:ind w:left="4" w:right="80"/>
        <w:spacing w:after="0" w:line="259" w:lineRule="auto"/>
        <w:rPr>
          <w:sz w:val="20"/>
          <w:szCs w:val="20"/>
          <w:color w:val="auto"/>
        </w:rPr>
      </w:pPr>
      <w:r>
        <w:rPr>
          <w:rFonts w:ascii="Arial" w:cs="Arial" w:eastAsia="Arial" w:hAnsi="Arial"/>
          <w:sz w:val="16"/>
          <w:szCs w:val="16"/>
          <w:color w:val="auto"/>
        </w:rPr>
        <w:t>The charts below show, for the past three years, the relationship of the Company’s TSR relative to the S&amp;P 1500 Human Resources and Employment Services index, which reflects the Company’s industry sector, as well as the relationship between the CEO and non-CEO CAP and the Company’s TSR; the Company’s net earnings; and the Company’s non-GAAP adjusted EFO. Compensation in 2020 was impacted by the global pandemic. As a result, no annual cash payout was awarded to NEOs, and equity incentive awards were reduced by 50%.</w:t>
      </w:r>
    </w:p>
    <w:p>
      <w:pPr>
        <w:spacing w:after="0" w:line="98" w:lineRule="exact"/>
        <w:rPr>
          <w:sz w:val="20"/>
          <w:szCs w:val="20"/>
          <w:color w:val="auto"/>
        </w:rPr>
      </w:pPr>
    </w:p>
    <w:p>
      <w:pPr>
        <w:ind w:left="10704"/>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6532245</wp:posOffset>
            </wp:positionH>
            <wp:positionV relativeFrom="paragraph">
              <wp:posOffset>-142875</wp:posOffset>
            </wp:positionV>
            <wp:extent cx="8255" cy="23177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5932170</wp:posOffset>
            </wp:positionH>
            <wp:positionV relativeFrom="paragraph">
              <wp:posOffset>-143510</wp:posOffset>
            </wp:positionV>
            <wp:extent cx="411480" cy="1968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Pay vs.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309360" cy="31203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309360" cy="3120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0"/>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-142875</wp:posOffset>
            </wp:positionV>
            <wp:extent cx="8255" cy="2311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-143510</wp:posOffset>
            </wp:positionV>
            <wp:extent cx="411480" cy="19748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411480" cy="197485"/>
                    </a:xfrm>
                    <a:prstGeom prst="rect">
                      <a:avLst/>
                    </a:prstGeom>
                    <a:noFill/>
                  </pic:spPr>
                </pic:pic>
              </a:graphicData>
            </a:graphic>
          </wp:anchor>
        </w:drawing>
      </w:r>
    </w:p>
    <w:p>
      <w:pPr>
        <w:sectPr>
          <w:pgSz w:w="11900" w:h="16838" w:orient="portrait"/>
          <w:cols w:equalWidth="0" w:num="1">
            <w:col w:w="10019"/>
          </w:cols>
          <w:pgMar w:left="440" w:top="296"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8" w:lineRule="exact"/>
        <w:rPr>
          <w:sz w:val="20"/>
          <w:szCs w:val="20"/>
          <w:color w:val="auto"/>
        </w:rPr>
      </w:pPr>
    </w:p>
    <w:p>
      <w:pPr>
        <w:ind w:left="120" w:right="1740"/>
        <w:spacing w:after="0" w:line="287" w:lineRule="auto"/>
        <w:rPr>
          <w:sz w:val="20"/>
          <w:szCs w:val="20"/>
          <w:color w:val="auto"/>
        </w:rPr>
      </w:pPr>
      <w:r>
        <w:rPr>
          <w:rFonts w:ascii="Arial" w:cs="Arial" w:eastAsia="Arial" w:hAnsi="Arial"/>
          <w:sz w:val="32"/>
          <w:szCs w:val="32"/>
          <w:b w:val="1"/>
          <w:bCs w:val="1"/>
          <w:color w:val="auto"/>
        </w:rPr>
        <w:t>Proposal 3 – Advisory Vote to Approve the Frequency of the Company’s Executive Compensation</w:t>
      </w:r>
    </w:p>
    <w:p>
      <w:pPr>
        <w:ind w:left="120" w:right="100"/>
        <w:spacing w:after="0" w:line="266" w:lineRule="auto"/>
        <w:rPr>
          <w:sz w:val="20"/>
          <w:szCs w:val="20"/>
          <w:color w:val="auto"/>
        </w:rPr>
      </w:pPr>
      <w:r>
        <w:rPr>
          <w:rFonts w:ascii="Arial" w:cs="Arial" w:eastAsia="Arial" w:hAnsi="Arial"/>
          <w:sz w:val="16"/>
          <w:szCs w:val="16"/>
          <w:color w:val="auto"/>
        </w:rPr>
        <w:t>The Dodd-Frank Act enables our shareholders to indicate how frequently we should seek an advisory vote on the compensation of our named executive officers, as disclosed pursuant to the SEC’s compensation disclosure rules. By voting on this Proposal, shareholders may indicate whether they would prefer an advisory vote on named executive officer compensation on a one year, two year, or three year basis.</w:t>
      </w:r>
    </w:p>
    <w:p>
      <w:pPr>
        <w:spacing w:after="0" w:line="171" w:lineRule="exact"/>
        <w:rPr>
          <w:sz w:val="20"/>
          <w:szCs w:val="20"/>
          <w:color w:val="auto"/>
        </w:rPr>
      </w:pPr>
    </w:p>
    <w:p>
      <w:pPr>
        <w:jc w:val="both"/>
        <w:ind w:left="120" w:right="200"/>
        <w:spacing w:after="0" w:line="266" w:lineRule="auto"/>
        <w:rPr>
          <w:sz w:val="20"/>
          <w:szCs w:val="20"/>
          <w:color w:val="auto"/>
        </w:rPr>
      </w:pPr>
      <w:r>
        <w:rPr>
          <w:rFonts w:ascii="Arial" w:cs="Arial" w:eastAsia="Arial" w:hAnsi="Arial"/>
          <w:sz w:val="16"/>
          <w:szCs w:val="16"/>
          <w:color w:val="auto"/>
        </w:rPr>
        <w:t>After careful consideration of this Proposal, our Board of Directors has determined that an advisory vote on executive compensation that occurs every year is the most appropriate alternative for the Company, and therefore our Board of Directors recommends that you vote for a one year interval for the advisory vote on executive compensation.</w:t>
      </w:r>
    </w:p>
    <w:p>
      <w:pPr>
        <w:spacing w:after="0" w:line="171"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In formulating its recommendation, our Board of Directors considered that an annual advisory vote on executive compensation will allow our shareholders to provide us with their direct input on our compensation philosophy, policies and practices as disclosed in the Proxy Statement every year. We understand that our shareholders may have different views as to what is the best approach for the Company, and we look forward to hearing from our shareholders on this Proposal.</w:t>
      </w:r>
    </w:p>
    <w:p>
      <w:pPr>
        <w:spacing w:after="0" w:line="178" w:lineRule="exact"/>
        <w:rPr>
          <w:sz w:val="20"/>
          <w:szCs w:val="20"/>
          <w:color w:val="auto"/>
        </w:rPr>
      </w:pPr>
    </w:p>
    <w:p>
      <w:pPr>
        <w:ind w:left="120" w:right="200"/>
        <w:spacing w:after="0" w:line="286" w:lineRule="auto"/>
        <w:rPr>
          <w:sz w:val="20"/>
          <w:szCs w:val="20"/>
          <w:color w:val="auto"/>
        </w:rPr>
      </w:pPr>
      <w:r>
        <w:rPr>
          <w:rFonts w:ascii="Arial" w:cs="Arial" w:eastAsia="Arial" w:hAnsi="Arial"/>
          <w:sz w:val="16"/>
          <w:szCs w:val="16"/>
          <w:color w:val="auto"/>
        </w:rPr>
        <w:t>You may cast your vote on your preferred voting frequency by choosing the option of one year, two years, three years, or abstain from voting when you vote in response to the resolution set forth below.</w:t>
      </w:r>
    </w:p>
    <w:p>
      <w:pPr>
        <w:spacing w:after="0" w:line="156" w:lineRule="exact"/>
        <w:rPr>
          <w:sz w:val="20"/>
          <w:szCs w:val="20"/>
          <w:color w:val="auto"/>
        </w:rPr>
      </w:pPr>
    </w:p>
    <w:p>
      <w:pPr>
        <w:ind w:left="120" w:right="300"/>
        <w:spacing w:after="0" w:line="259" w:lineRule="auto"/>
        <w:rPr>
          <w:sz w:val="20"/>
          <w:szCs w:val="20"/>
          <w:color w:val="auto"/>
        </w:rPr>
      </w:pPr>
      <w:r>
        <w:rPr>
          <w:rFonts w:ascii="Arial" w:cs="Arial" w:eastAsia="Arial" w:hAnsi="Arial"/>
          <w:sz w:val="16"/>
          <w:szCs w:val="16"/>
          <w:color w:val="auto"/>
        </w:rPr>
        <w:t>“RESOLVED, that the option of once every year, two years, or three years that receives the highest number of votes cast for this resolution will be determined to be the preferred frequency with which the Company is to hold a shareholder vote to approve the compensation of the named executive officers, as disclosed pursuant to the Securities and Exchange Commission’s compensation disclosure rules (which disclosure shall include the Compensation Discussion and Analysis, the Summary Compensation Table, and the other related tables and disclosure).”</w:t>
      </w:r>
    </w:p>
    <w:p>
      <w:pPr>
        <w:spacing w:after="0" w:line="178" w:lineRule="exact"/>
        <w:rPr>
          <w:sz w:val="20"/>
          <w:szCs w:val="20"/>
          <w:color w:val="auto"/>
        </w:rPr>
      </w:pPr>
    </w:p>
    <w:p>
      <w:pPr>
        <w:ind w:left="120" w:right="220"/>
        <w:spacing w:after="0" w:line="259" w:lineRule="auto"/>
        <w:rPr>
          <w:sz w:val="20"/>
          <w:szCs w:val="20"/>
          <w:color w:val="auto"/>
        </w:rPr>
      </w:pPr>
      <w:r>
        <w:rPr>
          <w:rFonts w:ascii="Arial" w:cs="Arial" w:eastAsia="Arial" w:hAnsi="Arial"/>
          <w:sz w:val="16"/>
          <w:szCs w:val="16"/>
          <w:color w:val="auto"/>
        </w:rPr>
        <w:t>The option of one year, two years, or three years that receives the highest number of votes cast by shareholders will be the frequency for the advisory vote on executive compensation that has been selected by shareholders. However, because this vote is advisory and not binding on the Board of Directors or the Company in any way, the Board of Directors may decide that it is in the best interests of our shareholders and the Company to hold an advisory vote on executive compensation more or less frequently than the option approved by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139065</wp:posOffset>
            </wp:positionV>
            <wp:extent cx="5760720" cy="43688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76072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0820"/>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77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-143510</wp:posOffset>
            </wp:positionV>
            <wp:extent cx="411480" cy="19685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00"/>
          </w:cols>
          <w:pgMar w:left="320" w:top="482" w:right="4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8" w:lineRule="exact"/>
        <w:rPr>
          <w:sz w:val="20"/>
          <w:szCs w:val="20"/>
          <w:color w:val="auto"/>
        </w:rPr>
      </w:pPr>
    </w:p>
    <w:p>
      <w:pPr>
        <w:ind w:left="120" w:right="1540"/>
        <w:spacing w:after="0" w:line="272" w:lineRule="auto"/>
        <w:rPr>
          <w:sz w:val="20"/>
          <w:szCs w:val="20"/>
          <w:color w:val="auto"/>
        </w:rPr>
      </w:pPr>
      <w:r>
        <w:rPr>
          <w:rFonts w:ascii="Arial" w:cs="Arial" w:eastAsia="Arial" w:hAnsi="Arial"/>
          <w:sz w:val="32"/>
          <w:szCs w:val="32"/>
          <w:b w:val="1"/>
          <w:bCs w:val="1"/>
          <w:color w:val="auto"/>
        </w:rPr>
        <w:t>Proposal 4 – Ratification of the Appointment of PricewaterhouseCoopers LLP as the Company’s Independent Registered Public Accounting Firm for the 2023 Fiscal Year</w:t>
      </w:r>
    </w:p>
    <w:p>
      <w:pPr>
        <w:spacing w:after="0" w:line="7"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auto"/>
        </w:rPr>
        <w:t>On an annual basis, the Audit Committee approves and appoints the independent registered public accounting firm. During its February 14, 2023 meeting, PricewaterhouseCoopers LLP (“PwC”) was appointed to audit the consolidated financial statements of the Company for the year ending December 31, 2023. This firm has served as the Company’s independent registered public accounting firm since 1960 and is considered to be well qualified. The reappointment process for the independent registered public accounting firm includes an annual assessment that takes into consideration, but is not limited to, a review of the following:</w:t>
      </w:r>
    </w:p>
    <w:p>
      <w:pPr>
        <w:spacing w:after="0" w:line="21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0AF41"/>
        </w:rPr>
        <w:t>1. Quality of services and sufficiency of resources provided by the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6995160" cy="2489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995160" cy="248920"/>
                    </a:xfrm>
                    <a:prstGeom prst="rect">
                      <a:avLst/>
                    </a:prstGeom>
                    <a:noFill/>
                  </pic:spPr>
                </pic:pic>
              </a:graphicData>
            </a:graphic>
          </wp:anchor>
        </w:drawing>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Knowledge and skills to meet the Company’s audit requirements</w:t>
      </w:r>
    </w:p>
    <w:p>
      <w:pPr>
        <w:spacing w:after="0" w:line="20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Partner rotation (every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2489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995160" cy="248920"/>
                    </a:xfrm>
                    <a:prstGeom prst="rect">
                      <a:avLst/>
                    </a:prstGeom>
                    <a:noFill/>
                  </pic:spPr>
                </pic:pic>
              </a:graphicData>
            </a:graphic>
          </wp:anchor>
        </w:drawing>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Appropriate audit engagement partner</w:t>
      </w:r>
    </w:p>
    <w:p>
      <w:pPr>
        <w:spacing w:after="0" w:line="20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Engagement letter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2489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995160" cy="248920"/>
                    </a:xfrm>
                    <a:prstGeom prst="rect">
                      <a:avLst/>
                    </a:prstGeom>
                    <a:noFill/>
                  </pic:spPr>
                </pic:pic>
              </a:graphicData>
            </a:graphic>
          </wp:anchor>
        </w:drawing>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Industry experience</w:t>
      </w:r>
    </w:p>
    <w:p>
      <w:pPr>
        <w:spacing w:after="0" w:line="20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Results of consultations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24892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995160" cy="248920"/>
                    </a:xfrm>
                    <a:prstGeom prst="rect">
                      <a:avLst/>
                    </a:prstGeom>
                    <a:noFill/>
                  </pic:spPr>
                </pic:pic>
              </a:graphicData>
            </a:graphic>
          </wp:anchor>
        </w:drawing>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Audit cost (fee negotiations included)</w:t>
      </w:r>
    </w:p>
    <w:p>
      <w:pPr>
        <w:spacing w:after="0" w:line="20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Long tenure and familiarity with the Company’s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4"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0AF41"/>
        </w:rPr>
        <w:t>2. Communication and interaction during the engagements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6995160" cy="2482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995160" cy="248285"/>
                    </a:xfrm>
                    <a:prstGeom prst="rect">
                      <a:avLst/>
                    </a:prstGeom>
                    <a:noFill/>
                  </pic:spPr>
                </pic:pic>
              </a:graphicData>
            </a:graphic>
          </wp:anchor>
        </w:drawing>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Professional and open dialog</w:t>
      </w:r>
    </w:p>
    <w:p>
      <w:pPr>
        <w:spacing w:after="0" w:line="20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Accessibility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24828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995160" cy="248285"/>
                    </a:xfrm>
                    <a:prstGeom prst="rect">
                      <a:avLst/>
                    </a:prstGeom>
                    <a:noFill/>
                  </pic:spPr>
                </pic:pic>
              </a:graphicData>
            </a:graphic>
          </wp:anchor>
        </w:drawing>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Current accounting developments conversations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4"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0AF41"/>
        </w:rPr>
        <w:t>3. Independence, objectivity, and professional skepticism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6995160" cy="2489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995160" cy="248920"/>
                    </a:xfrm>
                    <a:prstGeom prst="rect">
                      <a:avLst/>
                    </a:prstGeom>
                    <a:noFill/>
                  </pic:spPr>
                </pic:pic>
              </a:graphicData>
            </a:graphic>
          </wp:anchor>
        </w:drawing>
      </w:r>
    </w:p>
    <w:p>
      <w:pPr>
        <w:spacing w:after="0" w:line="9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Assessment of audit evidence</w:t>
      </w:r>
    </w:p>
    <w:p>
      <w:pPr>
        <w:spacing w:after="0" w:line="20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Internal Audit reliance</w:t>
      </w:r>
    </w:p>
    <w:p>
      <w:pPr>
        <w:spacing w:after="0" w:line="329" w:lineRule="exact"/>
        <w:rPr>
          <w:sz w:val="20"/>
          <w:szCs w:val="20"/>
          <w:color w:val="auto"/>
        </w:rPr>
      </w:pPr>
    </w:p>
    <w:p>
      <w:pPr>
        <w:ind w:left="120" w:right="300"/>
        <w:spacing w:after="0" w:line="286" w:lineRule="auto"/>
        <w:rPr>
          <w:sz w:val="20"/>
          <w:szCs w:val="20"/>
          <w:color w:val="auto"/>
        </w:rPr>
      </w:pPr>
      <w:r>
        <w:rPr>
          <w:rFonts w:ascii="Arial" w:cs="Arial" w:eastAsia="Arial" w:hAnsi="Arial"/>
          <w:sz w:val="16"/>
          <w:szCs w:val="16"/>
          <w:color w:val="auto"/>
        </w:rPr>
        <w:t>The Board of Directors seeks ratification of the appointment of PwC. The representatives of the firm are expected to be present at the Annual Meeting and will be available to respond to all appropriate questions.</w:t>
      </w:r>
    </w:p>
    <w:p>
      <w:pPr>
        <w:spacing w:after="0" w:line="24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Audit and Non-Audit Fees</w:t>
      </w:r>
    </w:p>
    <w:p>
      <w:pPr>
        <w:spacing w:after="0" w:line="112" w:lineRule="exact"/>
        <w:rPr>
          <w:sz w:val="20"/>
          <w:szCs w:val="20"/>
          <w:color w:val="auto"/>
        </w:rPr>
      </w:pPr>
    </w:p>
    <w:p>
      <w:pPr>
        <w:jc w:val="both"/>
        <w:ind w:left="120" w:right="340"/>
        <w:spacing w:after="0" w:line="259" w:lineRule="auto"/>
        <w:rPr>
          <w:sz w:val="20"/>
          <w:szCs w:val="20"/>
          <w:color w:val="auto"/>
        </w:rPr>
      </w:pPr>
      <w:r>
        <w:rPr>
          <w:rFonts w:ascii="Arial" w:cs="Arial" w:eastAsia="Arial" w:hAnsi="Arial"/>
          <w:sz w:val="16"/>
          <w:szCs w:val="16"/>
          <w:color w:val="auto"/>
        </w:rPr>
        <w:t xml:space="preserve">The Audit Committee is responsible for the compensation (including negotiations) of the independent registered public accounting firm and requires pre-approval of all audit and non-audit services prior to engagement by the Company. In conjunction with the pre-approval, the Committee considers whether non-audit services are consistent with the rules and regulations of the SEC on auditor independence. The authority of the Audit Committee is detailed in its charter, which is posted on the Company’s website at </w:t>
      </w:r>
      <w:r>
        <w:rPr>
          <w:rFonts w:ascii="Arial" w:cs="Arial" w:eastAsia="Arial" w:hAnsi="Arial"/>
          <w:sz w:val="16"/>
          <w:szCs w:val="16"/>
          <w:i w:val="1"/>
          <w:iCs w:val="1"/>
          <w:color w:val="auto"/>
        </w:rPr>
        <w:t>kellyservices.com</w:t>
      </w:r>
      <w:r>
        <w:rPr>
          <w:rFonts w:ascii="Arial" w:cs="Arial" w:eastAsia="Arial" w:hAnsi="Arial"/>
          <w:sz w:val="16"/>
          <w:szCs w:val="16"/>
          <w:color w:val="auto"/>
        </w:rPr>
        <w:t>.</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table below displays the fees incurred from the audit and non-audit services provided by PwC.</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5320" w:type="dxa"/>
            <w:vAlign w:val="bottom"/>
            <w:tcBorders>
              <w:bottom w:val="single" w:sz="8" w:color="auto"/>
            </w:tcBorders>
          </w:tcPr>
          <w:p>
            <w:pPr>
              <w:spacing w:after="0"/>
              <w:rPr>
                <w:sz w:val="17"/>
                <w:szCs w:val="17"/>
                <w:color w:val="auto"/>
              </w:rPr>
            </w:pPr>
          </w:p>
        </w:tc>
        <w:tc>
          <w:tcPr>
            <w:tcW w:w="4760" w:type="dxa"/>
            <w:vAlign w:val="bottom"/>
            <w:tcBorders>
              <w:bottom w:val="single" w:sz="8" w:color="auto"/>
            </w:tcBorders>
          </w:tcPr>
          <w:p>
            <w:pPr>
              <w:jc w:val="center"/>
              <w:ind w:left="3661"/>
              <w:spacing w:after="0"/>
              <w:rPr>
                <w:sz w:val="20"/>
                <w:szCs w:val="20"/>
                <w:color w:val="auto"/>
              </w:rPr>
            </w:pPr>
            <w:r>
              <w:rPr>
                <w:rFonts w:ascii="Arial" w:cs="Arial" w:eastAsia="Arial" w:hAnsi="Arial"/>
                <w:sz w:val="14"/>
                <w:szCs w:val="14"/>
                <w:b w:val="1"/>
                <w:bCs w:val="1"/>
                <w:color w:val="00AF41"/>
              </w:rPr>
              <w:t>2021 ($)</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00AF41"/>
              </w:rPr>
              <w:t>2022 ($)</w:t>
            </w:r>
          </w:p>
        </w:tc>
      </w:tr>
      <w:tr>
        <w:trPr>
          <w:trHeight w:val="231"/>
        </w:trPr>
        <w:tc>
          <w:tcPr>
            <w:tcW w:w="532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Audit Fees</w:t>
            </w:r>
          </w:p>
        </w:tc>
        <w:tc>
          <w:tcPr>
            <w:tcW w:w="4760" w:type="dxa"/>
            <w:vAlign w:val="bottom"/>
            <w:tcBorders>
              <w:bottom w:val="single" w:sz="8" w:color="EDEDED"/>
            </w:tcBorders>
            <w:shd w:val="clear" w:color="auto" w:fill="EDEDED"/>
          </w:tcPr>
          <w:p>
            <w:pPr>
              <w:jc w:val="center"/>
              <w:ind w:left="3681"/>
              <w:spacing w:after="0"/>
              <w:rPr>
                <w:sz w:val="20"/>
                <w:szCs w:val="20"/>
                <w:color w:val="auto"/>
              </w:rPr>
            </w:pPr>
            <w:r>
              <w:rPr>
                <w:rFonts w:ascii="Arial" w:cs="Arial" w:eastAsia="Arial" w:hAnsi="Arial"/>
                <w:sz w:val="16"/>
                <w:szCs w:val="16"/>
                <w:color w:val="auto"/>
              </w:rPr>
              <w:t>3,853,200</w:t>
            </w:r>
          </w:p>
        </w:tc>
        <w:tc>
          <w:tcPr>
            <w:tcW w:w="94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4,103,600</w:t>
            </w:r>
          </w:p>
        </w:tc>
      </w:tr>
      <w:tr>
        <w:trPr>
          <w:trHeight w:val="228"/>
        </w:trPr>
        <w:tc>
          <w:tcPr>
            <w:tcW w:w="5320" w:type="dxa"/>
            <w:vAlign w:val="bottom"/>
          </w:tcPr>
          <w:p>
            <w:pPr>
              <w:ind w:left="60"/>
              <w:spacing w:after="0"/>
              <w:rPr>
                <w:sz w:val="20"/>
                <w:szCs w:val="20"/>
                <w:color w:val="auto"/>
              </w:rPr>
            </w:pPr>
            <w:r>
              <w:rPr>
                <w:rFonts w:ascii="Arial" w:cs="Arial" w:eastAsia="Arial" w:hAnsi="Arial"/>
                <w:sz w:val="16"/>
                <w:szCs w:val="16"/>
                <w:color w:val="auto"/>
              </w:rPr>
              <w:t>Audit Related Fees</w:t>
            </w:r>
          </w:p>
        </w:tc>
        <w:tc>
          <w:tcPr>
            <w:tcW w:w="4760" w:type="dxa"/>
            <w:vAlign w:val="bottom"/>
          </w:tcPr>
          <w:p>
            <w:pPr>
              <w:jc w:val="center"/>
              <w:ind w:left="3681"/>
              <w:spacing w:after="0"/>
              <w:rPr>
                <w:sz w:val="20"/>
                <w:szCs w:val="20"/>
                <w:color w:val="auto"/>
              </w:rPr>
            </w:pPr>
            <w:r>
              <w:rPr>
                <w:rFonts w:ascii="Arial" w:cs="Arial" w:eastAsia="Arial" w:hAnsi="Arial"/>
                <w:sz w:val="16"/>
                <w:szCs w:val="16"/>
                <w:color w:val="auto"/>
                <w:w w:val="99"/>
              </w:rPr>
              <w:t>3,400</w:t>
            </w:r>
          </w:p>
        </w:tc>
        <w:tc>
          <w:tcPr>
            <w:tcW w:w="940" w:type="dxa"/>
            <w:vAlign w:val="bottom"/>
          </w:tcPr>
          <w:p>
            <w:pPr>
              <w:jc w:val="center"/>
              <w:spacing w:after="0"/>
              <w:rPr>
                <w:sz w:val="20"/>
                <w:szCs w:val="20"/>
                <w:color w:val="auto"/>
              </w:rPr>
            </w:pPr>
            <w:r>
              <w:rPr>
                <w:rFonts w:ascii="Arial" w:cs="Arial" w:eastAsia="Arial" w:hAnsi="Arial"/>
                <w:sz w:val="16"/>
                <w:szCs w:val="16"/>
                <w:color w:val="auto"/>
                <w:w w:val="99"/>
              </w:rPr>
              <w:t>5,000</w:t>
            </w:r>
          </w:p>
        </w:tc>
      </w:tr>
      <w:tr>
        <w:trPr>
          <w:trHeight w:val="29"/>
        </w:trPr>
        <w:tc>
          <w:tcPr>
            <w:tcW w:w="53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6"/>
        </w:trPr>
        <w:tc>
          <w:tcPr>
            <w:tcW w:w="5320" w:type="dxa"/>
            <w:vAlign w:val="bottom"/>
            <w:tcBorders>
              <w:bottom w:val="single" w:sz="8" w:color="EDEDED"/>
            </w:tcBorders>
            <w:shd w:val="clear" w:color="auto" w:fill="EDEDED"/>
          </w:tcPr>
          <w:p>
            <w:pPr>
              <w:ind w:left="60"/>
              <w:spacing w:after="0"/>
              <w:rPr>
                <w:sz w:val="20"/>
                <w:szCs w:val="20"/>
                <w:color w:val="auto"/>
              </w:rPr>
            </w:pPr>
            <w:r>
              <w:rPr>
                <w:rFonts w:ascii="Arial" w:cs="Arial" w:eastAsia="Arial" w:hAnsi="Arial"/>
                <w:sz w:val="16"/>
                <w:szCs w:val="16"/>
                <w:color w:val="auto"/>
              </w:rPr>
              <w:t>Tax Fees</w:t>
            </w:r>
          </w:p>
        </w:tc>
        <w:tc>
          <w:tcPr>
            <w:tcW w:w="4760" w:type="dxa"/>
            <w:vAlign w:val="bottom"/>
            <w:tcBorders>
              <w:bottom w:val="single" w:sz="8" w:color="EDEDED"/>
            </w:tcBorders>
            <w:shd w:val="clear" w:color="auto" w:fill="EDEDED"/>
          </w:tcPr>
          <w:p>
            <w:pPr>
              <w:jc w:val="center"/>
              <w:ind w:left="3661"/>
              <w:spacing w:after="0"/>
              <w:rPr>
                <w:sz w:val="20"/>
                <w:szCs w:val="20"/>
                <w:color w:val="auto"/>
              </w:rPr>
            </w:pPr>
            <w:r>
              <w:rPr>
                <w:rFonts w:ascii="Arial" w:cs="Arial" w:eastAsia="Arial" w:hAnsi="Arial"/>
                <w:sz w:val="16"/>
                <w:szCs w:val="16"/>
                <w:color w:val="auto"/>
              </w:rPr>
              <w:t>70,900</w:t>
            </w:r>
          </w:p>
        </w:tc>
        <w:tc>
          <w:tcPr>
            <w:tcW w:w="940" w:type="dxa"/>
            <w:vAlign w:val="bottom"/>
            <w:tcBorders>
              <w:bottom w:val="single" w:sz="8" w:color="EDEDED"/>
            </w:tcBorders>
            <w:shd w:val="clear" w:color="auto" w:fill="EDEDED"/>
          </w:tcPr>
          <w:p>
            <w:pPr>
              <w:jc w:val="center"/>
              <w:spacing w:after="0"/>
              <w:rPr>
                <w:sz w:val="20"/>
                <w:szCs w:val="20"/>
                <w:color w:val="auto"/>
              </w:rPr>
            </w:pPr>
            <w:r>
              <w:rPr>
                <w:rFonts w:ascii="Arial" w:cs="Arial" w:eastAsia="Arial" w:hAnsi="Arial"/>
                <w:sz w:val="16"/>
                <w:szCs w:val="16"/>
                <w:color w:val="auto"/>
              </w:rPr>
              <w:t>381,000</w:t>
            </w:r>
          </w:p>
        </w:tc>
      </w:tr>
      <w:tr>
        <w:trPr>
          <w:trHeight w:val="228"/>
        </w:trPr>
        <w:tc>
          <w:tcPr>
            <w:tcW w:w="5320" w:type="dxa"/>
            <w:vAlign w:val="bottom"/>
          </w:tcPr>
          <w:p>
            <w:pPr>
              <w:ind w:left="60"/>
              <w:spacing w:after="0"/>
              <w:rPr>
                <w:sz w:val="20"/>
                <w:szCs w:val="20"/>
                <w:color w:val="auto"/>
              </w:rPr>
            </w:pPr>
            <w:r>
              <w:rPr>
                <w:rFonts w:ascii="Arial" w:cs="Arial" w:eastAsia="Arial" w:hAnsi="Arial"/>
                <w:sz w:val="16"/>
                <w:szCs w:val="16"/>
                <w:color w:val="auto"/>
              </w:rPr>
              <w:t>All Other Fees</w:t>
            </w:r>
          </w:p>
        </w:tc>
        <w:tc>
          <w:tcPr>
            <w:tcW w:w="4760" w:type="dxa"/>
            <w:vAlign w:val="bottom"/>
          </w:tcPr>
          <w:p>
            <w:pPr>
              <w:jc w:val="center"/>
              <w:ind w:left="3661"/>
              <w:spacing w:after="0"/>
              <w:rPr>
                <w:sz w:val="20"/>
                <w:szCs w:val="20"/>
                <w:color w:val="auto"/>
              </w:rPr>
            </w:pPr>
            <w:r>
              <w:rPr>
                <w:rFonts w:ascii="Arial" w:cs="Arial" w:eastAsia="Arial" w:hAnsi="Arial"/>
                <w:sz w:val="16"/>
                <w:szCs w:val="16"/>
                <w:color w:val="auto"/>
              </w:rPr>
              <w:t>17,200</w:t>
            </w:r>
          </w:p>
        </w:tc>
        <w:tc>
          <w:tcPr>
            <w:tcW w:w="940" w:type="dxa"/>
            <w:vAlign w:val="bottom"/>
          </w:tcPr>
          <w:p>
            <w:pPr>
              <w:jc w:val="center"/>
              <w:spacing w:after="0"/>
              <w:rPr>
                <w:sz w:val="20"/>
                <w:szCs w:val="20"/>
                <w:color w:val="auto"/>
              </w:rPr>
            </w:pPr>
            <w:r>
              <w:rPr>
                <w:rFonts w:ascii="Arial" w:cs="Arial" w:eastAsia="Arial" w:hAnsi="Arial"/>
                <w:sz w:val="16"/>
                <w:szCs w:val="16"/>
                <w:color w:val="auto"/>
              </w:rPr>
              <w:t>17,200</w:t>
            </w:r>
          </w:p>
        </w:tc>
      </w:tr>
      <w:tr>
        <w:trPr>
          <w:trHeight w:val="29"/>
        </w:trPr>
        <w:tc>
          <w:tcPr>
            <w:tcW w:w="53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9"/>
        </w:trPr>
        <w:tc>
          <w:tcPr>
            <w:tcW w:w="5320" w:type="dxa"/>
            <w:vAlign w:val="bottom"/>
            <w:tcBorders>
              <w:bottom w:val="single" w:sz="8" w:color="auto"/>
            </w:tcBorders>
            <w:shd w:val="clear" w:color="auto" w:fill="EDEDED"/>
          </w:tcPr>
          <w:p>
            <w:pPr>
              <w:ind w:left="240"/>
              <w:spacing w:after="0"/>
              <w:rPr>
                <w:sz w:val="20"/>
                <w:szCs w:val="20"/>
                <w:color w:val="auto"/>
              </w:rPr>
            </w:pPr>
            <w:r>
              <w:rPr>
                <w:rFonts w:ascii="Arial" w:cs="Arial" w:eastAsia="Arial" w:hAnsi="Arial"/>
                <w:sz w:val="16"/>
                <w:szCs w:val="16"/>
                <w:color w:val="auto"/>
              </w:rPr>
              <w:t>Total</w:t>
            </w:r>
          </w:p>
        </w:tc>
        <w:tc>
          <w:tcPr>
            <w:tcW w:w="4760" w:type="dxa"/>
            <w:vAlign w:val="bottom"/>
            <w:tcBorders>
              <w:bottom w:val="single" w:sz="8" w:color="auto"/>
            </w:tcBorders>
            <w:shd w:val="clear" w:color="auto" w:fill="EDEDED"/>
          </w:tcPr>
          <w:p>
            <w:pPr>
              <w:jc w:val="center"/>
              <w:ind w:left="3681"/>
              <w:spacing w:after="0"/>
              <w:rPr>
                <w:sz w:val="20"/>
                <w:szCs w:val="20"/>
                <w:color w:val="auto"/>
              </w:rPr>
            </w:pPr>
            <w:r>
              <w:rPr>
                <w:rFonts w:ascii="Arial" w:cs="Arial" w:eastAsia="Arial" w:hAnsi="Arial"/>
                <w:sz w:val="16"/>
                <w:szCs w:val="16"/>
                <w:color w:val="auto"/>
              </w:rPr>
              <w:t>3,944,700</w:t>
            </w:r>
          </w:p>
        </w:tc>
        <w:tc>
          <w:tcPr>
            <w:tcW w:w="940" w:type="dxa"/>
            <w:vAlign w:val="bottom"/>
            <w:tcBorders>
              <w:bottom w:val="single" w:sz="8" w:color="auto"/>
            </w:tcBorders>
            <w:shd w:val="clear" w:color="auto" w:fill="EDEDED"/>
          </w:tcPr>
          <w:p>
            <w:pPr>
              <w:jc w:val="center"/>
              <w:spacing w:after="0"/>
              <w:rPr>
                <w:sz w:val="20"/>
                <w:szCs w:val="20"/>
                <w:color w:val="auto"/>
              </w:rPr>
            </w:pPr>
            <w:r>
              <w:rPr>
                <w:rFonts w:ascii="Arial" w:cs="Arial" w:eastAsia="Arial" w:hAnsi="Arial"/>
                <w:sz w:val="16"/>
                <w:szCs w:val="16"/>
                <w:color w:val="auto"/>
              </w:rPr>
              <w:t>4,506,800</w:t>
            </w:r>
          </w:p>
        </w:tc>
      </w:tr>
    </w:tbl>
    <w:p>
      <w:pPr>
        <w:spacing w:after="0" w:line="12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1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-143510</wp:posOffset>
            </wp:positionV>
            <wp:extent cx="411480" cy="19685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5580"/>
        <w:spacing w:after="0"/>
        <w:rPr>
          <w:sz w:val="20"/>
          <w:szCs w:val="20"/>
          <w:color w:val="auto"/>
        </w:rPr>
      </w:pPr>
      <w:r>
        <w:rPr>
          <w:rFonts w:ascii="Arial" w:cs="Arial" w:eastAsia="Arial" w:hAnsi="Arial"/>
          <w:sz w:val="15"/>
          <w:szCs w:val="15"/>
          <w:b w:val="1"/>
          <w:bCs w:val="1"/>
          <w:color w:val="auto"/>
        </w:rPr>
        <w:t>Proposal 4: Ratification of the Appointment of PricewaterhouseCoopers LLP</w:t>
      </w:r>
    </w:p>
    <w:p>
      <w:pPr>
        <w:spacing w:after="0" w:line="143"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Audits and quarterly reviews of our consolidated financial statements, statutory audits, and assistance with review of documents filed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SEC.</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 xml:space="preserve">Audit Related Fees: </w:t>
      </w:r>
      <w:r>
        <w:rPr>
          <w:rFonts w:ascii="Arial" w:cs="Arial" w:eastAsia="Arial" w:hAnsi="Arial"/>
          <w:sz w:val="16"/>
          <w:szCs w:val="16"/>
          <w:color w:val="auto"/>
        </w:rPr>
        <w:t>Services associated with international regulatory reporting.</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Tax and transfer pricing consulting.</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 xml:space="preserve">All Other Fees: </w:t>
      </w:r>
      <w:r>
        <w:rPr>
          <w:rFonts w:ascii="Arial" w:cs="Arial" w:eastAsia="Arial" w:hAnsi="Arial"/>
          <w:sz w:val="16"/>
          <w:szCs w:val="16"/>
          <w:color w:val="auto"/>
        </w:rPr>
        <w:t>Accounting research tools and human resources benchmarking.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166370</wp:posOffset>
            </wp:positionV>
            <wp:extent cx="5760720" cy="43688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76072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Report of the Audit Committee</w:t>
      </w:r>
    </w:p>
    <w:p>
      <w:pPr>
        <w:spacing w:after="0" w:line="112"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auto"/>
        </w:rPr>
        <w:t>Management is responsible for the preparation, presentation, and integrity of Kelly’s financial statements, for its accounting and financial reporting principles, and for the establishment and effectiveness of internal controls and procedures designed to ensure compliance with generally accepted accounting principles and applicable laws and regulations. The independent registered public accounting firm is responsible for performing an independent audit of Kelly’s financial statements and of its internal control over financial reporting in accordance with the standards of the Public Company Accounting Oversight Board (the “PCAOB”) and expressing an opinion as to the conformity of Kelly’s financial statements with generally accepted accounting principles and the effectiveness of its internal control over financial reporting. The independent registered public accounting firm has free access to the Committee to discuss any matters it deems appropriate.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performing its oversight role, the Committee has considered and discussed the audited financial statements of Kelly for the fiscal year ended</w:t>
      </w:r>
    </w:p>
    <w:p>
      <w:pPr>
        <w:spacing w:after="0" w:line="21" w:lineRule="exact"/>
        <w:rPr>
          <w:sz w:val="20"/>
          <w:szCs w:val="20"/>
          <w:color w:val="auto"/>
        </w:rPr>
      </w:pPr>
    </w:p>
    <w:p>
      <w:pPr>
        <w:jc w:val="both"/>
        <w:ind w:left="120" w:right="20"/>
        <w:spacing w:after="0" w:line="256" w:lineRule="auto"/>
        <w:rPr>
          <w:sz w:val="20"/>
          <w:szCs w:val="20"/>
          <w:color w:val="auto"/>
        </w:rPr>
      </w:pPr>
      <w:r>
        <w:rPr>
          <w:rFonts w:ascii="Arial" w:cs="Arial" w:eastAsia="Arial" w:hAnsi="Arial"/>
          <w:sz w:val="16"/>
          <w:szCs w:val="16"/>
          <w:color w:val="auto"/>
        </w:rPr>
        <w:t>January 1, 2023 with each of management and PwC, the independent registered public accounting firm. The Committee has also discussed with PwC the matters required to be discussed by applicable requirements of the PCAOB. The Committee has received the written disclosures of the PCAOB regarding the auditors’ independence and has discussed with PwC its independence.</w:t>
      </w:r>
    </w:p>
    <w:p>
      <w:pPr>
        <w:spacing w:after="0" w:line="178" w:lineRule="exact"/>
        <w:rPr>
          <w:sz w:val="20"/>
          <w:szCs w:val="20"/>
          <w:color w:val="auto"/>
        </w:rPr>
      </w:pPr>
    </w:p>
    <w:p>
      <w:pPr>
        <w:ind w:left="120" w:right="200"/>
        <w:spacing w:after="0" w:line="286" w:lineRule="auto"/>
        <w:rPr>
          <w:sz w:val="20"/>
          <w:szCs w:val="20"/>
          <w:color w:val="auto"/>
        </w:rPr>
      </w:pPr>
      <w:r>
        <w:rPr>
          <w:rFonts w:ascii="Arial" w:cs="Arial" w:eastAsia="Arial" w:hAnsi="Arial"/>
          <w:sz w:val="16"/>
          <w:szCs w:val="16"/>
          <w:color w:val="auto"/>
        </w:rPr>
        <w:t>Based on the reports and discussions described in this Report, the Committee recommended to the Board that the audited financial statements of Kelly for 2022 be included in the 2022 Annual Report on Form 10-K.</w:t>
      </w:r>
    </w:p>
    <w:p>
      <w:pPr>
        <w:spacing w:after="0" w:line="156"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THE AUDIT COMMITTEE</w:t>
      </w:r>
    </w:p>
    <w:p>
      <w:pPr>
        <w:spacing w:after="0" w:line="221"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LESLIE A. MURPHY, CHAIR</w:t>
      </w:r>
    </w:p>
    <w:p>
      <w:pPr>
        <w:spacing w:after="0" w:line="21"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GERALD S. ADOLPH</w:t>
      </w:r>
    </w:p>
    <w:p>
      <w:pPr>
        <w:spacing w:after="0" w:line="5"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ROBERT S. CUBBIN</w:t>
      </w:r>
    </w:p>
    <w:p>
      <w:pPr>
        <w:spacing w:after="0" w:line="5"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AMALA DUGGIRALA</w:t>
      </w:r>
    </w:p>
    <w:p>
      <w:pPr>
        <w:spacing w:after="0" w:line="5"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TERRENCE B. LARKIN</w:t>
      </w:r>
    </w:p>
    <w:p>
      <w:pPr>
        <w:spacing w:after="0" w:line="125" w:lineRule="exact"/>
        <w:rPr>
          <w:sz w:val="20"/>
          <w:szCs w:val="20"/>
          <w:color w:val="auto"/>
        </w:rPr>
      </w:pPr>
    </w:p>
    <w:p>
      <w:pPr>
        <w:ind w:left="10820"/>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77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-143510</wp:posOffset>
            </wp:positionV>
            <wp:extent cx="411480" cy="19748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411480" cy="1974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8" w:lineRule="exact"/>
        <w:rPr>
          <w:sz w:val="20"/>
          <w:szCs w:val="20"/>
          <w:color w:val="auto"/>
        </w:rPr>
      </w:pPr>
    </w:p>
    <w:p>
      <w:pPr>
        <w:ind w:left="120" w:right="640"/>
        <w:spacing w:after="0" w:line="291" w:lineRule="auto"/>
        <w:rPr>
          <w:sz w:val="20"/>
          <w:szCs w:val="20"/>
          <w:color w:val="auto"/>
        </w:rPr>
      </w:pPr>
      <w:r>
        <w:rPr>
          <w:rFonts w:ascii="Arial" w:cs="Arial" w:eastAsia="Arial" w:hAnsi="Arial"/>
          <w:sz w:val="32"/>
          <w:szCs w:val="32"/>
          <w:b w:val="1"/>
          <w:bCs w:val="1"/>
          <w:color w:val="auto"/>
        </w:rPr>
        <w:t>Questions and Answers About the Proxy Statement and the Annual Meeting</w:t>
      </w:r>
    </w:p>
    <w:p>
      <w:pPr>
        <w:spacing w:after="0" w:line="1" w:lineRule="exact"/>
        <w:rPr>
          <w:sz w:val="20"/>
          <w:szCs w:val="20"/>
          <w:color w:val="auto"/>
        </w:rPr>
      </w:pPr>
    </w:p>
    <w:p>
      <w:pPr>
        <w:ind w:left="540" w:hanging="424"/>
        <w:spacing w:after="0"/>
        <w:tabs>
          <w:tab w:leader="none" w:pos="540"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WHERE ARE WE HOLDING THE ANNUAL MEETING?</w:t>
      </w:r>
    </w:p>
    <w:p>
      <w:pPr>
        <w:spacing w:after="0" w:line="127" w:lineRule="exact"/>
        <w:rPr>
          <w:sz w:val="20"/>
          <w:szCs w:val="20"/>
          <w:color w:val="auto"/>
        </w:rPr>
      </w:pPr>
    </w:p>
    <w:p>
      <w:pPr>
        <w:ind w:left="540" w:hanging="424"/>
        <w:spacing w:after="0" w:line="254" w:lineRule="auto"/>
        <w:tabs>
          <w:tab w:leader="none" w:pos="5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2023 Annual Meeting of Shareholders will be held virtually. To access the live audio webcast of the meeting, shareholders of record will need to visit kellyservices.com for instructions and use their 16-digit Control Number provided in the Notice to log in to this website. If your shares are held beneficially in the name of a bank, broker, or other holder of record (sometimes referred to as holding share “in street name”), you will receive instructions from the holder of record that you must follow in order for your shares to be voted. Beneficial holders will need to obtain a “legal proxy” from their broker, bank, or other holder of record that holds your shares if they want to vote during the virtual meeting. Beneficial holders will need to send our transfer agent, Computershare, the legal proxy before the meeting and they will then issue via email, an authorized control number.</w:t>
      </w:r>
    </w:p>
    <w:p>
      <w:pPr>
        <w:spacing w:after="0" w:line="330" w:lineRule="exact"/>
        <w:rPr>
          <w:sz w:val="20"/>
          <w:szCs w:val="20"/>
          <w:color w:val="auto"/>
        </w:rPr>
      </w:pPr>
    </w:p>
    <w:p>
      <w:pPr>
        <w:ind w:left="540" w:hanging="424"/>
        <w:spacing w:after="0"/>
        <w:tabs>
          <w:tab w:leader="none" w:pos="540" w:val="left"/>
        </w:tabs>
        <w:numPr>
          <w:ilvl w:val="0"/>
          <w:numId w:val="69"/>
        </w:numPr>
        <w:rPr>
          <w:rFonts w:ascii="Arial" w:cs="Arial" w:eastAsia="Arial" w:hAnsi="Arial"/>
          <w:sz w:val="16"/>
          <w:szCs w:val="16"/>
          <w:b w:val="1"/>
          <w:bCs w:val="1"/>
          <w:color w:val="auto"/>
        </w:rPr>
      </w:pPr>
      <w:r>
        <w:rPr>
          <w:rFonts w:ascii="Arial" w:cs="Arial" w:eastAsia="Arial" w:hAnsi="Arial"/>
          <w:sz w:val="16"/>
          <w:szCs w:val="16"/>
          <w:b w:val="1"/>
          <w:bCs w:val="1"/>
          <w:color w:val="auto"/>
        </w:rPr>
        <w:t>WHO IS MAKING THE SOLICITATION IN THIS PROXY STATEMENT?</w:t>
      </w:r>
    </w:p>
    <w:p>
      <w:pPr>
        <w:spacing w:after="0" w:line="127" w:lineRule="exact"/>
        <w:rPr>
          <w:sz w:val="20"/>
          <w:szCs w:val="20"/>
          <w:color w:val="auto"/>
        </w:rPr>
      </w:pPr>
    </w:p>
    <w:p>
      <w:pPr>
        <w:ind w:left="540" w:right="60" w:hanging="424"/>
        <w:spacing w:after="0" w:line="259" w:lineRule="auto"/>
        <w:tabs>
          <w:tab w:leader="none" w:pos="5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This Proxy Statement is furnished in connection with the solicitation of proxies on behalf of the Board of Directors of Kelly Services, Inc. for use at the Annual Meeting of Shareholders of the Company to be held virtually on May 17, 2023 for the purposes set forth in the Notice of Annual Meeting of Shareholders. The approximate date on which this Proxy Statement and enclosed form of proxy are first being sent to Class B shareholders of the Company is April 17, 2023.</w:t>
      </w:r>
    </w:p>
    <w:p>
      <w:pPr>
        <w:spacing w:after="0" w:line="326" w:lineRule="exact"/>
        <w:rPr>
          <w:sz w:val="20"/>
          <w:szCs w:val="20"/>
          <w:color w:val="auto"/>
        </w:rPr>
      </w:pPr>
    </w:p>
    <w:p>
      <w:pPr>
        <w:ind w:left="540" w:hanging="424"/>
        <w:spacing w:after="0"/>
        <w:tabs>
          <w:tab w:leader="none" w:pos="540" w:val="left"/>
        </w:tabs>
        <w:numPr>
          <w:ilvl w:val="0"/>
          <w:numId w:val="71"/>
        </w:numPr>
        <w:rPr>
          <w:rFonts w:ascii="Arial" w:cs="Arial" w:eastAsia="Arial" w:hAnsi="Arial"/>
          <w:sz w:val="16"/>
          <w:szCs w:val="16"/>
          <w:b w:val="1"/>
          <w:bCs w:val="1"/>
          <w:color w:val="auto"/>
        </w:rPr>
      </w:pPr>
      <w:r>
        <w:rPr>
          <w:rFonts w:ascii="Arial" w:cs="Arial" w:eastAsia="Arial" w:hAnsi="Arial"/>
          <w:sz w:val="16"/>
          <w:szCs w:val="16"/>
          <w:b w:val="1"/>
          <w:bCs w:val="1"/>
          <w:color w:val="auto"/>
        </w:rPr>
        <w:t>WHO WILL BEAR THE COST OF THE PROXY SOLICITATION?</w:t>
      </w:r>
    </w:p>
    <w:p>
      <w:pPr>
        <w:spacing w:after="0" w:line="127" w:lineRule="exact"/>
        <w:rPr>
          <w:sz w:val="20"/>
          <w:szCs w:val="20"/>
          <w:color w:val="auto"/>
        </w:rPr>
      </w:pPr>
    </w:p>
    <w:p>
      <w:pPr>
        <w:ind w:left="540" w:right="60" w:hanging="424"/>
        <w:spacing w:after="0" w:line="259" w:lineRule="auto"/>
        <w:tabs>
          <w:tab w:leader="none" w:pos="5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cost of soliciting proxies will be borne by the Company. The solicitation of proxies will be made primarily by mail. The Company may also make arrangements with brokerage houses, custodians, banks, nominees, and fiduciaries to forward solicitation material to beneficial owners of Class B stock held of record by them and to obtain authorization to execute proxies. The Company may reimburse such institutional holders for reasonable expenses incurred by them in connection therewith.</w:t>
      </w:r>
    </w:p>
    <w:p>
      <w:pPr>
        <w:spacing w:after="0" w:line="83" w:lineRule="exact"/>
        <w:rPr>
          <w:rFonts w:ascii="Arial" w:cs="Arial" w:eastAsia="Arial" w:hAnsi="Arial"/>
          <w:sz w:val="16"/>
          <w:szCs w:val="16"/>
          <w:color w:val="auto"/>
        </w:rPr>
      </w:pPr>
    </w:p>
    <w:p>
      <w:pPr>
        <w:ind w:left="540" w:right="60"/>
        <w:spacing w:after="0" w:line="259" w:lineRule="auto"/>
        <w:rPr>
          <w:rFonts w:ascii="Arial" w:cs="Arial" w:eastAsia="Arial" w:hAnsi="Arial"/>
          <w:sz w:val="16"/>
          <w:szCs w:val="16"/>
          <w:color w:val="auto"/>
        </w:rPr>
      </w:pPr>
      <w:r>
        <w:rPr>
          <w:rFonts w:ascii="Arial" w:cs="Arial" w:eastAsia="Arial" w:hAnsi="Arial"/>
          <w:sz w:val="16"/>
          <w:szCs w:val="16"/>
          <w:color w:val="auto"/>
        </w:rPr>
        <w:t>A copy of the Company’s Annual Report and Annual Report on Form 10-K as of January 1, 2023, the close of the Company’s latest fiscal year, has been mailed or otherwise made available to each shareholder of record. The expense of preparing, printing, assembling, and mailing the accompanying form of proxy and the material used in the solicitation of proxies will be paid by the Company. In addition, the Company may reimburse brokers or nominees for their expenses in transmitting proxies and proxy material to principals.</w:t>
      </w:r>
    </w:p>
    <w:p>
      <w:pPr>
        <w:spacing w:after="0" w:line="326" w:lineRule="exact"/>
        <w:rPr>
          <w:sz w:val="20"/>
          <w:szCs w:val="20"/>
          <w:color w:val="auto"/>
        </w:rPr>
      </w:pPr>
    </w:p>
    <w:p>
      <w:pPr>
        <w:ind w:left="540" w:hanging="424"/>
        <w:spacing w:after="0"/>
        <w:tabs>
          <w:tab w:leader="none" w:pos="540"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WHO IS ENTITLED TO VOTE?</w:t>
      </w:r>
    </w:p>
    <w:p>
      <w:pPr>
        <w:spacing w:after="0" w:line="127" w:lineRule="exact"/>
        <w:rPr>
          <w:sz w:val="20"/>
          <w:szCs w:val="20"/>
          <w:color w:val="auto"/>
        </w:rPr>
      </w:pPr>
    </w:p>
    <w:p>
      <w:pPr>
        <w:ind w:left="540" w:right="60" w:hanging="424"/>
        <w:spacing w:after="0" w:line="266" w:lineRule="auto"/>
        <w:tabs>
          <w:tab w:leader="none" w:pos="5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Only shareholders of record of our Class B Common Stock, par value $1.00 per share, at the close of business on March 27, 2023, the record date for the Annual Meeting, are entitled to notice of and to vote at the Annual Meeting. Class B Common Stock is the only class of the Company’s securities with voting rights.</w:t>
      </w:r>
    </w:p>
    <w:p>
      <w:pPr>
        <w:spacing w:after="0" w:line="76" w:lineRule="exact"/>
        <w:rPr>
          <w:rFonts w:ascii="Arial" w:cs="Arial" w:eastAsia="Arial" w:hAnsi="Arial"/>
          <w:sz w:val="16"/>
          <w:szCs w:val="16"/>
          <w:color w:val="auto"/>
        </w:rPr>
      </w:pPr>
    </w:p>
    <w:p>
      <w:pPr>
        <w:ind w:left="540" w:right="200"/>
        <w:spacing w:after="0" w:line="286" w:lineRule="auto"/>
        <w:rPr>
          <w:rFonts w:ascii="Arial" w:cs="Arial" w:eastAsia="Arial" w:hAnsi="Arial"/>
          <w:sz w:val="16"/>
          <w:szCs w:val="16"/>
          <w:color w:val="auto"/>
        </w:rPr>
      </w:pPr>
      <w:r>
        <w:rPr>
          <w:rFonts w:ascii="Arial" w:cs="Arial" w:eastAsia="Arial" w:hAnsi="Arial"/>
          <w:sz w:val="16"/>
          <w:szCs w:val="16"/>
          <w:color w:val="auto"/>
        </w:rPr>
        <w:t>At the close of business on March 27, 2023, the number of issued and outstanding voting securities (exclusive of treasury shares) was 3,342,146 shares of the Class B Common Stock. Class B shareholders on the record date will be entitled to one vote for each share held of record.</w:t>
      </w:r>
    </w:p>
    <w:p>
      <w:pPr>
        <w:spacing w:after="0" w:line="304" w:lineRule="exact"/>
        <w:rPr>
          <w:sz w:val="20"/>
          <w:szCs w:val="20"/>
          <w:color w:val="auto"/>
        </w:rPr>
      </w:pPr>
    </w:p>
    <w:p>
      <w:pPr>
        <w:ind w:left="540" w:hanging="424"/>
        <w:spacing w:after="0"/>
        <w:tabs>
          <w:tab w:leader="none" w:pos="540"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HOW DO I VOTE?</w:t>
      </w:r>
    </w:p>
    <w:p>
      <w:pPr>
        <w:spacing w:after="0" w:line="127" w:lineRule="exact"/>
        <w:rPr>
          <w:sz w:val="20"/>
          <w:szCs w:val="20"/>
          <w:color w:val="auto"/>
        </w:rPr>
      </w:pPr>
    </w:p>
    <w:p>
      <w:pPr>
        <w:ind w:left="540" w:right="260" w:hanging="424"/>
        <w:spacing w:after="0" w:line="286" w:lineRule="auto"/>
        <w:tabs>
          <w:tab w:leader="none" w:pos="5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encourage Class B shareholders to return their proxies promptly via the enclosed form of proxy in the enclosed postage prepaid envelope or vote via the Internet, QR code scan, or telephone.</w:t>
      </w:r>
    </w:p>
    <w:p>
      <w:pPr>
        <w:spacing w:after="0" w:line="304" w:lineRule="exact"/>
        <w:rPr>
          <w:sz w:val="20"/>
          <w:szCs w:val="20"/>
          <w:color w:val="auto"/>
        </w:rPr>
      </w:pPr>
    </w:p>
    <w:p>
      <w:pPr>
        <w:ind w:left="540" w:hanging="424"/>
        <w:spacing w:after="0"/>
        <w:tabs>
          <w:tab w:leader="none" w:pos="54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HOW IS MY VOTE COUNTED?</w:t>
      </w:r>
    </w:p>
    <w:p>
      <w:pPr>
        <w:spacing w:after="0" w:line="127" w:lineRule="exact"/>
        <w:rPr>
          <w:sz w:val="20"/>
          <w:szCs w:val="20"/>
          <w:color w:val="auto"/>
        </w:rPr>
      </w:pPr>
    </w:p>
    <w:p>
      <w:pPr>
        <w:ind w:left="540" w:right="200" w:hanging="424"/>
        <w:spacing w:after="0" w:line="256" w:lineRule="auto"/>
        <w:tabs>
          <w:tab w:leader="none" w:pos="5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a proxy in the accompanying form is properly executed, returned to the Company and not revoked, the shares represented by the proxy will be voted in accordance with the instructions set forth thereon. If no instructions are given with respect to the matters to be acted upon, the shares represented by the proxy will be voted in accordance with the recommendation of the Company’s Board of Directors on each of the proposals set forth in the accompanying Notice of Annual Meeting of Shareholders and on any other matters that properly come before the Annual Meeting in such manner as may be determined by the individuals named as proxies.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77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-143510</wp:posOffset>
            </wp:positionV>
            <wp:extent cx="411480" cy="19685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Questions and Answers</w:t>
      </w:r>
    </w:p>
    <w:p>
      <w:pPr>
        <w:spacing w:after="0" w:line="143" w:lineRule="exact"/>
        <w:rPr>
          <w:sz w:val="20"/>
          <w:szCs w:val="20"/>
          <w:color w:val="auto"/>
        </w:rPr>
      </w:pPr>
    </w:p>
    <w:p>
      <w:pPr>
        <w:ind w:left="540" w:hanging="424"/>
        <w:spacing w:after="0"/>
        <w:tabs>
          <w:tab w:leader="none" w:pos="540"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color w:val="auto"/>
        </w:rPr>
        <w:t>CAN I REVOKE MY PROXY AFTER I HAVE SUBMITTED IT?</w:t>
      </w:r>
    </w:p>
    <w:p>
      <w:pPr>
        <w:spacing w:after="0" w:line="127" w:lineRule="exact"/>
        <w:rPr>
          <w:sz w:val="20"/>
          <w:szCs w:val="20"/>
          <w:color w:val="auto"/>
        </w:rPr>
      </w:pPr>
    </w:p>
    <w:p>
      <w:pPr>
        <w:jc w:val="both"/>
        <w:ind w:left="540" w:right="120" w:hanging="424"/>
        <w:spacing w:after="0" w:line="266" w:lineRule="auto"/>
        <w:tabs>
          <w:tab w:leader="none" w:pos="5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the enclosed form of proxy is executed and returned by the shareholder, it may nevertheless be revoked by the person giving it by written notice of revocation to the Corporate Secretary of the Company or by submitting a later dated proxy, provided such notice or later dated proxy is received by 11:59 p.m., Central Time, on May 16, 2023. You will also be able to vote your shares online by attending the Annual Meeting by webcast.</w:t>
      </w:r>
    </w:p>
    <w:p>
      <w:pPr>
        <w:spacing w:after="0" w:line="320" w:lineRule="exact"/>
        <w:rPr>
          <w:sz w:val="20"/>
          <w:szCs w:val="20"/>
          <w:color w:val="auto"/>
        </w:rPr>
      </w:pPr>
    </w:p>
    <w:p>
      <w:pPr>
        <w:ind w:left="540" w:hanging="424"/>
        <w:spacing w:after="0"/>
        <w:tabs>
          <w:tab w:leader="none" w:pos="540" w:val="left"/>
        </w:tabs>
        <w:numPr>
          <w:ilvl w:val="0"/>
          <w:numId w:val="81"/>
        </w:numPr>
        <w:rPr>
          <w:rFonts w:ascii="Arial" w:cs="Arial" w:eastAsia="Arial" w:hAnsi="Arial"/>
          <w:sz w:val="16"/>
          <w:szCs w:val="16"/>
          <w:b w:val="1"/>
          <w:bCs w:val="1"/>
          <w:color w:val="auto"/>
        </w:rPr>
      </w:pPr>
      <w:r>
        <w:rPr>
          <w:rFonts w:ascii="Arial" w:cs="Arial" w:eastAsia="Arial" w:hAnsi="Arial"/>
          <w:sz w:val="16"/>
          <w:szCs w:val="16"/>
          <w:b w:val="1"/>
          <w:bCs w:val="1"/>
          <w:color w:val="auto"/>
        </w:rPr>
        <w:t>WHAT CONSTITUTES A QUORUM?</w:t>
      </w:r>
    </w:p>
    <w:p>
      <w:pPr>
        <w:spacing w:after="0" w:line="127" w:lineRule="exact"/>
        <w:rPr>
          <w:sz w:val="20"/>
          <w:szCs w:val="20"/>
          <w:color w:val="auto"/>
        </w:rPr>
      </w:pPr>
    </w:p>
    <w:p>
      <w:pPr>
        <w:ind w:left="540" w:right="80" w:hanging="424"/>
        <w:spacing w:after="0" w:line="259" w:lineRule="auto"/>
        <w:tabs>
          <w:tab w:leader="none" w:pos="5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Pursuant to the Company’s Bylaws, the holders of 60% of the issued and outstanding shares of Class B Common Stock who are entitled to vote at a shareholders’ meeting, in person or represented by proxy, will constitute a quorum. Shares that are present and entitled to vote on any of the proposals to be considered at the Annual Meeting will be considered to be present at the Annual Meeting for purposes of establishing the presence or absence of a quorum for the transaction of business.</w:t>
      </w:r>
    </w:p>
    <w:p>
      <w:pPr>
        <w:spacing w:after="0" w:line="326" w:lineRule="exact"/>
        <w:rPr>
          <w:sz w:val="20"/>
          <w:szCs w:val="20"/>
          <w:color w:val="auto"/>
        </w:rPr>
      </w:pPr>
    </w:p>
    <w:p>
      <w:pPr>
        <w:ind w:left="540" w:hanging="424"/>
        <w:spacing w:after="0"/>
        <w:tabs>
          <w:tab w:leader="none" w:pos="540"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WHAT IS A BROKER NON-VOTE?</w:t>
      </w:r>
    </w:p>
    <w:p>
      <w:pPr>
        <w:spacing w:after="0" w:line="127" w:lineRule="exact"/>
        <w:rPr>
          <w:sz w:val="20"/>
          <w:szCs w:val="20"/>
          <w:color w:val="auto"/>
        </w:rPr>
      </w:pPr>
    </w:p>
    <w:p>
      <w:pPr>
        <w:ind w:left="540" w:right="260" w:hanging="424"/>
        <w:spacing w:after="0" w:line="266" w:lineRule="auto"/>
        <w:tabs>
          <w:tab w:leader="none" w:pos="5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 “broker non-vote” occurs if a broker or other nominee indicates on the enclosed proxy that it does not have discretionary authority as to certain shares to vote on a particular proposal, but otherwise has authority to vote at the Annual Meeting. Abstentions and shares subject to broker non-votes will be considered as present for purposes of determining the presence or absence of a quorum at the Annual Meeting.</w:t>
      </w:r>
    </w:p>
    <w:p>
      <w:pPr>
        <w:spacing w:after="0" w:line="320" w:lineRule="exact"/>
        <w:rPr>
          <w:sz w:val="20"/>
          <w:szCs w:val="20"/>
          <w:color w:val="auto"/>
        </w:rPr>
      </w:pPr>
    </w:p>
    <w:p>
      <w:pPr>
        <w:ind w:left="540" w:hanging="424"/>
        <w:spacing w:after="0"/>
        <w:tabs>
          <w:tab w:leader="none" w:pos="540"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HOW IS IT DETERMINED IF A MATTER HAS BEEN APPROVED?</w:t>
      </w:r>
    </w:p>
    <w:p>
      <w:pPr>
        <w:spacing w:after="0" w:line="127" w:lineRule="exact"/>
        <w:rPr>
          <w:sz w:val="20"/>
          <w:szCs w:val="20"/>
          <w:color w:val="auto"/>
        </w:rPr>
      </w:pPr>
    </w:p>
    <w:p>
      <w:pPr>
        <w:ind w:left="540" w:right="120" w:hanging="424"/>
        <w:spacing w:after="0" w:line="286" w:lineRule="auto"/>
        <w:tabs>
          <w:tab w:leader="none" w:pos="5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Under our Bylaws, directors are elected by plurality vote and the nominees who receive the greatest number of votes at the Annual Meeting will be elected. Withheld votes and broker non-votes will not be taken into account for purposes of determining the outcome of the election of directors.</w:t>
      </w:r>
    </w:p>
    <w:p>
      <w:pPr>
        <w:spacing w:after="0" w:line="61" w:lineRule="exact"/>
        <w:rPr>
          <w:rFonts w:ascii="Arial" w:cs="Arial" w:eastAsia="Arial" w:hAnsi="Arial"/>
          <w:sz w:val="16"/>
          <w:szCs w:val="16"/>
          <w:color w:val="auto"/>
        </w:rPr>
      </w:pPr>
    </w:p>
    <w:p>
      <w:pPr>
        <w:ind w:left="540" w:right="200"/>
        <w:spacing w:after="0" w:line="266" w:lineRule="auto"/>
        <w:rPr>
          <w:rFonts w:ascii="Arial" w:cs="Arial" w:eastAsia="Arial" w:hAnsi="Arial"/>
          <w:sz w:val="16"/>
          <w:szCs w:val="16"/>
          <w:color w:val="auto"/>
        </w:rPr>
      </w:pPr>
      <w:r>
        <w:rPr>
          <w:rFonts w:ascii="Arial" w:cs="Arial" w:eastAsia="Arial" w:hAnsi="Arial"/>
          <w:sz w:val="16"/>
          <w:szCs w:val="16"/>
          <w:color w:val="auto"/>
        </w:rPr>
        <w:t>The affirmative vote of a majority of the Class B shares present in person or by proxy at the Annual Meeting and entitled to vote on such proposal will be required to approve Proposal 2, Proposal 3, and Proposal 4. Abstentions will have the effect of negative votes with respect to these proposals. Broker non-votes will not be taken into account for purposes of these proposals.</w:t>
      </w:r>
    </w:p>
    <w:p>
      <w:pPr>
        <w:spacing w:after="0" w:line="320" w:lineRule="exact"/>
        <w:rPr>
          <w:sz w:val="20"/>
          <w:szCs w:val="20"/>
          <w:color w:val="auto"/>
        </w:rPr>
      </w:pPr>
    </w:p>
    <w:p>
      <w:pPr>
        <w:ind w:left="540" w:right="960" w:hanging="424"/>
        <w:spacing w:after="0" w:line="296" w:lineRule="auto"/>
        <w:tabs>
          <w:tab w:leader="none" w:pos="54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WHAT HAPPENS IF ADDITIONAL MATTERS (OTHER THAN THE PROPOSALS DESCRIBED IN THIS PROXY STATEMENT) ARE PRESENTED AT THE ANNUAL MEETING?</w:t>
      </w:r>
    </w:p>
    <w:p>
      <w:pPr>
        <w:spacing w:after="0" w:line="46" w:lineRule="exact"/>
        <w:rPr>
          <w:sz w:val="20"/>
          <w:szCs w:val="20"/>
          <w:color w:val="auto"/>
        </w:rPr>
      </w:pPr>
    </w:p>
    <w:p>
      <w:pPr>
        <w:ind w:left="540" w:right="220" w:hanging="424"/>
        <w:spacing w:after="0" w:line="286" w:lineRule="auto"/>
        <w:tabs>
          <w:tab w:leader="none" w:pos="5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If any other matters do properly come before the Annual Meeting, all proxies signed and returned by holders of the Class B Common Stock, if not limited to the contrary, will be voted thereon in accordance with the best judgment of the persons voting the proxies.</w:t>
      </w:r>
    </w:p>
    <w:p>
      <w:pPr>
        <w:spacing w:after="0" w:line="304" w:lineRule="exact"/>
        <w:rPr>
          <w:sz w:val="20"/>
          <w:szCs w:val="20"/>
          <w:color w:val="auto"/>
        </w:rPr>
      </w:pPr>
    </w:p>
    <w:p>
      <w:pPr>
        <w:ind w:left="540" w:hanging="424"/>
        <w:spacing w:after="0"/>
        <w:tabs>
          <w:tab w:leader="none" w:pos="540" w:val="left"/>
        </w:tabs>
        <w:numPr>
          <w:ilvl w:val="0"/>
          <w:numId w:val="89"/>
        </w:numPr>
        <w:rPr>
          <w:rFonts w:ascii="Arial" w:cs="Arial" w:eastAsia="Arial" w:hAnsi="Arial"/>
          <w:sz w:val="16"/>
          <w:szCs w:val="16"/>
          <w:b w:val="1"/>
          <w:bCs w:val="1"/>
          <w:color w:val="auto"/>
        </w:rPr>
      </w:pPr>
      <w:r>
        <w:rPr>
          <w:rFonts w:ascii="Arial" w:cs="Arial" w:eastAsia="Arial" w:hAnsi="Arial"/>
          <w:sz w:val="16"/>
          <w:szCs w:val="16"/>
          <w:b w:val="1"/>
          <w:bCs w:val="1"/>
          <w:color w:val="auto"/>
        </w:rPr>
        <w:t>HOW CAN I COMMUNICATE WITH THE BOARD?</w:t>
      </w:r>
    </w:p>
    <w:p>
      <w:pPr>
        <w:spacing w:after="0" w:line="127" w:lineRule="exact"/>
        <w:rPr>
          <w:sz w:val="20"/>
          <w:szCs w:val="20"/>
          <w:color w:val="auto"/>
        </w:rPr>
      </w:pPr>
    </w:p>
    <w:p>
      <w:pPr>
        <w:ind w:left="540" w:right="60" w:hanging="424"/>
        <w:spacing w:after="0" w:line="266" w:lineRule="auto"/>
        <w:tabs>
          <w:tab w:leader="none" w:pos="5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Shareholders may communicate with the Board in writing, addressed to the Board of Directors and mailed to the Corporate Secretary, Kelly Services, Inc., 999 West Big Beaver Road, Troy, Michigan 48084-4716. All written shareholder communications will be summarized and reported to the Board at its regularly scheduled meetings.</w:t>
      </w:r>
    </w:p>
    <w:p>
      <w:pPr>
        <w:spacing w:after="0" w:line="320" w:lineRule="exact"/>
        <w:rPr>
          <w:sz w:val="20"/>
          <w:szCs w:val="20"/>
          <w:color w:val="auto"/>
        </w:rPr>
      </w:pPr>
    </w:p>
    <w:p>
      <w:pPr>
        <w:ind w:left="540" w:right="20" w:hanging="424"/>
        <w:spacing w:after="0" w:line="296" w:lineRule="auto"/>
        <w:tabs>
          <w:tab w:leader="none" w:pos="540" w:val="left"/>
        </w:tabs>
        <w:numPr>
          <w:ilvl w:val="0"/>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WHAT IS THE DEADLINE TO SUBMIT SHAREHOLDER PROPOSALS AND DIRECTOR NOMINATIONS FOR THE COMPANY’S 2024 ANNUAL MEETING OF SHAREHOLDERS?</w:t>
      </w:r>
    </w:p>
    <w:p>
      <w:pPr>
        <w:spacing w:after="0" w:line="46" w:lineRule="exact"/>
        <w:rPr>
          <w:sz w:val="20"/>
          <w:szCs w:val="20"/>
          <w:color w:val="auto"/>
        </w:rPr>
      </w:pPr>
    </w:p>
    <w:p>
      <w:pPr>
        <w:ind w:left="540" w:right="20" w:hanging="424"/>
        <w:spacing w:after="0" w:line="259" w:lineRule="auto"/>
        <w:tabs>
          <w:tab w:leader="none" w:pos="5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a Class B shareholder intends to present a proposal for inclusion in the proxy materials to be distributed by us in connection with the Company’s 2024 Annual Meeting of Shareholders in reliance on Rule 14a-8 under the Exchange Act, the proposal must be submitted in writing and received by the Corporate Secretary no later than December 19, 2023. The proposal must also meet the other requirements of the rules of the SEC relating to shareholder proposals.</w:t>
      </w:r>
    </w:p>
    <w:p>
      <w:pPr>
        <w:spacing w:after="0" w:line="83" w:lineRule="exact"/>
        <w:rPr>
          <w:rFonts w:ascii="Arial" w:cs="Arial" w:eastAsia="Arial" w:hAnsi="Arial"/>
          <w:sz w:val="16"/>
          <w:szCs w:val="16"/>
          <w:color w:val="auto"/>
        </w:rPr>
      </w:pPr>
    </w:p>
    <w:p>
      <w:pPr>
        <w:ind w:left="540" w:right="40"/>
        <w:spacing w:after="0" w:line="259" w:lineRule="auto"/>
        <w:rPr>
          <w:rFonts w:ascii="Arial" w:cs="Arial" w:eastAsia="Arial" w:hAnsi="Arial"/>
          <w:sz w:val="16"/>
          <w:szCs w:val="16"/>
          <w:color w:val="auto"/>
        </w:rPr>
      </w:pPr>
      <w:r>
        <w:rPr>
          <w:rFonts w:ascii="Arial" w:cs="Arial" w:eastAsia="Arial" w:hAnsi="Arial"/>
          <w:sz w:val="16"/>
          <w:szCs w:val="16"/>
          <w:color w:val="auto"/>
        </w:rPr>
        <w:t>Our Bylaws contain an advance notice of shareholder business and nominations requirement, which generally prescribes the procedures that a shareholder of the Company must follow if the shareholder intends at an Annual Meeting of Shareholders to nominate a person for the election to the Board or to propose other business to be considered by shareholders. These procedures include, among other things, that the shareholder give timely notice to</w:t>
      </w:r>
    </w:p>
    <w:p>
      <w:pPr>
        <w:spacing w:after="0" w:line="98" w:lineRule="exact"/>
        <w:rPr>
          <w:sz w:val="20"/>
          <w:szCs w:val="20"/>
          <w:color w:val="auto"/>
        </w:rPr>
      </w:pPr>
    </w:p>
    <w:p>
      <w:pPr>
        <w:ind w:left="10820"/>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6605905</wp:posOffset>
            </wp:positionH>
            <wp:positionV relativeFrom="paragraph">
              <wp:posOffset>-142875</wp:posOffset>
            </wp:positionV>
            <wp:extent cx="8255" cy="23177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255" cy="23177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-143510</wp:posOffset>
            </wp:positionV>
            <wp:extent cx="411480" cy="19685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15"/>
          <w:szCs w:val="15"/>
          <w:b w:val="1"/>
          <w:bCs w:val="1"/>
          <w:color w:val="auto"/>
        </w:rPr>
        <w:t>Questions and Answers</w:t>
      </w:r>
    </w:p>
    <w:p>
      <w:pPr>
        <w:spacing w:after="0" w:line="143" w:lineRule="exact"/>
        <w:rPr>
          <w:sz w:val="20"/>
          <w:szCs w:val="20"/>
          <w:color w:val="auto"/>
        </w:rPr>
      </w:pPr>
    </w:p>
    <w:p>
      <w:pPr>
        <w:ind w:left="540" w:right="160"/>
        <w:spacing w:after="0" w:line="266" w:lineRule="auto"/>
        <w:rPr>
          <w:sz w:val="20"/>
          <w:szCs w:val="20"/>
          <w:color w:val="auto"/>
        </w:rPr>
      </w:pPr>
      <w:r>
        <w:rPr>
          <w:rFonts w:ascii="Arial" w:cs="Arial" w:eastAsia="Arial" w:hAnsi="Arial"/>
          <w:sz w:val="16"/>
          <w:szCs w:val="16"/>
          <w:color w:val="auto"/>
        </w:rPr>
        <w:t>the Corporate Secretary of the nomination or other proposed business, that the notice contain specified information, and that the shareholder comply with certain other requirements. If a shareholder’s nomination or proposal is not in compliance with the procedures set forth in our Bylaws, the Company may disregard such nomination or proposal.</w:t>
      </w:r>
    </w:p>
    <w:p>
      <w:pPr>
        <w:spacing w:after="0" w:line="77" w:lineRule="exact"/>
        <w:rPr>
          <w:sz w:val="20"/>
          <w:szCs w:val="20"/>
          <w:color w:val="auto"/>
        </w:rPr>
      </w:pPr>
    </w:p>
    <w:p>
      <w:pPr>
        <w:ind w:left="540"/>
        <w:spacing w:after="0" w:line="252" w:lineRule="auto"/>
        <w:rPr>
          <w:sz w:val="20"/>
          <w:szCs w:val="20"/>
          <w:color w:val="auto"/>
        </w:rPr>
      </w:pPr>
      <w:r>
        <w:rPr>
          <w:rFonts w:ascii="Arial" w:cs="Arial" w:eastAsia="Arial" w:hAnsi="Arial"/>
          <w:sz w:val="16"/>
          <w:szCs w:val="16"/>
          <w:color w:val="auto"/>
        </w:rPr>
        <w:t>Generally, in the case of an Annual Meeting of Shareholders, a shareholder’s notice must be delivered in writing to the Corporate Secretary, at the Company’s principal executive office, not later than the close of business on the 90th day nor earlier than the close of business on the 120th day prior to the first anniversary of the date of the proceeding year’s Annual Meeting of Shareholders. To be timely for the 2024 Annual Meeting of Shareholders, the notice must be received by the Corporate Secretary no earlier than January 17, 2024 and no later than February 16, 2024. In addition, shareholders seeking to include director nominations in the Company’s Proxy Statement for its 2024 Annual Meeting of Shareholders are required to provide notice to the Company pursuant to SEC Rule 14a-11 regarding proxy access no earlier than November 19, 2023 and no later than December 19, 2023, and to satisfy other conditions of such rule. Shareholders intending to utilize SEC Rule 11a-19 regarding universal proxies must provide notice to the Company postmarked no later than March 18, 2024.</w:t>
      </w:r>
    </w:p>
    <w:p>
      <w:pPr>
        <w:spacing w:after="0" w:line="88" w:lineRule="exact"/>
        <w:rPr>
          <w:sz w:val="20"/>
          <w:szCs w:val="20"/>
          <w:color w:val="auto"/>
        </w:rPr>
      </w:pPr>
    </w:p>
    <w:p>
      <w:pPr>
        <w:jc w:val="both"/>
        <w:ind w:left="540" w:right="200"/>
        <w:spacing w:after="0" w:line="266" w:lineRule="auto"/>
        <w:rPr>
          <w:sz w:val="20"/>
          <w:szCs w:val="20"/>
          <w:color w:val="auto"/>
        </w:rPr>
      </w:pPr>
      <w:r>
        <w:rPr>
          <w:rFonts w:ascii="Arial" w:cs="Arial" w:eastAsia="Arial" w:hAnsi="Arial"/>
          <w:sz w:val="16"/>
          <w:szCs w:val="16"/>
          <w:color w:val="auto"/>
        </w:rPr>
        <w:t>In each case, proposals made under Rule 14a-8 and nominations for director nominees and/or an item of business to be introduced at an Annual Meeting of Shareholders must be submitted in writing and received by the Corporate Secretary, Kelly Services, Inc., 999 West Big Beaver Road, Troy, Michigan 48084-4716.</w:t>
      </w:r>
    </w:p>
    <w:p>
      <w:pPr>
        <w:spacing w:after="0" w:line="9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-142875</wp:posOffset>
            </wp:positionV>
            <wp:extent cx="8255" cy="23114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716280</wp:posOffset>
            </wp:positionH>
            <wp:positionV relativeFrom="paragraph">
              <wp:posOffset>-143510</wp:posOffset>
            </wp:positionV>
            <wp:extent cx="411480" cy="19685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411480" cy="19685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215265</wp:posOffset>
            </wp:positionV>
            <wp:extent cx="5186045" cy="65665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186045" cy="656653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215265</wp:posOffset>
            </wp:positionV>
            <wp:extent cx="5186045" cy="672084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186045" cy="672084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215265</wp:posOffset>
            </wp:positionV>
            <wp:extent cx="5186045" cy="65665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186045" cy="656653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215265</wp:posOffset>
            </wp:positionV>
            <wp:extent cx="5186045" cy="671195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186045" cy="6711950"/>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1)"/>
      <w:numFmt w:val="decimal"/>
      <w:start w:val="1"/>
    </w:lvl>
  </w:abstractNum>
  <w:abstractNum w:abstractNumId="8">
    <w:nsid w:val="3DC240FB"/>
    <w:multiLevelType w:val="hybridMultilevel"/>
    <w:lvl w:ilvl="0">
      <w:lvlJc w:val="left"/>
      <w:lvlText w:val="(%1)"/>
      <w:numFmt w:val="decimal"/>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0">
    <w:nsid w:val="39386575"/>
    <w:multiLevelType w:val="hybridMultilevel"/>
    <w:lvl w:ilvl="0">
      <w:lvlJc w:val="left"/>
      <w:lvlText w:val="•"/>
      <w:numFmt w:val="bullet"/>
      <w:start w:val="1"/>
    </w:lvl>
    <w:lvl w:ilvl="1">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1)"/>
      <w:numFmt w:val="decimal"/>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1)"/>
      <w:numFmt w:val="decimal"/>
      <w:start w:val="1"/>
    </w:lvl>
  </w:abstractNum>
  <w:abstractNum w:abstractNumId="28">
    <w:nsid w:val="D34B6A8"/>
    <w:multiLevelType w:val="hybridMultilevel"/>
    <w:lvl w:ilvl="0">
      <w:lvlJc w:val="left"/>
      <w:lvlText w:val="•"/>
      <w:numFmt w:val="bullet"/>
      <w:start w:val="1"/>
    </w:lvl>
    <w:lvl w:ilvl="1">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lvl w:ilvl="1">
      <w:lvlJc w:val="left"/>
      <w:lvlText w:val="•"/>
      <w:numFmt w:val="bullet"/>
      <w:start w:val="1"/>
    </w:lvl>
  </w:abstractNum>
  <w:abstractNum w:abstractNumId="36">
    <w:nsid w:val="5FF87E05"/>
    <w:multiLevelType w:val="hybridMultilevel"/>
    <w:lvl w:ilvl="0">
      <w:lvlJc w:val="left"/>
      <w:lvlText w:val="•"/>
      <w:numFmt w:val="bullet"/>
      <w:start w:val="1"/>
    </w:lvl>
    <w:lvl w:ilvl="1">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1)"/>
      <w:numFmt w:val="decimal"/>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1)"/>
      <w:numFmt w:val="decimal"/>
      <w:start w:val="1"/>
    </w:lvl>
  </w:abstractNum>
  <w:abstractNum w:abstractNumId="47">
    <w:nsid w:val="5F5E7FD0"/>
    <w:multiLevelType w:val="hybridMultilevel"/>
    <w:lvl w:ilvl="0">
      <w:lvlJc w:val="left"/>
      <w:lvlText w:val="(%1)"/>
      <w:numFmt w:val="decimal"/>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1)"/>
      <w:numFmt w:val="decimal"/>
      <w:start w:val="1"/>
    </w:lvl>
  </w:abstractNum>
  <w:abstractNum w:abstractNumId="50">
    <w:nsid w:val="6B94764"/>
    <w:multiLevelType w:val="hybridMultilevel"/>
    <w:lvl w:ilvl="0">
      <w:lvlJc w:val="left"/>
      <w:lvlText w:val="(%1)"/>
      <w:numFmt w:val="decimal"/>
      <w:start w:val="4"/>
    </w:lvl>
  </w:abstractNum>
  <w:abstractNum w:abstractNumId="51">
    <w:nsid w:val="42C296BD"/>
    <w:multiLevelType w:val="hybridMultilevel"/>
    <w:lvl w:ilvl="0">
      <w:lvlJc w:val="left"/>
      <w:lvlText w:val="(%1)"/>
      <w:numFmt w:val="decimal"/>
      <w:start w:val="5"/>
    </w:lvl>
  </w:abstractNum>
  <w:abstractNum w:abstractNumId="52">
    <w:nsid w:val="168E121F"/>
    <w:multiLevelType w:val="hybridMultilevel"/>
    <w:lvl w:ilvl="0">
      <w:lvlJc w:val="left"/>
      <w:lvlText w:val="(%1)"/>
      <w:numFmt w:val="decimal"/>
      <w:start w:val="6"/>
    </w:lvl>
  </w:abstractNum>
  <w:abstractNum w:abstractNumId="53">
    <w:nsid w:val="1EBA5D23"/>
    <w:multiLevelType w:val="hybridMultilevel"/>
    <w:lvl w:ilvl="0">
      <w:lvlJc w:val="left"/>
      <w:lvlText w:val="(%1)"/>
      <w:numFmt w:val="decimal"/>
      <w:start w:val="1"/>
    </w:lvl>
  </w:abstractNum>
  <w:abstractNum w:abstractNumId="54">
    <w:nsid w:val="661E3F1E"/>
    <w:multiLevelType w:val="hybridMultilevel"/>
    <w:lvl w:ilvl="0">
      <w:lvlJc w:val="left"/>
      <w:lvlText w:val="(%1)"/>
      <w:numFmt w:val="decimal"/>
      <w:start w:val="6"/>
    </w:lvl>
  </w:abstractNum>
  <w:abstractNum w:abstractNumId="55">
    <w:nsid w:val="5DC79EA8"/>
    <w:multiLevelType w:val="hybridMultilevel"/>
    <w:lvl w:ilvl="0">
      <w:lvlJc w:val="left"/>
      <w:lvlText w:val="(%1)"/>
      <w:numFmt w:val="decimal"/>
      <w:start w:val="1"/>
    </w:lvl>
  </w:abstractNum>
  <w:abstractNum w:abstractNumId="56">
    <w:nsid w:val="540A471C"/>
    <w:multiLevelType w:val="hybridMultilevel"/>
    <w:lvl w:ilvl="0">
      <w:lvlJc w:val="left"/>
      <w:lvlText w:val="(%1)"/>
      <w:numFmt w:val="decimal"/>
      <w:start w:val="1"/>
    </w:lvl>
  </w:abstractNum>
  <w:abstractNum w:abstractNumId="57">
    <w:nsid w:val="7BD3EE7B"/>
    <w:multiLevelType w:val="hybridMultilevel"/>
    <w:lvl w:ilvl="0">
      <w:lvlJc w:val="left"/>
      <w:lvlText w:val="(%1)"/>
      <w:numFmt w:val="decimal"/>
      <w:start w:val="1"/>
    </w:lvl>
  </w:abstractNum>
  <w:abstractNum w:abstractNumId="58">
    <w:nsid w:val="51D9C564"/>
    <w:multiLevelType w:val="hybridMultilevel"/>
    <w:lvl w:ilvl="0">
      <w:lvlJc w:val="left"/>
      <w:lvlText w:val="(%1)"/>
      <w:numFmt w:val="decimal"/>
      <w:start w:val="1"/>
    </w:lvl>
  </w:abstractNum>
  <w:abstractNum w:abstractNumId="59">
    <w:nsid w:val="613EFDC5"/>
    <w:multiLevelType w:val="hybridMultilevel"/>
    <w:lvl w:ilvl="0">
      <w:lvlJc w:val="left"/>
      <w:lvlText w:val="•"/>
      <w:numFmt w:val="bullet"/>
      <w:start w:val="1"/>
    </w:lvl>
  </w:abstractNum>
  <w:abstractNum w:abstractNumId="60">
    <w:nsid w:val="BF72B14"/>
    <w:multiLevelType w:val="hybridMultilevel"/>
    <w:lvl w:ilvl="0">
      <w:lvlJc w:val="left"/>
      <w:lvlText w:val="•"/>
      <w:numFmt w:val="bullet"/>
      <w:start w:val="1"/>
    </w:lvl>
  </w:abstractNum>
  <w:abstractNum w:abstractNumId="61">
    <w:nsid w:val="11447B73"/>
    <w:multiLevelType w:val="hybridMultilevel"/>
    <w:lvl w:ilvl="0">
      <w:lvlJc w:val="left"/>
      <w:lvlText w:val="•"/>
      <w:numFmt w:val="bullet"/>
      <w:start w:val="1"/>
    </w:lvl>
    <w:lvl w:ilvl="1">
      <w:lvlJc w:val="left"/>
      <w:lvlText w:val="•"/>
      <w:numFmt w:val="bullet"/>
      <w:start w:val="1"/>
    </w:lvl>
  </w:abstractNum>
  <w:abstractNum w:abstractNumId="62">
    <w:nsid w:val="42963E5A"/>
    <w:multiLevelType w:val="hybridMultilevel"/>
    <w:lvl w:ilvl="0">
      <w:lvlJc w:val="left"/>
      <w:lvlText w:val="•"/>
      <w:numFmt w:val="bullet"/>
      <w:start w:val="1"/>
    </w:lvl>
  </w:abstractNum>
  <w:abstractNum w:abstractNumId="63">
    <w:nsid w:val="A0382C5"/>
    <w:multiLevelType w:val="hybridMultilevel"/>
    <w:lvl w:ilvl="0">
      <w:lvlJc w:val="left"/>
      <w:lvlText w:val="(%1)"/>
      <w:numFmt w:val="decimal"/>
      <w:start w:val="1"/>
    </w:lvl>
  </w:abstractNum>
  <w:abstractNum w:abstractNumId="64">
    <w:nsid w:val="8F2B15E"/>
    <w:multiLevelType w:val="hybridMultilevel"/>
    <w:lvl w:ilvl="0">
      <w:lvlJc w:val="left"/>
      <w:lvlText w:val="(%1)"/>
      <w:numFmt w:val="decimal"/>
      <w:start w:val="2"/>
    </w:lvl>
  </w:abstractNum>
  <w:abstractNum w:abstractNumId="65">
    <w:nsid w:val="1A32234B"/>
    <w:multiLevelType w:val="hybridMultilevel"/>
    <w:lvl w:ilvl="0">
      <w:lvlJc w:val="left"/>
      <w:lvlText w:val="(%1)"/>
      <w:numFmt w:val="decimal"/>
      <w:start w:val="1"/>
    </w:lvl>
  </w:abstractNum>
  <w:abstractNum w:abstractNumId="66">
    <w:nsid w:val="3B0FD379"/>
    <w:multiLevelType w:val="hybridMultilevel"/>
    <w:lvl w:ilvl="0">
      <w:lvlJc w:val="left"/>
      <w:lvlText w:val="%1)"/>
      <w:numFmt w:val="upperLetter"/>
      <w:start w:val="17"/>
    </w:lvl>
  </w:abstractNum>
  <w:abstractNum w:abstractNumId="67">
    <w:nsid w:val="68EB2F63"/>
    <w:multiLevelType w:val="hybridMultilevel"/>
    <w:lvl w:ilvl="0">
      <w:lvlJc w:val="left"/>
      <w:lvlText w:val="%1)"/>
      <w:numFmt w:val="upperLetter"/>
      <w:start w:val="1"/>
    </w:lvl>
  </w:abstractNum>
  <w:abstractNum w:abstractNumId="68">
    <w:nsid w:val="4962813B"/>
    <w:multiLevelType w:val="hybridMultilevel"/>
    <w:lvl w:ilvl="0">
      <w:lvlJc w:val="left"/>
      <w:lvlText w:val="%1)"/>
      <w:numFmt w:val="upperLetter"/>
      <w:start w:val="17"/>
    </w:lvl>
  </w:abstractNum>
  <w:abstractNum w:abstractNumId="69">
    <w:nsid w:val="60B6DF70"/>
    <w:multiLevelType w:val="hybridMultilevel"/>
    <w:lvl w:ilvl="0">
      <w:lvlJc w:val="left"/>
      <w:lvlText w:val="%1)"/>
      <w:numFmt w:val="upperLetter"/>
      <w:start w:val="1"/>
    </w:lvl>
  </w:abstractNum>
  <w:abstractNum w:abstractNumId="70">
    <w:nsid w:val="6A5EE64"/>
    <w:multiLevelType w:val="hybridMultilevel"/>
    <w:lvl w:ilvl="0">
      <w:lvlJc w:val="left"/>
      <w:lvlText w:val="%1)"/>
      <w:numFmt w:val="upperLetter"/>
      <w:start w:val="17"/>
    </w:lvl>
  </w:abstractNum>
  <w:abstractNum w:abstractNumId="71">
    <w:nsid w:val="14330624"/>
    <w:multiLevelType w:val="hybridMultilevel"/>
    <w:lvl w:ilvl="0">
      <w:lvlJc w:val="left"/>
      <w:lvlText w:val="%1)"/>
      <w:numFmt w:val="upperLetter"/>
      <w:start w:val="1"/>
    </w:lvl>
  </w:abstractNum>
  <w:abstractNum w:abstractNumId="72">
    <w:nsid w:val="7FFFCA11"/>
    <w:multiLevelType w:val="hybridMultilevel"/>
    <w:lvl w:ilvl="0">
      <w:lvlJc w:val="left"/>
      <w:lvlText w:val="%1)"/>
      <w:numFmt w:val="upperLetter"/>
      <w:start w:val="17"/>
    </w:lvl>
  </w:abstractNum>
  <w:abstractNum w:abstractNumId="73">
    <w:nsid w:val="1A27709E"/>
    <w:multiLevelType w:val="hybridMultilevel"/>
    <w:lvl w:ilvl="0">
      <w:lvlJc w:val="left"/>
      <w:lvlText w:val="%1)"/>
      <w:numFmt w:val="upperLetter"/>
      <w:start w:val="1"/>
    </w:lvl>
  </w:abstractNum>
  <w:abstractNum w:abstractNumId="74">
    <w:nsid w:val="71EA1109"/>
    <w:multiLevelType w:val="hybridMultilevel"/>
    <w:lvl w:ilvl="0">
      <w:lvlJc w:val="left"/>
      <w:lvlText w:val="%1)"/>
      <w:numFmt w:val="upperLetter"/>
      <w:start w:val="17"/>
    </w:lvl>
  </w:abstractNum>
  <w:abstractNum w:abstractNumId="75">
    <w:nsid w:val="100F59DC"/>
    <w:multiLevelType w:val="hybridMultilevel"/>
    <w:lvl w:ilvl="0">
      <w:lvlJc w:val="left"/>
      <w:lvlText w:val="%1)"/>
      <w:numFmt w:val="upperLetter"/>
      <w:start w:val="1"/>
    </w:lvl>
  </w:abstractNum>
  <w:abstractNum w:abstractNumId="76">
    <w:nsid w:val="7FB7E0AA"/>
    <w:multiLevelType w:val="hybridMultilevel"/>
    <w:lvl w:ilvl="0">
      <w:lvlJc w:val="left"/>
      <w:lvlText w:val="%1)"/>
      <w:numFmt w:val="upperLetter"/>
      <w:start w:val="17"/>
    </w:lvl>
  </w:abstractNum>
  <w:abstractNum w:abstractNumId="77">
    <w:nsid w:val="6EB5BD4"/>
    <w:multiLevelType w:val="hybridMultilevel"/>
    <w:lvl w:ilvl="0">
      <w:lvlJc w:val="left"/>
      <w:lvlText w:val="%1)"/>
      <w:numFmt w:val="upperLetter"/>
      <w:start w:val="1"/>
    </w:lvl>
  </w:abstractNum>
  <w:abstractNum w:abstractNumId="78">
    <w:nsid w:val="6F6DD9AC"/>
    <w:multiLevelType w:val="hybridMultilevel"/>
    <w:lvl w:ilvl="0">
      <w:lvlJc w:val="left"/>
      <w:lvlText w:val="%1)"/>
      <w:numFmt w:val="upperLetter"/>
      <w:start w:val="17"/>
    </w:lvl>
  </w:abstractNum>
  <w:abstractNum w:abstractNumId="79">
    <w:nsid w:val="94211F2"/>
    <w:multiLevelType w:val="hybridMultilevel"/>
    <w:lvl w:ilvl="0">
      <w:lvlJc w:val="left"/>
      <w:lvlText w:val="%1)"/>
      <w:numFmt w:val="upperLetter"/>
      <w:start w:val="1"/>
    </w:lvl>
  </w:abstractNum>
  <w:abstractNum w:abstractNumId="80">
    <w:nsid w:val="885E1B"/>
    <w:multiLevelType w:val="hybridMultilevel"/>
    <w:lvl w:ilvl="0">
      <w:lvlJc w:val="left"/>
      <w:lvlText w:val="%1)"/>
      <w:numFmt w:val="upperLetter"/>
      <w:start w:val="17"/>
    </w:lvl>
  </w:abstractNum>
  <w:abstractNum w:abstractNumId="81">
    <w:nsid w:val="76272110"/>
    <w:multiLevelType w:val="hybridMultilevel"/>
    <w:lvl w:ilvl="0">
      <w:lvlJc w:val="left"/>
      <w:lvlText w:val="%1)"/>
      <w:numFmt w:val="upperLetter"/>
      <w:start w:val="1"/>
    </w:lvl>
  </w:abstractNum>
  <w:abstractNum w:abstractNumId="82">
    <w:nsid w:val="4C04A8AF"/>
    <w:multiLevelType w:val="hybridMultilevel"/>
    <w:lvl w:ilvl="0">
      <w:lvlJc w:val="left"/>
      <w:lvlText w:val="%1)"/>
      <w:numFmt w:val="upperLetter"/>
      <w:start w:val="17"/>
    </w:lvl>
  </w:abstractNum>
  <w:abstractNum w:abstractNumId="83">
    <w:nsid w:val="1716703B"/>
    <w:multiLevelType w:val="hybridMultilevel"/>
    <w:lvl w:ilvl="0">
      <w:lvlJc w:val="left"/>
      <w:lvlText w:val="%1)"/>
      <w:numFmt w:val="upperLetter"/>
      <w:start w:val="1"/>
    </w:lvl>
  </w:abstractNum>
  <w:abstractNum w:abstractNumId="84">
    <w:nsid w:val="14E17E33"/>
    <w:multiLevelType w:val="hybridMultilevel"/>
    <w:lvl w:ilvl="0">
      <w:lvlJc w:val="left"/>
      <w:lvlText w:val="%1)"/>
      <w:numFmt w:val="upperLetter"/>
      <w:start w:val="17"/>
    </w:lvl>
  </w:abstractNum>
  <w:abstractNum w:abstractNumId="85">
    <w:nsid w:val="3222E7CD"/>
    <w:multiLevelType w:val="hybridMultilevel"/>
    <w:lvl w:ilvl="0">
      <w:lvlJc w:val="left"/>
      <w:lvlText w:val="%1)"/>
      <w:numFmt w:val="upperLetter"/>
      <w:start w:val="1"/>
    </w:lvl>
  </w:abstractNum>
  <w:abstractNum w:abstractNumId="86">
    <w:nsid w:val="74DE0EE3"/>
    <w:multiLevelType w:val="hybridMultilevel"/>
    <w:lvl w:ilvl="0">
      <w:lvlJc w:val="left"/>
      <w:lvlText w:val="%1)"/>
      <w:numFmt w:val="upperLetter"/>
      <w:start w:val="17"/>
    </w:lvl>
  </w:abstractNum>
  <w:abstractNum w:abstractNumId="87">
    <w:nsid w:val="68EBC550"/>
    <w:multiLevelType w:val="hybridMultilevel"/>
    <w:lvl w:ilvl="0">
      <w:lvlJc w:val="left"/>
      <w:lvlText w:val="%1)"/>
      <w:numFmt w:val="upperLetter"/>
      <w:start w:val="1"/>
    </w:lvl>
  </w:abstractNum>
  <w:abstractNum w:abstractNumId="88">
    <w:nsid w:val="2DF6D648"/>
    <w:multiLevelType w:val="hybridMultilevel"/>
    <w:lvl w:ilvl="0">
      <w:lvlJc w:val="left"/>
      <w:lvlText w:val="%1)"/>
      <w:numFmt w:val="upperLetter"/>
      <w:start w:val="17"/>
    </w:lvl>
  </w:abstractNum>
  <w:abstractNum w:abstractNumId="89">
    <w:nsid w:val="46B7D447"/>
    <w:multiLevelType w:val="hybridMultilevel"/>
    <w:lvl w:ilvl="0">
      <w:lvlJc w:val="left"/>
      <w:lvlText w:val="%1)"/>
      <w:numFmt w:val="upperLetter"/>
      <w:start w:val="1"/>
    </w:lvl>
  </w:abstractNum>
  <w:abstractNum w:abstractNumId="90">
    <w:nsid w:val="4A2AC315"/>
    <w:multiLevelType w:val="hybridMultilevel"/>
    <w:lvl w:ilvl="0">
      <w:lvlJc w:val="left"/>
      <w:lvlText w:val="%1)"/>
      <w:numFmt w:val="upperLetter"/>
      <w:start w:val="17"/>
    </w:lvl>
  </w:abstractNum>
  <w:abstractNum w:abstractNumId="91">
    <w:nsid w:val="39EE015C"/>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jpe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jpe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jpe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jpeg"/><Relationship Id="rId389" Type="http://schemas.openxmlformats.org/officeDocument/2006/relationships/image" Target="media/image382.jpe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jpe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jpe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jpe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jpe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jpe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jpe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jpe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jpe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jpe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jpe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jpeg"/><Relationship Id="rId513" Type="http://schemas.openxmlformats.org/officeDocument/2006/relationships/image" Target="media/image506.png"/><Relationship Id="rId514" Type="http://schemas.openxmlformats.org/officeDocument/2006/relationships/image" Target="media/image507.jpeg"/><Relationship Id="rId515" Type="http://schemas.openxmlformats.org/officeDocument/2006/relationships/image" Target="media/image508.png"/><Relationship Id="rId516" Type="http://schemas.openxmlformats.org/officeDocument/2006/relationships/image" Target="media/image509.jpe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jpeg"/><Relationship Id="rId529" Type="http://schemas.openxmlformats.org/officeDocument/2006/relationships/image" Target="media/image522.png"/><Relationship Id="rId530" Type="http://schemas.openxmlformats.org/officeDocument/2006/relationships/image" Target="media/image523.jpeg"/><Relationship Id="rId531" Type="http://schemas.openxmlformats.org/officeDocument/2006/relationships/image" Target="media/image524.png"/><Relationship Id="rId532" Type="http://schemas.openxmlformats.org/officeDocument/2006/relationships/image" Target="media/image525.jpe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jpe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jpe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jpeg"/><Relationship Id="rId542" Type="http://schemas.openxmlformats.org/officeDocument/2006/relationships/image" Target="media/image535.png"/><Relationship Id="rId543" Type="http://schemas.openxmlformats.org/officeDocument/2006/relationships/image" Target="media/image536.jpeg"/><Relationship Id="rId544" Type="http://schemas.openxmlformats.org/officeDocument/2006/relationships/image" Target="media/image537.png"/><Relationship Id="rId545" Type="http://schemas.openxmlformats.org/officeDocument/2006/relationships/image" Target="media/image538.jpeg"/><Relationship Id="rId546" Type="http://schemas.openxmlformats.org/officeDocument/2006/relationships/image" Target="media/image539.png"/><Relationship Id="rId547" Type="http://schemas.openxmlformats.org/officeDocument/2006/relationships/image" Target="media/image540.jpeg"/><Relationship Id="rId548" Type="http://schemas.openxmlformats.org/officeDocument/2006/relationships/image" Target="media/image541.png"/><Relationship Id="rId549" Type="http://schemas.openxmlformats.org/officeDocument/2006/relationships/image" Target="media/image542.jpeg"/><Relationship Id="rId550" Type="http://schemas.openxmlformats.org/officeDocument/2006/relationships/image" Target="media/image543.png"/><Relationship Id="rId551" Type="http://schemas.openxmlformats.org/officeDocument/2006/relationships/image" Target="media/image54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2023-04-17T06:40:29Z</dcterms:created>
  <dcterms:modified xsi:type="dcterms:W3CDTF">2023-04-17T06:40:29Z</dcterms:modified>
</cp:coreProperties>
</file>